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人工合成测试资料，不代表真实企业制度。</w:t>
      </w:r>
    </w:p>
    <w:p>
      <w:r>
        <w:t>2024年度奖金规则</w:t>
      </w:r>
    </w:p>
    <w:p>
      <w:r>
        <w:t>规则A7对应方案K24，按公式M计算奖金。S为该员工2024年销售额，T为方案目标，r为方案奖励比例，B为方案固定奖金。所有金额用元，比例用百分数。</w:t>
      </w:r>
    </w:p>
    <w:p>
      <w:r>
        <w:t>只有达到目标的员工适用公式M；未达目标的奖金资料未提供，不能按零处理。</w:t>
      </w:r>
    </w:p>
    <w:p>
      <w:r>
        <w:t>规则B2对应方案K25；规则C9对应方案K26。规则以编号区分，不能套用其他方案。</w:t>
      </w:r>
    </w:p>
  </w:body>
</w:document>
</file>