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新津区2024年统计公报原文摘录</w:t>
      </w:r>
    </w:p>
    <w:p>
      <w:r>
        <w:t>本文件由官方 PDF 的真实原文转换，用于验证 Word 文档解析、段落定位和跨格式来源追踪。机构发布的原件是 PDF；此 Word 是项目制作的转换展示件，未由模型编写统计内容。</w:t>
      </w:r>
    </w:p>
    <w:p>
      <w:r>
        <w:t>来源 成都市新津区人民政府</w:t>
        <w:br/>
        <w:t>原件 SHA256 97072a795a58fed0d2622fc7a03450332d82294f98817dc8e2d3bd1f2bc3187b</w:t>
      </w:r>
    </w:p>
    <w:p>
      <w:r>
        <w:t>官方地址 https://www.xinjin.gov.cn/gkml/uploadfiles/1607625547318407176/14914465512502067202024%E5%B9%B4%E6%96%B0%E6%B4%A5%E5%8C%BA%E5%9B%BD%E6%B0%91%E7%BB%8F%E6%B5%8E%E5%92%8C%E7%A4%BE%E4%BC%9A%E5%8F%91%E5%B1%95%E7%BB%9F%E8%AE%A1%E5%85%AC%E6%8A%A5.pdf</w:t>
      </w:r>
    </w:p>
    <w:p>
      <w:r>
        <w:br w:type="page"/>
      </w:r>
    </w:p>
    <w:p>
      <w:pPr>
        <w:pStyle w:val="Heading1"/>
      </w:pPr>
      <w:r>
        <w:t>原 PDF 第1页</w:t>
      </w:r>
    </w:p>
    <w:p>
      <w:r>
        <w:t>2024 年新津区国民经济和社会发展统计公报 2024 年，全区紧紧围绕经济社会发展大局，坚持以习近平 新时代中国特色社会主义思想为指导，认真落实中央经济工作 会议精神及四川省委、成都市委经济工作会议决策部署，深入 推进“优化提质、特色立园、赋能增效、企业满园”行动，全 力以赴拼经济搞建设，全区经济呈现高开稳走发展态势，经济 运行总体保持在合理区间。</w:t>
      </w:r>
    </w:p>
    <w:p>
      <w:r>
        <w:t>一、综 合 2024 年，全区实现地区生产总值 534.94 亿元，按可比价格 计算（下同），比上年增长 5.9%。</w:t>
      </w:r>
    </w:p>
    <w:p>
      <w:r>
        <w:t>其中：一产业增加值 17.46 亿元，增长 2.6%；二产业增加值 224.83 亿元，增长 8.7%；三 产业增加值 292.65 亿元，增长 4.0%。</w:t>
      </w:r>
    </w:p>
    <w:p>
      <w:r>
        <w:t>三次产业比重 3.3:42.0:54.7， 三次产业对 GDP 的贡献率分别为 2.1%、61.5%、36.4%。</w:t>
      </w:r>
    </w:p>
    <w:p>
      <w:r>
        <w:t>全年累计完成民营经济增加值 354.57 亿元，比上年增长 8.3%，占地区生产总值的 66.3%。</w:t>
      </w:r>
    </w:p>
    <w:p>
      <w:r>
        <w:t>其中：一产业民营经济增加 值 15.94 亿元，增长 0.2%；二产业民营经济增加 152.62 亿元， 增长 11.6%，其中民营工业经济增加值 126.58 亿元，占全口径 工业增加值的 82.0%，增长 9.1%；三产业民营经济增加值 186.01 亿元，增长 6.7%。</w:t>
      </w:r>
    </w:p>
    <w:p>
      <w:r>
        <w:t>二、农 业 全年实现农林牧渔业总产值 32.64 亿元，比上年增长 2.4%； 其中农业（种植业）产值 19.65 亿元，增长 5.7%。</w:t>
      </w:r>
    </w:p>
    <w:p>
      <w:r>
        <w:t>全年粮食播</w:t>
      </w:r>
    </w:p>
    <w:p>
      <w:r>
        <w:br w:type="page"/>
      </w:r>
    </w:p>
    <w:p>
      <w:pPr>
        <w:pStyle w:val="Heading1"/>
      </w:pPr>
      <w:r>
        <w:t>原 PDF 第7页</w:t>
      </w:r>
    </w:p>
    <w:p>
      <w:r>
        <w:t>PM10、NO2 等指标浓度分别为 31、49、26 微克每立方米，PM2.5、 PM10、NO2 浓度同比 2023 年分别改善 18.4%、16.9%，13.3%。</w:t>
      </w:r>
    </w:p>
    <w:p>
      <w:r>
        <w:t>完成方兴污水处理厂增容扩建项目，累计修复污水病害管网 20 公里，全区污水处理设施总体规模达到 13.98 万吨/天，新津城 区和乡镇污水处理率分别 95.5%、86.6%。</w:t>
      </w:r>
    </w:p>
    <w:p>
      <w:r>
        <w:t>建成新津厨余垃圾资 源化处理项目，日处理规模 100 吨，生活垃圾无害化处理率 100%。</w:t>
      </w:r>
    </w:p>
    <w:p>
      <w:r>
        <w:t>十、人口、人民生活和社会保障 全区户籍人口 32.90 万人，其中：城镇人口 18.75 万人，乡 村人口 14.15 万人；男性人口 16.10 万人，女性人口 16.80 万人。</w:t>
      </w:r>
    </w:p>
    <w:p>
      <w:r>
        <w:t>全区出生人口 1662 人，人口出生率 4.4‰；死亡 2663 人，死亡 率 7.1‰；人口自然增长率-2.7‰。</w:t>
      </w:r>
    </w:p>
    <w:p>
      <w:r>
        <w:t>全体居民人均可支配收入比上年增长 5.1%。</w:t>
      </w:r>
    </w:p>
    <w:p>
      <w:r>
        <w:t>城镇居民人均 可支配收入增长 4.6%，城镇居民人均消费性支出增长 5.0%；农 村居民人均可支配收入增长 6.8%，农村居民人均消费性支出增 长 7.0%。</w:t>
      </w:r>
    </w:p>
    <w:p>
      <w:r>
        <w:t>全区城乡居民基本养老保险参保 10.22 万人，城乡居民基本 医疗保险参保 17.94 万人。</w:t>
      </w:r>
    </w:p>
    <w:p>
      <w:r>
        <w:t>城镇职工基本养老保险参保 19.01 万 人，基本医疗保险参保 15.30 万人，生育保险参保 7.15 万人， 工伤保险参保 10.24 万人（含建筑施工企业），失业保险参保 7.11 万人。</w:t>
      </w:r>
    </w:p>
    <w:p>
      <w:r>
        <w:t>城镇新增就业人数 4242 人。</w:t>
      </w:r>
    </w:p>
    <w:p>
      <w:r>
        <w:t>城镇居民最低生活保障人数 214 人，比上年增长 4.4%，农</w:t>
      </w:r>
    </w:p>
    <w:p>
      <w:r>
        <w:br w:type="page"/>
      </w:r>
    </w:p>
    <w:p>
      <w:pPr>
        <w:pStyle w:val="Heading1"/>
      </w:pPr>
      <w:r>
        <w:t>原 PDF 第8页</w:t>
      </w:r>
    </w:p>
    <w:p>
      <w:r>
        <w:t>村居民最低生活保障人数 1554 人，增长 0.1%。</w:t>
      </w:r>
    </w:p>
    <w:p>
      <w:r>
        <w:t>全区各种社会福 利机构 5 所，床位数 954 张，收养人数 323 人。</w:t>
      </w:r>
    </w:p>
    <w:p>
      <w:r>
        <w:t>社区养老服务 设施数 75 处。</w:t>
      </w:r>
    </w:p>
    <w:p>
      <w:r>
        <w:t>注释：</w:t>
      </w:r>
    </w:p>
    <w:p>
      <w:r>
        <w:t>[1]本公报为初步统计数据，正式数据以《新津统计手册》为准。</w:t>
      </w:r>
    </w:p>
    <w:p>
      <w:r>
        <w:t>部分数据因四 舍五入的原因，存在着总计与分项合计不等的情况。</w:t>
      </w:r>
    </w:p>
    <w:p>
      <w:r>
        <w:t>[2]地区生产总值、各产业增加值绝对数按当年价格计算，增长速度按不变价格 计算。</w:t>
      </w:r>
    </w:p>
    <w:p>
      <w:r>
        <w:t>根据国民经济核算制度和第五次全国经济普查结果，2023 年地区生产总值修 订为 503.12 亿元，三次产业结构为 3.3:42.0:54.7。</w:t>
      </w:r>
    </w:p>
    <w:p>
      <w:r>
        <w:t>[3]根据第五次全国经济普查结果和国家统计局关于民营经济类型统计划分的暂 行规定，2023 年民营经济增加值修订为 332.89 亿元，三次产业结构为 4.6:41.8:53.6。</w:t>
      </w:r>
    </w:p>
    <w:p>
      <w:r>
        <w:t>[4]公报中交通运输、金融、旅游、对外贸易、财政、教育、科技、文化、卫生、 体育、环境保护、人民生活和社会保障等数据来源于相关部门。</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Songti SC" w:hAnsi="Songti SC" w:eastAsia="Songti SC"/>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ngti SC" w:hAnsi="Songti SC" w:eastAsia="Songti SC"/>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ngti SC" w:hAnsi="Songti SC" w:eastAsia="Songti SC"/>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Songti SC" w:hAnsi="Songti SC" w:eastAsia="Songti SC"/>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新津区2024年统计公报原文摘录</dc:title>
  <dc:subject/>
  <dc:creator>证流资料整理</dc:creator>
  <cp:keywords/>
  <dc:description>转换件 原始发布机构与原件页码详见正文 不等于官方Word原件</dc:description>
  <cp:lastModifiedBy/>
  <cp:revision>1</cp:revision>
  <dcterms:created xsi:type="dcterms:W3CDTF">2013-12-23T23:15:00Z</dcterms:created>
  <dcterms:modified xsi:type="dcterms:W3CDTF">2013-12-23T23:15:00Z</dcterms:modified>
  <cp:category/>
</cp:coreProperties>
</file>