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76" w:lineRule="auto"/>
      </w:pPr>
      <w:r>
        <w:rPr>
          <w:rFonts w:ascii="Arial" w:hAnsi="Arial" w:eastAsia="Heiti SC"/>
          <w:color w:val="000000"/>
        </w:rPr>
        <w:t>行简研学项目说明书</w:t>
      </w:r>
    </w:p>
    <w:p>
      <w:pPr>
        <w:pStyle w:val="Subtitle"/>
        <w:spacing w:line="276" w:lineRule="auto"/>
      </w:pPr>
      <w:r>
        <w:rPr>
          <w:rFonts w:ascii="Arial" w:hAnsi="Arial" w:eastAsia="Heiti SC"/>
          <w:color w:val="000000"/>
        </w:rPr>
        <w:t>四项目融合方案与具体修改计划</w:t>
      </w:r>
    </w:p>
    <w:p>
      <w:r>
        <w:rPr>
          <w:rFonts w:ascii="Arial" w:hAnsi="Arial" w:eastAsia="Songti SC"/>
          <w:color w:val="000000"/>
          <w:sz w:val="20"/>
        </w:rPr>
        <w:t>适用方向  华为 ICT 大赛创新赛 AgentArts 赛题</w:t>
        <w:br/>
        <w:t>编制日期  2026年10月23日    版本  V1.0 方案评审稿</w:t>
      </w:r>
    </w:p>
    <w:p>
      <w:pPr>
        <w:pStyle w:val="Heading1"/>
        <w:spacing w:line="276" w:lineRule="auto"/>
      </w:pPr>
      <w:r>
        <w:rPr>
          <w:rFonts w:ascii="Arial" w:hAnsi="Arial" w:eastAsia="Heiti SC"/>
          <w:color w:val="000000"/>
        </w:rPr>
        <w:t>一  项目定位与主要决策</w:t>
      </w:r>
    </w:p>
    <w:p>
      <w:r>
        <w:rPr>
          <w:rFonts w:ascii="Arial" w:hAnsi="Arial" w:eastAsia="Songti SC"/>
          <w:color w:val="000000"/>
        </w:rPr>
        <w:t>本项目面向需要阅读资料、分析数据、安排工作并提交成果的高校学生。拟整合知衡、行简、知途和 JATSCraft 的已有能力，由华为云 AgentArts 组织实际任务流程，形成从研究目标到可核对成果的一套工作台。</w:t>
      </w:r>
    </w:p>
    <w:p>
      <w:r>
        <w:rPr>
          <w:rFonts w:ascii="Arial" w:hAnsi="Arial" w:eastAsia="Songti SC"/>
          <w:color w:val="000000"/>
        </w:rPr>
        <w:t>本说明书供项目成员与指导老师讨论范围，并作为后续开发的任务依据。四个项目目前仍独立运行；下文的统一账户、跨模块数据关系、平台编排和报告适配属于拟新增工作，不能视为已经实现。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483"/>
        <w:gridCol w:w="8366"/>
      </w:tblGrid>
      <w:tr>
        <w:trPr>
          <w:cantSplit/>
          <w:tblHeader/>
        </w:trPr>
        <w:tc>
          <w:tcPr>
            <w:tcW w:type="dxa" w:w="1483"/>
            <w:vAlign w:val="center"/>
            <w:shd w:fill="E8F0F8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Songti SC"/>
                <w:b/>
                <w:color w:val="000000"/>
                <w:sz w:val="21"/>
              </w:rPr>
              <w:t>决策项</w:t>
            </w:r>
          </w:p>
        </w:tc>
        <w:tc>
          <w:tcPr>
            <w:tcW w:type="dxa" w:w="8366"/>
            <w:vAlign w:val="center"/>
            <w:shd w:fill="E8F0F8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/>
                <w:color w:val="000000"/>
                <w:sz w:val="21"/>
              </w:rPr>
              <w:t>建议方案</w:t>
            </w:r>
          </w:p>
        </w:tc>
      </w:tr>
      <w:tr>
        <w:trPr>
          <w:cantSplit/>
        </w:trPr>
        <w:tc>
          <w:tcPr>
            <w:tcW w:type="dxa" w:w="1483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21"/>
              </w:rPr>
              <w:t>主要场景</w:t>
            </w:r>
          </w:p>
        </w:tc>
        <w:tc>
          <w:tcPr>
            <w:tcW w:type="dxa" w:w="8366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1"/>
              </w:rPr>
              <w:t>个人完成课程研究或大学生创新项目，首版聚焦一个项目从资料到报告的过程。</w:t>
            </w:r>
          </w:p>
        </w:tc>
      </w:tr>
      <w:tr>
        <w:trPr>
          <w:cantSplit/>
        </w:trPr>
        <w:tc>
          <w:tcPr>
            <w:tcW w:type="dxa" w:w="1483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21"/>
              </w:rPr>
              <w:t>主入口</w:t>
            </w:r>
          </w:p>
        </w:tc>
        <w:tc>
          <w:tcPr>
            <w:tcW w:type="dxa" w:w="8366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1"/>
              </w:rPr>
              <w:t>以知衡的 React 桌面 Web 工作台为基础；后续复用行简 App 提供移动查看和记录。</w:t>
            </w:r>
          </w:p>
        </w:tc>
      </w:tr>
      <w:tr>
        <w:trPr>
          <w:cantSplit/>
        </w:trPr>
        <w:tc>
          <w:tcPr>
            <w:tcW w:type="dxa" w:w="1483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21"/>
              </w:rPr>
              <w:t>能力分工</w:t>
            </w:r>
          </w:p>
        </w:tc>
        <w:tc>
          <w:tcPr>
            <w:tcW w:type="dxa" w:w="8366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1"/>
              </w:rPr>
              <w:t>知衡负责依据与计算；行简负责安排与确认；知途负责进展接续；JATSCraft 负责规范输出。</w:t>
            </w:r>
          </w:p>
        </w:tc>
      </w:tr>
      <w:tr>
        <w:trPr>
          <w:cantSplit/>
        </w:trPr>
        <w:tc>
          <w:tcPr>
            <w:tcW w:type="dxa" w:w="1483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21"/>
              </w:rPr>
              <w:t>平台职责</w:t>
            </w:r>
          </w:p>
        </w:tc>
        <w:tc>
          <w:tcPr>
            <w:tcW w:type="dxa" w:w="8366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1"/>
              </w:rPr>
              <w:t>AgentArts 承担目标理解、工具编排、角色协作和运行评估，专业规则继续由后端执行。</w:t>
            </w:r>
          </w:p>
        </w:tc>
      </w:tr>
      <w:tr>
        <w:trPr>
          <w:cantSplit/>
        </w:trPr>
        <w:tc>
          <w:tcPr>
            <w:tcW w:type="dxa" w:w="1483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21"/>
              </w:rPr>
              <w:t>开发方式</w:t>
            </w:r>
          </w:p>
        </w:tc>
        <w:tc>
          <w:tcPr>
            <w:tcW w:type="dxa" w:w="8366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1"/>
              </w:rPr>
              <w:t>建立独立集成工程，保留四个原仓库、作者记录与比赛归档，通过适配层逐项接入。</w:t>
            </w:r>
          </w:p>
        </w:tc>
      </w:tr>
    </w:tbl>
    <w:p>
      <w:pPr>
        <w:spacing w:line="60" w:lineRule="exact" w:after="60"/>
      </w:pPr>
      <w:r>
        <w:rPr>
          <w:rFonts w:ascii="Arial" w:hAnsi="Arial" w:eastAsia="Songti SC"/>
          <w:color w:val="000000"/>
        </w:rPr>
      </w:r>
    </w:p>
    <w:p>
      <w:pPr>
        <w:pStyle w:val="Heading2"/>
        <w:spacing w:line="276" w:lineRule="auto"/>
      </w:pPr>
      <w:r>
        <w:rPr>
          <w:rFonts w:ascii="Arial" w:hAnsi="Arial" w:eastAsia="Heiti SC"/>
          <w:color w:val="000000"/>
        </w:rPr>
        <w:t>本期范围</w:t>
      </w:r>
    </w:p>
    <w:p>
      <w:r>
        <w:rPr>
          <w:rFonts w:ascii="Arial" w:hAnsi="Arial" w:eastAsia="Songti SC"/>
          <w:color w:val="000000"/>
        </w:rPr>
        <w:t>首版完成一条真实流程：导入资料、得到带依据的结论、生成任务提案、确认安排、记录进展、恢复继续点、输出一套固定模板报告。优先让这些步骤共享同一个项目和版本记录。</w:t>
      </w:r>
    </w:p>
    <w:p>
      <w:r>
        <w:rPr>
          <w:rFonts w:ascii="Arial" w:hAnsi="Arial" w:eastAsia="Songti SC"/>
          <w:color w:val="000000"/>
        </w:rPr>
        <w:t>多人实时协作、自动投稿、全网自主抓取、通用论文生成、复杂校园导航和大规模自动画像暂不进入首版。原生环境不在本机安装，原生端验证由团队现有设备承担。</w:t>
      </w:r>
    </w:p>
    <w:p>
      <w:pPr>
        <w:pStyle w:val="Heading1"/>
        <w:pageBreakBefore/>
        <w:spacing w:line="276" w:lineRule="auto"/>
      </w:pPr>
      <w:r>
        <w:rPr>
          <w:rFonts w:ascii="Arial" w:hAnsi="Arial" w:eastAsia="Heiti SC"/>
          <w:color w:val="000000"/>
        </w:rPr>
        <w:t>二  目标用户与完整业务流程</w:t>
      </w:r>
    </w:p>
    <w:p>
      <w:r>
        <w:rPr>
          <w:rFonts w:ascii="Arial" w:hAnsi="Arial" w:eastAsia="Songti SC"/>
          <w:color w:val="000000"/>
        </w:rPr>
        <w:t>主用户是准备课程研究报告、阶段汇报或大创材料的学生。首版由一个登录用户管理项目；未来可扩展指导教师查看与团队共享，但不预设当前已有多人协作权限。</w:t>
      </w:r>
    </w:p>
    <w:p>
      <w:pPr>
        <w:pStyle w:val="Heading2"/>
        <w:spacing w:line="276" w:lineRule="auto"/>
      </w:pPr>
      <w:r>
        <w:rPr>
          <w:rFonts w:ascii="Arial" w:hAnsi="Arial" w:eastAsia="Heiti SC"/>
          <w:color w:val="000000"/>
        </w:rPr>
        <w:t>演示任务</w:t>
      </w:r>
    </w:p>
    <w:p>
      <w:r>
        <w:rPr>
          <w:rFonts w:ascii="Arial" w:hAnsi="Arial" w:eastAsia="Songti SC"/>
          <w:color w:val="000000"/>
        </w:rPr>
        <w:t>学生需要两周后提交校园节能研究报告，提供一份任务书、三份已获授权的参考资料、一份实验数据表和自己的课程安排。系统先确认交付形式与时间预算，再开展分析和规划。合成实验数据须在界面和演示中标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152"/>
        <w:gridCol w:w="2995"/>
        <w:gridCol w:w="5702"/>
      </w:tblGrid>
      <w:tr>
        <w:trPr>
          <w:cantSplit/>
          <w:tblHeader/>
        </w:trPr>
        <w:tc>
          <w:tcPr>
            <w:tcW w:type="dxa" w:w="1152"/>
            <w:vAlign w:val="center"/>
            <w:shd w:fill="E8F0F8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Songti SC"/>
                <w:b/>
                <w:color w:val="000000"/>
                <w:sz w:val="20"/>
              </w:rPr>
              <w:t>步骤</w:t>
            </w:r>
          </w:p>
        </w:tc>
        <w:tc>
          <w:tcPr>
            <w:tcW w:type="dxa" w:w="2995"/>
            <w:vAlign w:val="center"/>
            <w:shd w:fill="E8F0F8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/>
                <w:color w:val="000000"/>
                <w:sz w:val="20"/>
              </w:rPr>
              <w:t>用户操作</w:t>
            </w:r>
          </w:p>
        </w:tc>
        <w:tc>
          <w:tcPr>
            <w:tcW w:type="dxa" w:w="5702"/>
            <w:vAlign w:val="center"/>
            <w:shd w:fill="E8F0F8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/>
                <w:color w:val="000000"/>
                <w:sz w:val="20"/>
              </w:rPr>
              <w:t>系统结果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1 明确目标</w:t>
            </w:r>
          </w:p>
        </w:tc>
        <w:tc>
          <w:tcPr>
            <w:tcW w:type="dxa" w:w="2995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输入目标并选择资料</w:t>
            </w:r>
          </w:p>
        </w:tc>
        <w:tc>
          <w:tcPr>
            <w:tcW w:type="dxa" w:w="5702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识别截止日期与交付物，只询问真正缺少的条件。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2 核对依据</w:t>
            </w:r>
          </w:p>
        </w:tc>
        <w:tc>
          <w:tcPr>
            <w:tcW w:type="dxa" w:w="2995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查看数据和文档结论</w:t>
            </w:r>
          </w:p>
        </w:tc>
        <w:tc>
          <w:tcPr>
            <w:tcW w:type="dxa" w:w="5702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展示原页、表格结果、单位与公式；缺依据则标记待核对。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3 形成行动</w:t>
            </w:r>
          </w:p>
        </w:tc>
        <w:tc>
          <w:tcPr>
            <w:tcW w:type="dxa" w:w="2995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选择需要继续研究的问题</w:t>
            </w:r>
          </w:p>
        </w:tc>
        <w:tc>
          <w:tcPr>
            <w:tcW w:type="dxa" w:w="5702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将阅读、补实验、计算核查和写作拆成工作项。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4 确认安排</w:t>
            </w:r>
          </w:p>
        </w:tc>
        <w:tc>
          <w:tcPr>
            <w:tcW w:type="dxa" w:w="2995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比较计划并确认</w:t>
            </w:r>
          </w:p>
        </w:tc>
        <w:tc>
          <w:tcPr>
            <w:tcW w:type="dxa" w:w="5702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结合课表检查冲突，保存明确授权的时间安排与回执。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5 记录进展</w:t>
            </w:r>
          </w:p>
        </w:tc>
        <w:tc>
          <w:tcPr>
            <w:tcW w:type="dxa" w:w="2995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专注并留下草稿或说明</w:t>
            </w:r>
          </w:p>
        </w:tc>
        <w:tc>
          <w:tcPr>
            <w:tcW w:type="dxa" w:w="5702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分别保存实际投入、用户声明的状态和下次继续点。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6 接续工作</w:t>
            </w:r>
          </w:p>
        </w:tc>
        <w:tc>
          <w:tcPr>
            <w:tcW w:type="dxa" w:w="2995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点击继续上次</w:t>
            </w:r>
          </w:p>
        </w:tc>
        <w:tc>
          <w:tcPr>
            <w:tcW w:type="dxa" w:w="5702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恢复相关资料、未解决问题与草稿，不要求重讲全部背景。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7 输出成果</w:t>
            </w:r>
          </w:p>
        </w:tc>
        <w:tc>
          <w:tcPr>
            <w:tcW w:type="dxa" w:w="2995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审阅结论与报告草稿</w:t>
            </w:r>
          </w:p>
        </w:tc>
        <w:tc>
          <w:tcPr>
            <w:tcW w:type="dxa" w:w="5702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按固定结构生成 PDF，保留引用、版本和输出检查结果。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8 处理变化</w:t>
            </w:r>
          </w:p>
        </w:tc>
        <w:tc>
          <w:tcPr>
            <w:tcW w:type="dxa" w:w="2995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上传修订后的数据表</w:t>
            </w:r>
          </w:p>
        </w:tc>
        <w:tc>
          <w:tcPr>
            <w:tcW w:type="dxa" w:w="5702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标记受影响内容，重新分析并提出更新建议，保留旧成果。</w:t>
            </w:r>
          </w:p>
        </w:tc>
      </w:tr>
    </w:tbl>
    <w:p>
      <w:pPr>
        <w:spacing w:line="60" w:lineRule="exact" w:after="60"/>
      </w:pPr>
      <w:r>
        <w:rPr>
          <w:rFonts w:ascii="Arial" w:hAnsi="Arial" w:eastAsia="Songti SC"/>
          <w:color w:val="000000"/>
        </w:rPr>
      </w:r>
    </w:p>
    <w:p>
      <w:pPr>
        <w:pStyle w:val="Heading2"/>
        <w:spacing w:line="276" w:lineRule="auto"/>
      </w:pPr>
      <w:r>
        <w:rPr>
          <w:rFonts w:ascii="Arial" w:hAnsi="Arial" w:eastAsia="Heiti SC"/>
          <w:color w:val="000000"/>
        </w:rPr>
        <w:t>组合后的新增价值</w:t>
      </w:r>
    </w:p>
    <w:p>
      <w:pPr>
        <w:ind w:left="173" w:hanging="173"/>
      </w:pPr>
      <w:r>
        <w:rPr>
          <w:rFonts w:ascii="Arial" w:hAnsi="Arial" w:eastAsia="Songti SC"/>
          <w:color w:val="000000"/>
        </w:rPr>
        <w:t>•  结论与行动相连：每项研究任务都能回答为什么产生、依据是哪条结论或资料缺口。</w:t>
      </w:r>
    </w:p>
    <w:p>
      <w:pPr>
        <w:ind w:left="173" w:hanging="173"/>
      </w:pPr>
      <w:r>
        <w:rPr>
          <w:rFonts w:ascii="Arial" w:hAnsi="Arial" w:eastAsia="Songti SC"/>
          <w:color w:val="000000"/>
        </w:rPr>
        <w:t>•  进展与成果相连：用户投入时间、修改草稿和最终完成状态分别记录，继续点指向实际工作。</w:t>
      </w:r>
    </w:p>
    <w:p>
      <w:pPr>
        <w:ind w:left="173" w:hanging="173"/>
      </w:pPr>
      <w:r>
        <w:rPr>
          <w:rFonts w:ascii="Arial" w:hAnsi="Arial" w:eastAsia="Songti SC"/>
          <w:color w:val="000000"/>
        </w:rPr>
        <w:t>•  变化能够追踪：来源更新后，旧结论和报告显示版本边界；未经确认不覆盖现有安排。</w:t>
      </w:r>
    </w:p>
    <w:p>
      <w:r>
        <w:rPr>
          <w:rFonts w:ascii="Arial" w:hAnsi="Arial" w:eastAsia="Songti SC"/>
          <w:color w:val="000000"/>
          <w:sz w:val="20"/>
        </w:rPr>
        <w:t>上述关联与平台编排需要在新项目中实现和评测。仅复用页面、统一名称或累计旧测试数量，不足以证明新产品效果。</w:t>
      </w:r>
    </w:p>
    <w:p>
      <w:pPr>
        <w:pStyle w:val="Heading1"/>
        <w:pageBreakBefore/>
        <w:spacing w:line="276" w:lineRule="auto"/>
      </w:pPr>
      <w:r>
        <w:rPr>
          <w:rFonts w:ascii="Arial" w:hAnsi="Arial" w:eastAsia="Heiti SC"/>
          <w:color w:val="000000"/>
        </w:rPr>
        <w:t>三  系统架构与能力边界</w:t>
      </w:r>
    </w:p>
    <w:p>
      <w:r>
        <w:rPr>
          <w:rFonts w:ascii="Arial" w:hAnsi="Arial" w:eastAsia="Songti SC"/>
          <w:color w:val="000000"/>
        </w:rPr>
        <w:t>采用统一 Web 前端和项目网关，连接 AgentArts 与专业服务。首版允许几个服务独立运行；通过共同的项目身份和结果契约合作，不要求一开始把所有数据库合并。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54496" cy="3300984"/>
            <wp:docPr id="1" name="Picture 1" descr="目标架构。统一工作台经项目网关调用AgentArts，编排四个专业工具。用户确认由业务服务独立执行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54496" cy="3300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 w:eastAsia="Songti SC"/>
          <w:color w:val="000000"/>
        </w:rPr>
        <w:t>图1  四项目通过统一身份与工具契约合作的目标架构</w:t>
      </w:r>
    </w:p>
    <w:p>
      <w:pPr>
        <w:pStyle w:val="Heading2"/>
        <w:spacing w:line="276" w:lineRule="auto"/>
      </w:pPr>
      <w:r>
        <w:rPr>
          <w:rFonts w:ascii="Arial" w:hAnsi="Arial" w:eastAsia="Heiti SC"/>
          <w:color w:val="000000"/>
        </w:rPr>
        <w:t>职责必须分开</w:t>
      </w:r>
    </w:p>
    <w:p>
      <w:pPr>
        <w:ind w:left="173" w:hanging="173"/>
      </w:pPr>
      <w:r>
        <w:rPr>
          <w:rFonts w:ascii="Arial" w:hAnsi="Arial" w:eastAsia="Songti SC"/>
          <w:color w:val="000000"/>
        </w:rPr>
        <w:t>•  AgentArts 决定使用哪些受支持的工具、何时补问及如何汇总结果；原有规则服务执行检索、数值计算、冲突校验和文件生成。</w:t>
      </w:r>
    </w:p>
    <w:p>
      <w:pPr>
        <w:ind w:left="173" w:hanging="173"/>
      </w:pPr>
      <w:r>
        <w:rPr>
          <w:rFonts w:ascii="Arial" w:hAnsi="Arial" w:eastAsia="Songti SC"/>
          <w:color w:val="000000"/>
        </w:rPr>
        <w:t>•  写入任务由用户确认请求触发。平台可以生成提案，但不能自行调用“代用户确认”；身份也不能由模型随意传入。</w:t>
      </w:r>
    </w:p>
    <w:p>
      <w:pPr>
        <w:ind w:left="173" w:hanging="173"/>
      </w:pPr>
      <w:r>
        <w:rPr>
          <w:rFonts w:ascii="Arial" w:hAnsi="Arial" w:eastAsia="Songti SC"/>
          <w:color w:val="000000"/>
        </w:rPr>
        <w:t>•  知识采用统一来源登记。AgentArts 内置知识库若被采用，必须保留 source_id、版本与定位映射；无法保持定位时使用知衡检索工具。避免两套索引互相给出过期事实。</w:t>
      </w:r>
    </w:p>
    <w:p>
      <w:pPr>
        <w:ind w:left="173" w:hanging="173"/>
      </w:pPr>
      <w:r>
        <w:rPr>
          <w:rFonts w:ascii="Arial" w:hAnsi="Arial" w:eastAsia="Songti SC"/>
          <w:color w:val="000000"/>
        </w:rPr>
        <w:t>•  耗时解析和排版返回 job_id，前端查询或订阅状态。断线、取消和重试复用原任务身份，避免重复生成或收费。</w:t>
      </w:r>
    </w:p>
    <w:p>
      <w:r>
        <w:rPr>
          <w:rFonts w:ascii="Arial" w:hAnsi="Arial" w:eastAsia="Songti SC"/>
          <w:color w:val="000000"/>
          <w:sz w:val="19"/>
        </w:rPr>
        <w:t>来源：AgentArts 官方 MCP 接入与工作流文档，见文末参考资料。图示为拟建方案，尚未完成平台联调。</w:t>
      </w:r>
    </w:p>
    <w:p>
      <w:pPr>
        <w:pStyle w:val="Heading1"/>
        <w:pageBreakBefore/>
        <w:spacing w:line="276" w:lineRule="auto"/>
      </w:pPr>
      <w:r>
        <w:rPr>
          <w:rFonts w:ascii="Arial" w:hAnsi="Arial" w:eastAsia="Heiti SC"/>
          <w:color w:val="000000"/>
        </w:rPr>
        <w:t>四  共享对象与一致性规则</w:t>
      </w:r>
    </w:p>
    <w:p>
      <w:r>
        <w:rPr>
          <w:rFonts w:ascii="Arial" w:hAnsi="Arial" w:eastAsia="Songti SC"/>
          <w:color w:val="000000"/>
        </w:rPr>
        <w:t>各模块共享身份、权限和版本关系；网关维护对象映射，专业服务保留内部结构，返回结果附带所属项目。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958"/>
        <w:gridCol w:w="3542"/>
        <w:gridCol w:w="4349"/>
      </w:tblGrid>
      <w:tr>
        <w:trPr>
          <w:cantSplit/>
          <w:tblHeader/>
        </w:trPr>
        <w:tc>
          <w:tcPr>
            <w:tcW w:type="dxa" w:w="1958"/>
            <w:vAlign w:val="center"/>
            <w:shd w:fill="E8F0F8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Songti SC"/>
                <w:b/>
                <w:color w:val="000000"/>
                <w:sz w:val="20"/>
              </w:rPr>
              <w:t>对象</w:t>
            </w:r>
          </w:p>
        </w:tc>
        <w:tc>
          <w:tcPr>
            <w:tcW w:type="dxa" w:w="3542"/>
            <w:vAlign w:val="center"/>
            <w:shd w:fill="E8F0F8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/>
                <w:color w:val="000000"/>
                <w:sz w:val="20"/>
              </w:rPr>
              <w:t>主要字段</w:t>
            </w:r>
          </w:p>
        </w:tc>
        <w:tc>
          <w:tcPr>
            <w:tcW w:type="dxa" w:w="4349"/>
            <w:vAlign w:val="center"/>
            <w:shd w:fill="E8F0F8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/>
                <w:color w:val="000000"/>
                <w:sz w:val="20"/>
              </w:rPr>
              <w:t>权威来源及用途</w:t>
            </w:r>
          </w:p>
        </w:tc>
      </w:tr>
      <w:tr>
        <w:trPr>
          <w:cantSplit/>
        </w:trPr>
        <w:tc>
          <w:tcPr>
            <w:tcW w:type="dxa" w:w="1958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Project</w:t>
            </w:r>
          </w:p>
        </w:tc>
        <w:tc>
          <w:tcPr>
            <w:tcW w:type="dxa" w:w="3542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project_id、owner_id、goal、deadline</w:t>
            </w:r>
          </w:p>
        </w:tc>
        <w:tc>
          <w:tcPr>
            <w:tcW w:type="dxa" w:w="4349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新项目服务；约束成员、资料范围与目标。</w:t>
            </w:r>
          </w:p>
        </w:tc>
      </w:tr>
      <w:tr>
        <w:trPr>
          <w:cantSplit/>
        </w:trPr>
        <w:tc>
          <w:tcPr>
            <w:tcW w:type="dxa" w:w="1958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SourceVersion</w:t>
            </w:r>
          </w:p>
        </w:tc>
        <w:tc>
          <w:tcPr>
            <w:tcW w:type="dxa" w:w="3542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source_id、revision、hash、locator</w:t>
            </w:r>
          </w:p>
        </w:tc>
        <w:tc>
          <w:tcPr>
            <w:tcW w:type="dxa" w:w="4349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知衡资料服务；定位原文并识别变化。</w:t>
            </w:r>
          </w:p>
        </w:tc>
      </w:tr>
      <w:tr>
        <w:trPr>
          <w:cantSplit/>
        </w:trPr>
        <w:tc>
          <w:tcPr>
            <w:tcW w:type="dxa" w:w="1958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Claim</w:t>
            </w:r>
          </w:p>
        </w:tc>
        <w:tc>
          <w:tcPr>
            <w:tcW w:type="dxa" w:w="3542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claim_id、evidence_ids、calculation_ids</w:t>
            </w:r>
          </w:p>
        </w:tc>
        <w:tc>
          <w:tcPr>
            <w:tcW w:type="dxa" w:w="4349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知衡分析结果；记录结论支持范围与未解决缺口。</w:t>
            </w:r>
          </w:p>
        </w:tc>
      </w:tr>
      <w:tr>
        <w:trPr>
          <w:cantSplit/>
        </w:trPr>
        <w:tc>
          <w:tcPr>
            <w:tcW w:type="dxa" w:w="1958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OpenQuestion</w:t>
            </w:r>
          </w:p>
        </w:tc>
        <w:tc>
          <w:tcPr>
            <w:tcW w:type="dxa" w:w="3542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question_id、source_refs、status</w:t>
            </w:r>
          </w:p>
        </w:tc>
        <w:tc>
          <w:tcPr>
            <w:tcW w:type="dxa" w:w="4349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新问题登记；任务也可源于资料缺失、计算疑点和用户目标。</w:t>
            </w:r>
          </w:p>
        </w:tc>
      </w:tr>
      <w:tr>
        <w:trPr>
          <w:cantSplit/>
        </w:trPr>
        <w:tc>
          <w:tcPr>
            <w:tcW w:type="dxa" w:w="1958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Task</w:t>
            </w:r>
          </w:p>
        </w:tc>
        <w:tc>
          <w:tcPr>
            <w:tcW w:type="dxa" w:w="3542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task_id、revision、claim_ids、status</w:t>
            </w:r>
          </w:p>
        </w:tc>
        <w:tc>
          <w:tcPr>
            <w:tcW w:type="dxa" w:w="4349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行简任务服务；统一计划与完成状态。</w:t>
            </w:r>
          </w:p>
        </w:tc>
      </w:tr>
      <w:tr>
        <w:trPr>
          <w:cantSplit/>
        </w:trPr>
        <w:tc>
          <w:tcPr>
            <w:tcW w:type="dxa" w:w="1958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ProgressEntry</w:t>
            </w:r>
          </w:p>
        </w:tc>
        <w:tc>
          <w:tcPr>
            <w:tcW w:type="dxa" w:w="3542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entry_id、task_id、resume_point</w:t>
            </w:r>
          </w:p>
        </w:tc>
        <w:tc>
          <w:tcPr>
            <w:tcW w:type="dxa" w:w="4349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知途能力适配；实际投入、作品和继续点。</w:t>
            </w:r>
          </w:p>
        </w:tc>
      </w:tr>
      <w:tr>
        <w:trPr>
          <w:cantSplit/>
        </w:trPr>
        <w:tc>
          <w:tcPr>
            <w:tcW w:type="dxa" w:w="1958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ArtifactVersion</w:t>
            </w:r>
          </w:p>
        </w:tc>
        <w:tc>
          <w:tcPr>
            <w:tcW w:type="dxa" w:w="3542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artifact_id、revision、source_revisions</w:t>
            </w:r>
          </w:p>
        </w:tc>
        <w:tc>
          <w:tcPr>
            <w:tcW w:type="dxa" w:w="4349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新成果服务；记录报告草稿、PDF和检查结果。</w:t>
            </w:r>
          </w:p>
        </w:tc>
      </w:tr>
      <w:tr>
        <w:trPr>
          <w:cantSplit/>
        </w:trPr>
        <w:tc>
          <w:tcPr>
            <w:tcW w:type="dxa" w:w="1958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Run 与 Job</w:t>
            </w:r>
          </w:p>
        </w:tc>
        <w:tc>
          <w:tcPr>
            <w:tcW w:type="dxa" w:w="3542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run_id、job_id、status、cost</w:t>
            </w:r>
          </w:p>
        </w:tc>
        <w:tc>
          <w:tcPr>
            <w:tcW w:type="dxa" w:w="4349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新运行登记；关联平台调用和专业执行任务。</w:t>
            </w:r>
          </w:p>
        </w:tc>
      </w:tr>
    </w:tbl>
    <w:p>
      <w:pPr>
        <w:spacing w:line="60" w:lineRule="exact" w:after="60"/>
      </w:pPr>
      <w:r>
        <w:rPr>
          <w:rFonts w:ascii="Arial" w:hAnsi="Arial" w:eastAsia="Songti SC"/>
          <w:color w:val="000000"/>
        </w:rPr>
      </w:r>
    </w:p>
    <w:p>
      <w:pPr>
        <w:pStyle w:val="Heading2"/>
        <w:spacing w:line="276" w:lineRule="auto"/>
      </w:pPr>
      <w:r>
        <w:rPr>
          <w:rFonts w:ascii="Arial" w:hAnsi="Arial" w:eastAsia="Heiti SC"/>
          <w:color w:val="000000"/>
        </w:rPr>
        <w:t>关键状态规则</w:t>
      </w:r>
    </w:p>
    <w:p>
      <w:r>
        <w:rPr>
          <w:rFonts w:ascii="Arial" w:hAnsi="Arial" w:eastAsia="Songti SC"/>
          <w:color w:val="000000"/>
          <w:sz w:val="20"/>
        </w:rPr>
        <w:t>关联示例：资料S1第2版 → 待核对问题Q1 → 任务T1 → 进展P1与作品A1 → 经核对的结论C1 → 报告R1。每个对象保留自己的版本与来源，任务不必等待结论成立才产生。</w:t>
      </w:r>
    </w:p>
    <w:p>
      <w:pPr>
        <w:ind w:left="173" w:hanging="173"/>
      </w:pPr>
      <w:r>
        <w:rPr>
          <w:rFonts w:ascii="Arial" w:hAnsi="Arial" w:eastAsia="Songti SC"/>
          <w:color w:val="000000"/>
        </w:rPr>
        <w:t>•  计划分为草稿、待确认、已提交、已失效。提案包含任务变化、来源版本、有效期和操作ID；提交再次核对课表与任务版本，变化时要求重新预览，重试返回同一回执。</w:t>
      </w:r>
    </w:p>
    <w:p>
      <w:pPr>
        <w:ind w:left="173" w:hanging="173"/>
      </w:pPr>
      <w:r>
        <w:rPr>
          <w:rFonts w:ascii="Arial" w:hAnsi="Arial" w:eastAsia="Songti SC"/>
          <w:color w:val="000000"/>
        </w:rPr>
        <w:t>•  专注记录与完成状态分开。知途可以记录投入与用户选择，最终任务状态通过统一任务服务更新，不能用计时器自动覆盖。</w:t>
      </w:r>
    </w:p>
    <w:p>
      <w:pPr>
        <w:ind w:left="173" w:hanging="173"/>
      </w:pPr>
      <w:r>
        <w:rPr>
          <w:rFonts w:ascii="Arial" w:hAnsi="Arial" w:eastAsia="Songti SC"/>
          <w:color w:val="000000"/>
        </w:rPr>
        <w:t>•  来源更新不静默改写旧结论。关系索引标记受影响的结论和报告；分析完成后形成新版本与待确认安排。</w:t>
      </w:r>
    </w:p>
    <w:p>
      <w:pPr>
        <w:ind w:left="173" w:hanging="173"/>
      </w:pPr>
      <w:r>
        <w:rPr>
          <w:rFonts w:ascii="Arial" w:hAnsi="Arial" w:eastAsia="Songti SC"/>
          <w:color w:val="000000"/>
        </w:rPr>
        <w:t>•  关闭记忆即停止整理；删除记忆与作品分别说明影响。日志不保存私人聊天、密钥和文档正文。</w:t>
      </w:r>
    </w:p>
    <w:p>
      <w:pPr>
        <w:pStyle w:val="Heading2"/>
        <w:spacing w:line="276" w:lineRule="auto"/>
      </w:pPr>
      <w:r>
        <w:rPr>
          <w:rFonts w:ascii="Arial" w:hAnsi="Arial" w:eastAsia="Heiti SC"/>
          <w:color w:val="000000"/>
        </w:rPr>
        <w:t>首版同步策略</w:t>
      </w:r>
    </w:p>
    <w:p>
      <w:r>
        <w:rPr>
          <w:rFonts w:ascii="Arial" w:hAnsi="Arial" w:eastAsia="Songti SC"/>
          <w:color w:val="000000"/>
        </w:rPr>
        <w:t>云端记录已确认任务与成果版本；浏览器保留未提交草稿。采用明确的版本冲突提示，不做未经验证的自动多端合并。两个设备同时修改时，先比较差异，由用户选择保留内容。</w:t>
      </w:r>
    </w:p>
    <w:p>
      <w:r>
        <w:rPr>
          <w:rFonts w:ascii="Arial" w:hAnsi="Arial" w:eastAsia="Songti SC"/>
          <w:color w:val="000000"/>
        </w:rPr>
        <w:t>所有资料、任务和 job 都校验当前账号的项目权限。旧浏览器令牌迁移为登录账号关联时，应经过用户确认，不自动把共享电脑上的全部记录导入。</w:t>
      </w:r>
    </w:p>
    <w:p>
      <w:pPr>
        <w:pStyle w:val="Heading1"/>
        <w:pageBreakBefore/>
        <w:spacing w:line="276" w:lineRule="auto"/>
      </w:pPr>
      <w:r>
        <w:rPr>
          <w:rFonts w:ascii="Arial" w:hAnsi="Arial" w:eastAsia="Heiti SC"/>
          <w:color w:val="000000"/>
        </w:rPr>
        <w:t>五  AgentArts 工作流与工具契约</w:t>
      </w:r>
    </w:p>
    <w:p>
      <w:r>
        <w:rPr>
          <w:rFonts w:ascii="Arial" w:hAnsi="Arial" w:eastAsia="Songti SC"/>
          <w:color w:val="000000"/>
        </w:rPr>
        <w:t>先实现一个可观察的主工作流，再按需要拆分分析、行动和复核角色。角色数量服从实际分工；截图没有规定必须做四个 Agent。模型复核保留，但数值、权限和事务校验由确定性代码承担。</w:t>
      </w:r>
    </w:p>
    <w:p>
      <w:r>
        <w:rPr>
          <w:rFonts w:ascii="Arial" w:hAnsi="Arial" w:eastAsia="Songti SC"/>
          <w:color w:val="000000"/>
        </w:rPr>
        <w:t>主流程：接收目标 → 判断资料是否充分 → 检索或计算 → 检查依据 → 形成行动提案 → 等待用户确认 → 返回执行结果。报告生成是用户选定结论后的独立分支，避免每次问答都自动导出文件。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2189"/>
        <w:gridCol w:w="4032"/>
        <w:gridCol w:w="3629"/>
      </w:tblGrid>
      <w:tr>
        <w:trPr>
          <w:cantSplit/>
          <w:tblHeader/>
        </w:trPr>
        <w:tc>
          <w:tcPr>
            <w:tcW w:type="dxa" w:w="2189"/>
            <w:vAlign w:val="center"/>
            <w:shd w:fill="E8F0F8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Songti SC"/>
                <w:b/>
                <w:color w:val="000000"/>
                <w:sz w:val="19"/>
              </w:rPr>
              <w:t>拟新增工具</w:t>
            </w:r>
          </w:p>
        </w:tc>
        <w:tc>
          <w:tcPr>
            <w:tcW w:type="dxa" w:w="4032"/>
            <w:vAlign w:val="center"/>
            <w:shd w:fill="E8F0F8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/>
                <w:color w:val="000000"/>
                <w:sz w:val="19"/>
              </w:rPr>
              <w:t>输入与输出</w:t>
            </w:r>
          </w:p>
        </w:tc>
        <w:tc>
          <w:tcPr>
            <w:tcW w:type="dxa" w:w="3629"/>
            <w:vAlign w:val="center"/>
            <w:shd w:fill="E8F0F8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/>
                <w:color w:val="000000"/>
                <w:sz w:val="19"/>
              </w:rPr>
              <w:t>约束</w:t>
            </w:r>
          </w:p>
        </w:tc>
      </w:tr>
      <w:tr>
        <w:trPr>
          <w:cantSplit/>
        </w:trPr>
        <w:tc>
          <w:tcPr>
            <w:tcW w:type="dxa" w:w="2189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19"/>
              </w:rPr>
              <w:t>retrieve_evidence</w:t>
            </w:r>
          </w:p>
        </w:tc>
        <w:tc>
          <w:tcPr>
            <w:tcW w:type="dxa" w:w="4032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19"/>
              </w:rPr>
              <w:t>问题及允许的资料 → 摘录、定位、版本</w:t>
            </w:r>
          </w:p>
        </w:tc>
        <w:tc>
          <w:tcPr>
            <w:tcW w:type="dxa" w:w="3629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19"/>
              </w:rPr>
              <w:t>按项目过滤；资料文字不提升为行为指令。</w:t>
            </w:r>
          </w:p>
        </w:tc>
      </w:tr>
      <w:tr>
        <w:trPr>
          <w:cantSplit/>
        </w:trPr>
        <w:tc>
          <w:tcPr>
            <w:tcW w:type="dxa" w:w="2189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19"/>
              </w:rPr>
              <w:t>query_table_readonly</w:t>
            </w:r>
          </w:p>
        </w:tc>
        <w:tc>
          <w:tcPr>
            <w:tcW w:type="dxa" w:w="4032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19"/>
              </w:rPr>
              <w:t>查询条件 → 结果、SQL与口径</w:t>
            </w:r>
          </w:p>
        </w:tc>
        <w:tc>
          <w:tcPr>
            <w:tcW w:type="dxa" w:w="3629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19"/>
              </w:rPr>
              <w:t>只读受限查询；拒绝越权或写库操作。</w:t>
            </w:r>
          </w:p>
        </w:tc>
      </w:tr>
      <w:tr>
        <w:trPr>
          <w:cantSplit/>
        </w:trPr>
        <w:tc>
          <w:tcPr>
            <w:tcW w:type="dxa" w:w="2189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19"/>
              </w:rPr>
              <w:t>calculate_evidence</w:t>
            </w:r>
          </w:p>
        </w:tc>
        <w:tc>
          <w:tcPr>
            <w:tcW w:type="dxa" w:w="4032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19"/>
              </w:rPr>
              <w:t>已核实数值、单位、公式 → 结果</w:t>
            </w:r>
          </w:p>
        </w:tc>
        <w:tc>
          <w:tcPr>
            <w:tcW w:type="dxa" w:w="3629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19"/>
              </w:rPr>
              <w:t>有界计算；缺少输入时返回缺口。</w:t>
            </w:r>
          </w:p>
        </w:tc>
      </w:tr>
      <w:tr>
        <w:trPr>
          <w:cantSplit/>
        </w:trPr>
        <w:tc>
          <w:tcPr>
            <w:tcW w:type="dxa" w:w="2189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19"/>
              </w:rPr>
              <w:t>get_plan_context</w:t>
            </w:r>
          </w:p>
        </w:tc>
        <w:tc>
          <w:tcPr>
            <w:tcW w:type="dxa" w:w="4032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19"/>
              </w:rPr>
              <w:t>时间范围 → 课表、任务、许可</w:t>
            </w:r>
          </w:p>
        </w:tc>
        <w:tc>
          <w:tcPr>
            <w:tcW w:type="dxa" w:w="3629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19"/>
              </w:rPr>
              <w:t>只读取当前用户已授权的数据。</w:t>
            </w:r>
          </w:p>
        </w:tc>
      </w:tr>
      <w:tr>
        <w:trPr>
          <w:cantSplit/>
        </w:trPr>
        <w:tc>
          <w:tcPr>
            <w:tcW w:type="dxa" w:w="2189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19"/>
              </w:rPr>
              <w:t>propose_schedule</w:t>
            </w:r>
          </w:p>
        </w:tc>
        <w:tc>
          <w:tcPr>
            <w:tcW w:type="dxa" w:w="4032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19"/>
              </w:rPr>
              <w:t>工作项与约束 → 待确认提案</w:t>
            </w:r>
          </w:p>
        </w:tc>
        <w:tc>
          <w:tcPr>
            <w:tcW w:type="dxa" w:w="3629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19"/>
              </w:rPr>
              <w:t>不直接提交；附冲突、理由和版本。</w:t>
            </w:r>
          </w:p>
        </w:tc>
      </w:tr>
      <w:tr>
        <w:trPr>
          <w:cantSplit/>
        </w:trPr>
        <w:tc>
          <w:tcPr>
            <w:tcW w:type="dxa" w:w="2189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19"/>
              </w:rPr>
              <w:t>get_resume_point</w:t>
            </w:r>
          </w:p>
        </w:tc>
        <w:tc>
          <w:tcPr>
            <w:tcW w:type="dxa" w:w="4032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19"/>
              </w:rPr>
              <w:t>项目与任务 → 上次进展和继续点</w:t>
            </w:r>
          </w:p>
        </w:tc>
        <w:tc>
          <w:tcPr>
            <w:tcW w:type="dxa" w:w="3629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19"/>
              </w:rPr>
              <w:t>仅使用已同意保留的内容。</w:t>
            </w:r>
          </w:p>
        </w:tc>
      </w:tr>
      <w:tr>
        <w:trPr>
          <w:cantSplit/>
        </w:trPr>
        <w:tc>
          <w:tcPr>
            <w:tcW w:type="dxa" w:w="2189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19"/>
              </w:rPr>
              <w:t>start_report_job</w:t>
            </w:r>
          </w:p>
        </w:tc>
        <w:tc>
          <w:tcPr>
            <w:tcW w:type="dxa" w:w="4032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19"/>
              </w:rPr>
              <w:t>报告版本及模板 → job_id</w:t>
            </w:r>
          </w:p>
        </w:tc>
        <w:tc>
          <w:tcPr>
            <w:tcW w:type="dxa" w:w="3629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19"/>
              </w:rPr>
              <w:t>固定模板与隔离目录；禁止任意命令。</w:t>
            </w:r>
          </w:p>
        </w:tc>
      </w:tr>
      <w:tr>
        <w:trPr>
          <w:cantSplit/>
        </w:trPr>
        <w:tc>
          <w:tcPr>
            <w:tcW w:type="dxa" w:w="2189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19"/>
              </w:rPr>
              <w:t>get_job_status</w:t>
            </w:r>
          </w:p>
        </w:tc>
        <w:tc>
          <w:tcPr>
            <w:tcW w:type="dxa" w:w="4032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19"/>
              </w:rPr>
              <w:t>job_id → 状态、检查及产物ID</w:t>
            </w:r>
          </w:p>
        </w:tc>
        <w:tc>
          <w:tcPr>
            <w:tcW w:type="dxa" w:w="3629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19"/>
              </w:rPr>
              <w:t>校验所有权；支持取消与失败恢复。</w:t>
            </w:r>
          </w:p>
        </w:tc>
      </w:tr>
    </w:tbl>
    <w:p>
      <w:pPr>
        <w:spacing w:line="60" w:lineRule="exact" w:after="60"/>
      </w:pPr>
      <w:r>
        <w:rPr>
          <w:rFonts w:ascii="Arial" w:hAnsi="Arial" w:eastAsia="Songti SC"/>
          <w:color w:val="000000"/>
        </w:rPr>
      </w:r>
    </w:p>
    <w:p>
      <w:r>
        <w:rPr>
          <w:rFonts w:ascii="Arial" w:hAnsi="Arial" w:eastAsia="Songti SC"/>
          <w:color w:val="000000"/>
          <w:sz w:val="19"/>
        </w:rPr>
        <w:t>表中名称为建议契约，尚未存在为统一的 MCP 接口。HTTP 或 MCP 适配方式应在平台最小联调后冻结。</w:t>
      </w:r>
    </w:p>
    <w:p>
      <w:pPr>
        <w:pStyle w:val="Heading2"/>
        <w:spacing w:line="276" w:lineRule="auto"/>
      </w:pPr>
      <w:r>
        <w:rPr>
          <w:rFonts w:ascii="Arial" w:hAnsi="Arial" w:eastAsia="Heiti SC"/>
          <w:color w:val="000000"/>
        </w:rPr>
        <w:t>执行与异常处理</w:t>
      </w:r>
    </w:p>
    <w:p>
      <w:pPr>
        <w:ind w:left="173" w:hanging="173"/>
      </w:pPr>
      <w:r>
        <w:rPr>
          <w:rFonts w:ascii="Arial" w:hAnsi="Arial" w:eastAsia="Songti SC"/>
          <w:color w:val="000000"/>
        </w:rPr>
        <w:t>•  输出结构统一包含 request_id、status、data、evidence_refs、warnings 和可重试错误码；费用与日志另存，避免把内部凭据放入工具结果。</w:t>
      </w:r>
    </w:p>
    <w:p>
      <w:pPr>
        <w:ind w:left="173" w:hanging="173"/>
      </w:pPr>
      <w:r>
        <w:rPr>
          <w:rFonts w:ascii="Arial" w:hAnsi="Arial" w:eastAsia="Songti SC"/>
          <w:color w:val="000000"/>
        </w:rPr>
        <w:t>•  超时返回可查询的 run_id；只读调用可以有限重试，写入和导出使用幂等键。取消后的晚到响应不能恢复已取消的界面。</w:t>
      </w:r>
    </w:p>
    <w:p>
      <w:pPr>
        <w:ind w:left="173" w:hanging="173"/>
      </w:pPr>
      <w:r>
        <w:rPr>
          <w:rFonts w:ascii="Arial" w:hAnsi="Arial" w:eastAsia="Songti SC"/>
          <w:color w:val="000000"/>
        </w:rPr>
        <w:t>•  人工确认可以跨会话等待。服务器持久化提案；确认后以回执继续后续流程，不依赖一个长时间挂起的模型请求。</w:t>
      </w:r>
    </w:p>
    <w:p>
      <w:pPr>
        <w:pStyle w:val="Heading1"/>
        <w:pageBreakBefore/>
        <w:spacing w:line="276" w:lineRule="auto"/>
      </w:pPr>
      <w:r>
        <w:rPr>
          <w:rFonts w:ascii="Arial" w:hAnsi="Arial" w:eastAsia="Heiti SC"/>
          <w:color w:val="000000"/>
        </w:rPr>
        <w:t>六  各项目具体复用与修改方式</w:t>
      </w:r>
    </w:p>
    <w:p>
      <w:pPr>
        <w:pStyle w:val="Heading2"/>
        <w:spacing w:line="276" w:lineRule="auto"/>
      </w:pPr>
      <w:r>
        <w:rPr>
          <w:rFonts w:ascii="Arial" w:hAnsi="Arial" w:eastAsia="Heiti SC"/>
          <w:color w:val="000000"/>
        </w:rPr>
        <w:t>知衡  保留分析能力 新增服务适配</w:t>
      </w:r>
    </w:p>
    <w:p>
      <w:r>
        <w:rPr>
          <w:rFonts w:ascii="Arial" w:hAnsi="Arial" w:eastAsia="Songti SC"/>
          <w:color w:val="000000"/>
        </w:rPr>
        <w:t>复用资料解析、混合检索、只读查询、受控计算、answer_contract 与现有来源版本记录。新建面向 AgentArts 的工具适配层，将“检索片段”“执行查询”“计算结果”分别返回，避免只暴露整套旧聊天接口。</w:t>
      </w:r>
    </w:p>
    <w:p>
      <w:r>
        <w:rPr>
          <w:rFonts w:ascii="Arial" w:hAnsi="Arial" w:eastAsia="Songti SC"/>
          <w:color w:val="000000"/>
        </w:rPr>
        <w:t>重点修改点：backend/main.py 的本机入口保持原样；新增云端网关，不删除旧本机保护。围绕 model_gateway.py 拆开专业工具与旧模型循环；复用 answer_contract.py 的依据关系和 export_service.py 的已保存快照。前端提取资料目录、原页对照与结果组件。</w:t>
      </w:r>
    </w:p>
    <w:p>
      <w:pPr>
        <w:pStyle w:val="Heading2"/>
        <w:spacing w:line="276" w:lineRule="auto"/>
      </w:pPr>
      <w:r>
        <w:rPr>
          <w:rFonts w:ascii="Arial" w:hAnsi="Arial" w:eastAsia="Heiti SC"/>
          <w:color w:val="000000"/>
        </w:rPr>
        <w:t>行简  统一任务权威来源</w:t>
      </w:r>
    </w:p>
    <w:p>
      <w:r>
        <w:rPr>
          <w:rFonts w:ascii="Arial" w:hAnsi="Arial" w:eastAsia="Songti SC"/>
          <w:color w:val="000000"/>
        </w:rPr>
        <w:t>复用任务、课表、重排和 ActionService 的确认事务。新提案附带 project_id、claim_id 与资料版本映射；原接口通过适配保持兼容。确认前再次校验时间冲突，保留明确允许课内安排的设置及提醒。</w:t>
      </w:r>
    </w:p>
    <w:p>
      <w:r>
        <w:rPr>
          <w:rFonts w:ascii="Arial" w:hAnsi="Arial" w:eastAsia="Songti SC"/>
          <w:color w:val="000000"/>
        </w:rPr>
        <w:t>重点修改点：action_service.py、replanning.py 与 run_service.py 的集成边界；当前单实例和 SQLite 事务约束先保留。ArkTS 界面不直接搬到 React，先复用契约与交互规则，原生编辑显示问题作为独立维护事项处理。</w:t>
      </w:r>
    </w:p>
    <w:p>
      <w:pPr>
        <w:pStyle w:val="Heading2"/>
        <w:spacing w:line="276" w:lineRule="auto"/>
      </w:pPr>
      <w:r>
        <w:rPr>
          <w:rFonts w:ascii="Arial" w:hAnsi="Arial" w:eastAsia="Heiti SC"/>
          <w:color w:val="000000"/>
        </w:rPr>
        <w:t>知途  复用接续体验 归并重复状态</w:t>
      </w:r>
    </w:p>
    <w:p>
      <w:r>
        <w:rPr>
          <w:rFonts w:ascii="Arial" w:hAnsi="Arial" w:eastAsia="Songti SC"/>
          <w:color w:val="000000"/>
        </w:rPr>
        <w:t>复用进展、作品、专注、记忆授权和继续点。通过 task_id 映射连接行简，不再建立第二套任务完成事实。旧记录以显式导入方式迁移；后台整理只更新进展建议，不擅自改计划。</w:t>
      </w:r>
    </w:p>
    <w:p>
      <w:r>
        <w:rPr>
          <w:rFonts w:ascii="Arial" w:hAnsi="Arial" w:eastAsia="Songti SC"/>
          <w:color w:val="000000"/>
        </w:rPr>
        <w:t>重点修改点：server/companion.mjs 与 service.mjs 的身份和事件适配；提取 GettingStarted.tsx、进展卡片与专注交互。两个 React 项目的依赖版本不同，选定一套基线后逐组件迁入，不合并两份 package.json。</w:t>
      </w:r>
    </w:p>
    <w:p>
      <w:pPr>
        <w:pStyle w:val="Heading2"/>
        <w:spacing w:line="276" w:lineRule="auto"/>
      </w:pPr>
      <w:r>
        <w:rPr>
          <w:rFonts w:ascii="Arial" w:hAnsi="Arial" w:eastAsia="Heiti SC"/>
          <w:color w:val="000000"/>
        </w:rPr>
        <w:t>JATSCraft  作为后台成果工具</w:t>
      </w:r>
    </w:p>
    <w:p>
      <w:r>
        <w:rPr>
          <w:rFonts w:ascii="Arial" w:hAnsi="Arial" w:eastAsia="Songti SC"/>
          <w:color w:val="000000"/>
        </w:rPr>
        <w:t>保留 parser、pipeline、compiler 和质量检查。新增 ReportSpec 适配及隔离排版 worker，使用固定输入、模板和产物目录；不把仅绑定本机的 Studio 服务直接暴露到公网。</w:t>
      </w:r>
    </w:p>
    <w:p>
      <w:r>
        <w:rPr>
          <w:rFonts w:ascii="Arial" w:hAnsi="Arial" w:eastAsia="Songti SC"/>
          <w:color w:val="000000"/>
        </w:rPr>
        <w:t>重点修改点：外围 job 服务与格式适配是新增；DocumentIR 仍依赖 XML 结构，不能假定 JSON 报告可直接传入。云环境重新固定 Linux 依赖和字体，保留禁用 shell escape、超时和路径约束。</w:t>
      </w:r>
    </w:p>
    <w:p>
      <w:pPr>
        <w:pStyle w:val="Heading1"/>
        <w:pageBreakBefore/>
        <w:spacing w:line="276" w:lineRule="auto"/>
      </w:pPr>
      <w:r>
        <w:rPr>
          <w:rFonts w:ascii="Arial" w:hAnsi="Arial" w:eastAsia="Heiti SC"/>
          <w:color w:val="000000"/>
        </w:rPr>
        <w:t>七  报告生成与成果追溯</w:t>
      </w:r>
    </w:p>
    <w:p>
      <w:r>
        <w:rPr>
          <w:rFonts w:ascii="Arial" w:hAnsi="Arial" w:eastAsia="Songti SC"/>
          <w:color w:val="000000"/>
        </w:rPr>
        <w:t>报告生成以用户选定且审阅过的结论为输入。系统提供结构整理、引用保留和排版支持；未实际完成的实验、缺失的数值和不确定结论必须继续标记，不能通过润色变成已验证事实。</w:t>
      </w:r>
    </w:p>
    <w:p>
      <w:pPr>
        <w:pStyle w:val="Heading2"/>
        <w:spacing w:line="276" w:lineRule="auto"/>
      </w:pPr>
      <w:r>
        <w:rPr>
          <w:rFonts w:ascii="Arial" w:hAnsi="Arial" w:eastAsia="Heiti SC"/>
          <w:color w:val="000000"/>
        </w:rPr>
        <w:t>受支持的报告结构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440"/>
        <w:gridCol w:w="3816"/>
        <w:gridCol w:w="4594"/>
      </w:tblGrid>
      <w:tr>
        <w:trPr>
          <w:cantSplit/>
          <w:tblHeader/>
        </w:trPr>
        <w:tc>
          <w:tcPr>
            <w:tcW w:type="dxa" w:w="1440"/>
            <w:vAlign w:val="center"/>
            <w:shd w:fill="E8F0F8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Songti SC"/>
                <w:b/>
                <w:color w:val="000000"/>
                <w:sz w:val="20"/>
              </w:rPr>
              <w:t>内容块</w:t>
            </w:r>
          </w:p>
        </w:tc>
        <w:tc>
          <w:tcPr>
            <w:tcW w:type="dxa" w:w="3816"/>
            <w:vAlign w:val="center"/>
            <w:shd w:fill="E8F0F8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/>
                <w:color w:val="000000"/>
                <w:sz w:val="20"/>
              </w:rPr>
              <w:t>首版支持范围</w:t>
            </w:r>
          </w:p>
        </w:tc>
        <w:tc>
          <w:tcPr>
            <w:tcW w:type="dxa" w:w="4594"/>
            <w:vAlign w:val="center"/>
            <w:shd w:fill="E8F0F8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/>
                <w:color w:val="000000"/>
                <w:sz w:val="20"/>
              </w:rPr>
              <w:t>来源要求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基本信息</w:t>
            </w:r>
          </w:p>
        </w:tc>
        <w:tc>
          <w:tcPr>
            <w:tcW w:type="dxa" w:w="3816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标题、作者自填信息、日期、项目编号</w:t>
            </w:r>
          </w:p>
        </w:tc>
        <w:tc>
          <w:tcPr>
            <w:tcW w:type="dxa" w:w="4594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不添加虚构机构、期刊刊号或出版状态。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正文</w:t>
            </w:r>
          </w:p>
        </w:tc>
        <w:tc>
          <w:tcPr>
            <w:tcW w:type="dxa" w:w="3816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背景、方法、结果、局限、下一步</w:t>
            </w:r>
          </w:p>
        </w:tc>
        <w:tc>
          <w:tcPr>
            <w:tcW w:type="dxa" w:w="4594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每个事实性结论引用 claim_id 或用户注明的内容。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表格与图</w:t>
            </w:r>
          </w:p>
        </w:tc>
        <w:tc>
          <w:tcPr>
            <w:tcW w:type="dxa" w:w="3816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经确认的结果表和已有图件</w:t>
            </w:r>
          </w:p>
        </w:tc>
        <w:tc>
          <w:tcPr>
            <w:tcW w:type="dxa" w:w="4594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绑定来源版本与生成参数；禁止默默修改单位。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公式</w:t>
            </w:r>
          </w:p>
        </w:tc>
        <w:tc>
          <w:tcPr>
            <w:tcW w:type="dxa" w:w="3816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已核实的计算表达和符号说明</w:t>
            </w:r>
          </w:p>
        </w:tc>
        <w:tc>
          <w:tcPr>
            <w:tcW w:type="dxa" w:w="4594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保留输入值、单位及结果对应关系。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引用</w:t>
            </w:r>
          </w:p>
        </w:tc>
        <w:tc>
          <w:tcPr>
            <w:tcW w:type="dxa" w:w="3816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参考文献、原页定位、资料清单</w:t>
            </w:r>
          </w:p>
        </w:tc>
        <w:tc>
          <w:tcPr>
            <w:tcW w:type="dxa" w:w="4594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缺少作者、年份或链接时明确缺失。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附件</w:t>
            </w:r>
          </w:p>
        </w:tc>
        <w:tc>
          <w:tcPr>
            <w:tcW w:type="dxa" w:w="3816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计算记录、方法说明、检查摘要</w:t>
            </w:r>
          </w:p>
        </w:tc>
        <w:tc>
          <w:tcPr>
            <w:tcW w:type="dxa" w:w="4594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按需纳入，避免正文被运行日志占满。</w:t>
            </w:r>
          </w:p>
        </w:tc>
      </w:tr>
    </w:tbl>
    <w:p>
      <w:pPr>
        <w:spacing w:line="60" w:lineRule="exact" w:after="60"/>
      </w:pPr>
      <w:r>
        <w:rPr>
          <w:rFonts w:ascii="Arial" w:hAnsi="Arial" w:eastAsia="Songti SC"/>
          <w:color w:val="000000"/>
        </w:rPr>
      </w:r>
    </w:p>
    <w:p>
      <w:pPr>
        <w:pStyle w:val="Heading2"/>
        <w:spacing w:line="276" w:lineRule="auto"/>
      </w:pPr>
      <w:r>
        <w:rPr>
          <w:rFonts w:ascii="Arial" w:hAnsi="Arial" w:eastAsia="Heiti SC"/>
          <w:color w:val="000000"/>
        </w:rPr>
        <w:t>生成步骤</w:t>
      </w:r>
    </w:p>
    <w:p>
      <w:r>
        <w:rPr>
          <w:rFonts w:ascii="Arial" w:hAnsi="Arial" w:eastAsia="Songti SC"/>
          <w:color w:val="000000"/>
        </w:rPr>
        <w:t>已保存回答快照 → 用户选择结论与图表 → ReportSpec 版本 → 格式校验 → 受支持的 JATS 子集 → XeLaTeX 排版 → 内容与版式检查 → PDF 版本及下载。</w:t>
      </w:r>
    </w:p>
    <w:p>
      <w:pPr>
        <w:ind w:left="173" w:hanging="173"/>
      </w:pPr>
      <w:r>
        <w:rPr>
          <w:rFonts w:ascii="Arial" w:hAnsi="Arial" w:eastAsia="Songti SC"/>
          <w:color w:val="000000"/>
        </w:rPr>
        <w:t>•  第一条兼容性验证应在主功能开发初期进行：用一份固定结构草稿实际生成 PDF，再决定模板边界，避免最后才发现格式不适配。</w:t>
      </w:r>
    </w:p>
    <w:p>
      <w:pPr>
        <w:ind w:left="173" w:hanging="173"/>
      </w:pPr>
      <w:r>
        <w:rPr>
          <w:rFonts w:ascii="Arial" w:hAnsi="Arial" w:eastAsia="Songti SC"/>
          <w:color w:val="000000"/>
        </w:rPr>
        <w:t>•  报告文件保留可阅读的引用编号和来源清单。工作台中的点击跳转属于页面能力；只有实际写入 PDF 的链接才可宣称在文件内可用。</w:t>
      </w:r>
    </w:p>
    <w:p>
      <w:pPr>
        <w:ind w:left="173" w:hanging="173"/>
      </w:pPr>
      <w:r>
        <w:rPr>
          <w:rFonts w:ascii="Arial" w:hAnsi="Arial" w:eastAsia="Songti SC"/>
          <w:color w:val="000000"/>
        </w:rPr>
        <w:t>•  预览、生成和下载绑定同一报告版本及来源快照。用户预览后资料若变化，提示重新生成或明确下载旧版本，不能在下载时替换内容。</w:t>
      </w:r>
    </w:p>
    <w:p>
      <w:pPr>
        <w:ind w:left="173" w:hanging="173"/>
      </w:pPr>
      <w:r>
        <w:rPr>
          <w:rFonts w:ascii="Arial" w:hAnsi="Arial" w:eastAsia="Songti SC"/>
          <w:color w:val="000000"/>
        </w:rPr>
        <w:t>•  技术检查分别显示“生成成功”“内容检查结果”和“待人工审阅”。排版成功不能等同于研究结论正确。</w:t>
      </w:r>
    </w:p>
    <w:p>
      <w:pPr>
        <w:ind w:left="173" w:hanging="173"/>
      </w:pPr>
      <w:r>
        <w:rPr>
          <w:rFonts w:ascii="Arial" w:hAnsi="Arial" w:eastAsia="Songti SC"/>
          <w:color w:val="000000"/>
        </w:rPr>
        <w:t>•  排版失败只影响该输出任务，已确认的计划、资料和草稿继续保留。用户可重试或先导出结构化草稿，状态必须如实展示。</w:t>
      </w:r>
    </w:p>
    <w:p>
      <w:pPr>
        <w:pStyle w:val="Heading2"/>
        <w:spacing w:line="276" w:lineRule="auto"/>
      </w:pPr>
      <w:r>
        <w:rPr>
          <w:rFonts w:ascii="Arial" w:hAnsi="Arial" w:eastAsia="Heiti SC"/>
          <w:color w:val="000000"/>
        </w:rPr>
        <w:t>变化与版本</w:t>
      </w:r>
    </w:p>
    <w:p>
      <w:r>
        <w:rPr>
          <w:rFonts w:ascii="Arial" w:hAnsi="Arial" w:eastAsia="Songti SC"/>
          <w:color w:val="000000"/>
        </w:rPr>
        <w:t>来源修订后，原报告仍作为历史版本可下载。系统先展示受影响的结论与段落，由用户选择重新分析及生成新版本。发布、发送给他人或覆盖旧文件均不作为模型默认动作。</w:t>
      </w:r>
    </w:p>
    <w:p>
      <w:pPr>
        <w:pStyle w:val="Heading1"/>
        <w:pageBreakBefore/>
        <w:spacing w:line="276" w:lineRule="auto"/>
      </w:pPr>
      <w:r>
        <w:rPr>
          <w:rFonts w:ascii="Arial" w:hAnsi="Arial" w:eastAsia="Heiti SC"/>
          <w:color w:val="000000"/>
        </w:rPr>
        <w:t>八  页面结构与交互设计</w:t>
      </w:r>
    </w:p>
    <w:p>
      <w:r>
        <w:rPr>
          <w:rFonts w:ascii="Arial" w:hAnsi="Arial" w:eastAsia="Songti SC"/>
          <w:color w:val="000000"/>
        </w:rPr>
        <w:t>统一品牌使用行简，研学作为场景说明。界面采用白色主背景、冷灰分区和低饱和蓝色操作色，以信息层级、留白和清楚反馈形成质感；插图主要用于首次引导与空状态。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368"/>
        <w:gridCol w:w="3816"/>
        <w:gridCol w:w="4666"/>
      </w:tblGrid>
      <w:tr>
        <w:trPr>
          <w:cantSplit/>
          <w:tblHeader/>
        </w:trPr>
        <w:tc>
          <w:tcPr>
            <w:tcW w:type="dxa" w:w="1368"/>
            <w:vAlign w:val="center"/>
            <w:shd w:fill="E8F0F8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Songti SC"/>
                <w:b/>
                <w:color w:val="000000"/>
                <w:sz w:val="20"/>
              </w:rPr>
              <w:t>页面</w:t>
            </w:r>
          </w:p>
        </w:tc>
        <w:tc>
          <w:tcPr>
            <w:tcW w:type="dxa" w:w="3816"/>
            <w:vAlign w:val="center"/>
            <w:shd w:fill="E8F0F8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/>
                <w:color w:val="000000"/>
                <w:sz w:val="20"/>
              </w:rPr>
              <w:t>核心内容</w:t>
            </w:r>
          </w:p>
        </w:tc>
        <w:tc>
          <w:tcPr>
            <w:tcW w:type="dxa" w:w="4666"/>
            <w:vAlign w:val="center"/>
            <w:shd w:fill="E8F0F8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/>
                <w:color w:val="000000"/>
                <w:sz w:val="20"/>
              </w:rPr>
              <w:t>需要打磨的交互</w:t>
            </w:r>
          </w:p>
        </w:tc>
      </w:tr>
      <w:tr>
        <w:trPr>
          <w:cantSplit/>
        </w:trPr>
        <w:tc>
          <w:tcPr>
            <w:tcW w:type="dxa" w:w="1368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项目</w:t>
            </w:r>
          </w:p>
        </w:tc>
        <w:tc>
          <w:tcPr>
            <w:tcW w:type="dxa" w:w="3816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目标、截止日期、下一步、等待确认、最近成果</w:t>
            </w:r>
          </w:p>
        </w:tc>
        <w:tc>
          <w:tcPr>
            <w:tcW w:type="dxa" w:w="4666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首次进入可用示例项目；示例数据明确标识且可清空。</w:t>
            </w:r>
          </w:p>
        </w:tc>
      </w:tr>
      <w:tr>
        <w:trPr>
          <w:cantSplit/>
        </w:trPr>
        <w:tc>
          <w:tcPr>
            <w:tcW w:type="dxa" w:w="1368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资料</w:t>
            </w:r>
          </w:p>
        </w:tc>
        <w:tc>
          <w:tcPr>
            <w:tcW w:type="dxa" w:w="3816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来源目录、解析状态、版本、原页与结构化表格</w:t>
            </w:r>
          </w:p>
        </w:tc>
        <w:tc>
          <w:tcPr>
            <w:tcW w:type="dxa" w:w="4666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解析进行中不显示完成；失败可定位、可重试。</w:t>
            </w:r>
          </w:p>
        </w:tc>
      </w:tr>
      <w:tr>
        <w:trPr>
          <w:cantSplit/>
        </w:trPr>
        <w:tc>
          <w:tcPr>
            <w:tcW w:type="dxa" w:w="1368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分析</w:t>
            </w:r>
          </w:p>
        </w:tc>
        <w:tc>
          <w:tcPr>
            <w:tcW w:type="dxa" w:w="3816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提问、答案、计算、依据对照</w:t>
            </w:r>
          </w:p>
        </w:tc>
        <w:tc>
          <w:tcPr>
            <w:tcW w:type="dxa" w:w="4666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选中结论才展开证据面板，保持主要阅读区域清晰。</w:t>
            </w:r>
          </w:p>
        </w:tc>
      </w:tr>
      <w:tr>
        <w:trPr>
          <w:cantSplit/>
        </w:trPr>
        <w:tc>
          <w:tcPr>
            <w:tcW w:type="dxa" w:w="1368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行动与进展</w:t>
            </w:r>
          </w:p>
        </w:tc>
        <w:tc>
          <w:tcPr>
            <w:tcW w:type="dxa" w:w="3816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计划差异、时间安排、专注、继续点</w:t>
            </w:r>
          </w:p>
        </w:tc>
        <w:tc>
          <w:tcPr>
            <w:tcW w:type="dxa" w:w="4666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一处维护任务状态；课内许可可见；未保存草稿可恢复。</w:t>
            </w:r>
          </w:p>
        </w:tc>
      </w:tr>
      <w:tr>
        <w:trPr>
          <w:cantSplit/>
        </w:trPr>
        <w:tc>
          <w:tcPr>
            <w:tcW w:type="dxa" w:w="1368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成果</w:t>
            </w:r>
          </w:p>
        </w:tc>
        <w:tc>
          <w:tcPr>
            <w:tcW w:type="dxa" w:w="3816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报告结构、预览、引用、检查、历史版本</w:t>
            </w:r>
          </w:p>
        </w:tc>
        <w:tc>
          <w:tcPr>
            <w:tcW w:type="dxa" w:w="4666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生成中可离开页面；失败不丢草稿；下载标明版本。</w:t>
            </w:r>
          </w:p>
        </w:tc>
      </w:tr>
    </w:tbl>
    <w:p>
      <w:pPr>
        <w:spacing w:line="60" w:lineRule="exact" w:after="60"/>
      </w:pPr>
      <w:r>
        <w:rPr>
          <w:rFonts w:ascii="Arial" w:hAnsi="Arial" w:eastAsia="Songti SC"/>
          <w:color w:val="000000"/>
        </w:rPr>
      </w:r>
    </w:p>
    <w:p>
      <w:pPr>
        <w:pStyle w:val="Heading2"/>
        <w:spacing w:line="276" w:lineRule="auto"/>
      </w:pPr>
      <w:r>
        <w:rPr>
          <w:rFonts w:ascii="Arial" w:hAnsi="Arial" w:eastAsia="Heiti SC"/>
          <w:color w:val="000000"/>
        </w:rPr>
        <w:t>四个值得保留的小设计</w:t>
      </w:r>
    </w:p>
    <w:p>
      <w:pPr>
        <w:ind w:left="173" w:hanging="173"/>
      </w:pPr>
      <w:r>
        <w:rPr>
          <w:rFonts w:ascii="Arial" w:hAnsi="Arial" w:eastAsia="Songti SC"/>
          <w:color w:val="000000"/>
        </w:rPr>
        <w:t>•  为什么做这件事：任务卡可展开对应结论或资料缺口，避免看不懂系统为何安排。</w:t>
      </w:r>
    </w:p>
    <w:p>
      <w:pPr>
        <w:ind w:left="173" w:hanging="173"/>
      </w:pPr>
      <w:r>
        <w:rPr>
          <w:rFonts w:ascii="Arial" w:hAnsi="Arial" w:eastAsia="Songti SC"/>
          <w:color w:val="000000"/>
        </w:rPr>
        <w:t>•  继续上次：同时恢复相关资料位置、待解决问题和草稿，不只显示一句泛泛鼓励。</w:t>
      </w:r>
    </w:p>
    <w:p>
      <w:pPr>
        <w:ind w:left="173" w:hanging="173"/>
      </w:pPr>
      <w:r>
        <w:rPr>
          <w:rFonts w:ascii="Arial" w:hAnsi="Arial" w:eastAsia="Songti SC"/>
          <w:color w:val="000000"/>
        </w:rPr>
        <w:t>•  看过再修改：重排分别列出保留、移动和新增内容；确认按钮说明将影响几项安排。</w:t>
      </w:r>
    </w:p>
    <w:p>
      <w:pPr>
        <w:ind w:left="173" w:hanging="173"/>
      </w:pPr>
      <w:r>
        <w:rPr>
          <w:rFonts w:ascii="Arial" w:hAnsi="Arial" w:eastAsia="Songti SC"/>
          <w:color w:val="000000"/>
        </w:rPr>
        <w:t>•  投入不等于完成：专注结束由用户选择完成、继续或暂停，允许留下简短卡点。</w:t>
      </w:r>
    </w:p>
    <w:p>
      <w:pPr>
        <w:pStyle w:val="Heading2"/>
        <w:spacing w:line="276" w:lineRule="auto"/>
      </w:pPr>
      <w:r>
        <w:rPr>
          <w:rFonts w:ascii="Arial" w:hAnsi="Arial" w:eastAsia="Heiti SC"/>
          <w:color w:val="000000"/>
        </w:rPr>
        <w:t>状态与可用性验收</w:t>
      </w:r>
    </w:p>
    <w:p>
      <w:r>
        <w:rPr>
          <w:rFonts w:ascii="Arial" w:hAnsi="Arial" w:eastAsia="Songti SC"/>
          <w:color w:val="000000"/>
        </w:rPr>
        <w:t>每个异步动作区分等待、处理中、成功、失败和取消。输入字段必须与实际保存值一致；保存中不误报失败。键盘操作、可见焦点、放大文字、长标题、长文档滚动和窄窗口都应验证。</w:t>
      </w:r>
    </w:p>
    <w:p>
      <w:r>
        <w:rPr>
          <w:rFonts w:ascii="Arial" w:hAnsi="Arial" w:eastAsia="Songti SC"/>
          <w:color w:val="000000"/>
        </w:rPr>
        <w:t>页面中的耗时和进度来自实际任务事件，不编造“正在思考”步骤。断线后显示已保存到哪里，以及下一步是继续查询、重试还是重新授权。</w:t>
      </w:r>
    </w:p>
    <w:p>
      <w:pPr>
        <w:pStyle w:val="Heading2"/>
        <w:spacing w:line="276" w:lineRule="auto"/>
      </w:pPr>
      <w:r>
        <w:rPr>
          <w:rFonts w:ascii="Arial" w:hAnsi="Arial" w:eastAsia="Heiti SC"/>
          <w:color w:val="000000"/>
        </w:rPr>
        <w:t>移动端边界</w:t>
      </w:r>
    </w:p>
    <w:p>
      <w:r>
        <w:rPr>
          <w:rFonts w:ascii="Arial" w:hAnsi="Arial" w:eastAsia="Songti SC"/>
          <w:color w:val="000000"/>
        </w:rPr>
        <w:t>首版桌面处理长文档和报告；移动入口优先查看下一步、语音记录进展与确认安排。复杂证据对照和排版保留桌面布局。语音原生能力与三端兼容由现有设备另行验证。</w:t>
      </w:r>
    </w:p>
    <w:p>
      <w:pPr>
        <w:pStyle w:val="Heading1"/>
        <w:pageBreakBefore/>
        <w:spacing w:line="276" w:lineRule="auto"/>
      </w:pPr>
      <w:r>
        <w:rPr>
          <w:rFonts w:ascii="Arial" w:hAnsi="Arial" w:eastAsia="Heiti SC"/>
          <w:color w:val="000000"/>
        </w:rPr>
        <w:t>九  修改路线与阶段依赖</w:t>
      </w:r>
    </w:p>
    <w:p>
      <w:r>
        <w:rPr>
          <w:rFonts w:ascii="Arial" w:hAnsi="Arial" w:eastAsia="Songti SC"/>
          <w:color w:val="000000"/>
        </w:rPr>
        <w:t>以下为建议工程顺序。按一个主开发执行流估算，完整版本约需 20–30 个有效工作日；账号开通、平台适配和团队验证可能延长日历时间。公开报名日期不等于校内材料截止，应先确认学校时间再倒排。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757"/>
        <w:gridCol w:w="4219"/>
        <w:gridCol w:w="3874"/>
      </w:tblGrid>
      <w:tr>
        <w:trPr>
          <w:cantSplit/>
          <w:tblHeader/>
        </w:trPr>
        <w:tc>
          <w:tcPr>
            <w:tcW w:type="dxa" w:w="1757"/>
            <w:vAlign w:val="center"/>
            <w:shd w:fill="E8F0F8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Songti SC"/>
                <w:b/>
                <w:color w:val="000000"/>
                <w:sz w:val="20"/>
              </w:rPr>
              <w:t>阶段</w:t>
            </w:r>
          </w:p>
        </w:tc>
        <w:tc>
          <w:tcPr>
            <w:tcW w:type="dxa" w:w="4219"/>
            <w:vAlign w:val="center"/>
            <w:shd w:fill="E8F0F8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/>
                <w:color w:val="000000"/>
                <w:sz w:val="20"/>
              </w:rPr>
              <w:t>具体目标</w:t>
            </w:r>
          </w:p>
        </w:tc>
        <w:tc>
          <w:tcPr>
            <w:tcW w:type="dxa" w:w="3874"/>
            <w:vAlign w:val="center"/>
            <w:shd w:fill="E8F0F8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/>
                <w:color w:val="000000"/>
                <w:sz w:val="20"/>
              </w:rPr>
              <w:t>完成依据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P0  范围与基线</w:t>
            </w:r>
          </w:p>
        </w:tc>
        <w:tc>
          <w:tcPr>
            <w:tcW w:type="dxa" w:w="4219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固定演示任务、来源提交、资料许可、平台权限与预算</w:t>
            </w:r>
          </w:p>
        </w:tc>
        <w:tc>
          <w:tcPr>
            <w:tcW w:type="dxa" w:w="3874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范围表、来源清单和验收样例。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P1  技术验证</w:t>
            </w:r>
          </w:p>
        </w:tc>
        <w:tc>
          <w:tcPr>
            <w:tcW w:type="dxa" w:w="4219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最小 AgentArts 工具调用与一份 JATS 报告转换</w:t>
            </w:r>
          </w:p>
        </w:tc>
        <w:tc>
          <w:tcPr>
            <w:tcW w:type="dxa" w:w="3874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真实调用记录、PDF和接口决策。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P2  项目与工具层</w:t>
            </w:r>
          </w:p>
        </w:tc>
        <w:tc>
          <w:tcPr>
            <w:tcW w:type="dxa" w:w="4219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统一账户、项目、来源版本、运行ID与工具协议</w:t>
            </w:r>
          </w:p>
        </w:tc>
        <w:tc>
          <w:tcPr>
            <w:tcW w:type="dxa" w:w="3874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权限与协议检查通过。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P3  证据分析</w:t>
            </w:r>
          </w:p>
        </w:tc>
        <w:tc>
          <w:tcPr>
            <w:tcW w:type="dxa" w:w="4219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接知衡检索、查询、计算及原页对照</w:t>
            </w:r>
          </w:p>
        </w:tc>
        <w:tc>
          <w:tcPr>
            <w:tcW w:type="dxa" w:w="3874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有依据回答、缺失澄清和可查询运行。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P4  行动与接续</w:t>
            </w:r>
          </w:p>
        </w:tc>
        <w:tc>
          <w:tcPr>
            <w:tcW w:type="dxa" w:w="4219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接行简提案确认、知途进展和继续点</w:t>
            </w:r>
          </w:p>
        </w:tc>
        <w:tc>
          <w:tcPr>
            <w:tcW w:type="dxa" w:w="3874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任务一致、重复确认安全、恢复正确。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P5  成果与变化</w:t>
            </w:r>
          </w:p>
        </w:tc>
        <w:tc>
          <w:tcPr>
            <w:tcW w:type="dxa" w:w="4219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报告适配、云端输出、来源变化影响提示</w:t>
            </w:r>
          </w:p>
        </w:tc>
        <w:tc>
          <w:tcPr>
            <w:tcW w:type="dxa" w:w="3874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固定模板导出与版本追踪通过。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P6  体验与稳定</w:t>
            </w:r>
          </w:p>
        </w:tc>
        <w:tc>
          <w:tcPr>
            <w:tcW w:type="dxa" w:w="4219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统一UI、异步状态、恢复和部署配置</w:t>
            </w:r>
          </w:p>
        </w:tc>
        <w:tc>
          <w:tcPr>
            <w:tcW w:type="dxa" w:w="3874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浏览器主流程与故障恢复通过。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P7  评测与材料</w:t>
            </w:r>
          </w:p>
        </w:tc>
        <w:tc>
          <w:tcPr>
            <w:tcW w:type="dxa" w:w="4219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真实任务评测、用户试用、复现和答辩材料</w:t>
            </w:r>
          </w:p>
        </w:tc>
        <w:tc>
          <w:tcPr>
            <w:tcW w:type="dxa" w:w="3874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结果有证据，材料与可运行版本一致。</w:t>
            </w:r>
          </w:p>
        </w:tc>
      </w:tr>
    </w:tbl>
    <w:p>
      <w:pPr>
        <w:spacing w:line="60" w:lineRule="exact" w:after="60"/>
      </w:pPr>
      <w:r>
        <w:rPr>
          <w:rFonts w:ascii="Arial" w:hAnsi="Arial" w:eastAsia="Songti SC"/>
          <w:color w:val="000000"/>
        </w:rPr>
      </w:r>
    </w:p>
    <w:p>
      <w:pPr>
        <w:pStyle w:val="Heading2"/>
        <w:spacing w:line="276" w:lineRule="auto"/>
      </w:pPr>
      <w:r>
        <w:rPr>
          <w:rFonts w:ascii="Arial" w:hAnsi="Arial" w:eastAsia="Heiti SC"/>
          <w:color w:val="000000"/>
        </w:rPr>
        <w:t>关键依赖</w:t>
      </w:r>
    </w:p>
    <w:p>
      <w:pPr>
        <w:ind w:left="173" w:hanging="173"/>
      </w:pPr>
      <w:r>
        <w:rPr>
          <w:rFonts w:ascii="Arial" w:hAnsi="Arial" w:eastAsia="Songti SC"/>
          <w:color w:val="000000"/>
        </w:rPr>
        <w:t>•  P1 先验证平台和排版两条高风险接入，再扩大集成。AgentArts 凭据或预算未就绪时，可做本地契约与数据工作，但不能把模拟调用写成平台接通。</w:t>
      </w:r>
    </w:p>
    <w:p>
      <w:pPr>
        <w:ind w:left="173" w:hanging="173"/>
      </w:pPr>
      <w:r>
        <w:rPr>
          <w:rFonts w:ascii="Arial" w:hAnsi="Arial" w:eastAsia="Songti SC"/>
          <w:color w:val="000000"/>
        </w:rPr>
        <w:t>•  P2 的身份、版本与任务映射先稳定；P3、P4、P5 使用同一份契约，避免每个模块自行定义用户与项目。</w:t>
      </w:r>
    </w:p>
    <w:p>
      <w:pPr>
        <w:ind w:left="173" w:hanging="173"/>
      </w:pPr>
      <w:r>
        <w:rPr>
          <w:rFonts w:ascii="Arial" w:hAnsi="Arial" w:eastAsia="Songti SC"/>
          <w:color w:val="000000"/>
        </w:rPr>
        <w:t>•  P4 完成后已有“分析到行动再接续”的可用版本；P5 补齐成果输出。资料变化先提示，再按时间增加自动影响分析。</w:t>
      </w:r>
    </w:p>
    <w:p>
      <w:pPr>
        <w:ind w:left="173" w:hanging="173"/>
      </w:pPr>
      <w:r>
        <w:rPr>
          <w:rFonts w:ascii="Arial" w:hAnsi="Arial" w:eastAsia="Songti SC"/>
          <w:color w:val="000000"/>
        </w:rPr>
        <w:t>•  P6 后冻结候选版本，P7 在固定版本上测评；修复引入的变更只补跑受影响项和必要主流程。</w:t>
      </w:r>
    </w:p>
    <w:p>
      <w:pPr>
        <w:pStyle w:val="Heading2"/>
        <w:spacing w:line="276" w:lineRule="auto"/>
      </w:pPr>
      <w:r>
        <w:rPr>
          <w:rFonts w:ascii="Arial" w:hAnsi="Arial" w:eastAsia="Heiti SC"/>
          <w:color w:val="000000"/>
        </w:rPr>
        <w:t>首版交付边界</w:t>
      </w:r>
    </w:p>
    <w:p>
      <w:r>
        <w:rPr>
          <w:rFonts w:ascii="Arial" w:hAnsi="Arial" w:eastAsia="Songti SC"/>
          <w:color w:val="000000"/>
        </w:rPr>
        <w:t>必须有真实平台编排、证据分析、确认执行、继续点和一套报告输出。时间不足时缩减模板种类、视觉装饰和自动变化联动，不把核心平台调用与执行正确性降级为演示占位。</w:t>
      </w:r>
    </w:p>
    <w:p>
      <w:pPr>
        <w:pStyle w:val="Heading1"/>
        <w:pageBreakBefore/>
        <w:spacing w:line="276" w:lineRule="auto"/>
      </w:pPr>
      <w:r>
        <w:rPr>
          <w:rFonts w:ascii="Arial" w:hAnsi="Arial" w:eastAsia="Heiti SC"/>
          <w:color w:val="000000"/>
        </w:rPr>
        <w:t>十  前三阶段具体修改任务</w:t>
      </w:r>
    </w:p>
    <w:p>
      <w:pPr>
        <w:pStyle w:val="Heading2"/>
        <w:spacing w:line="276" w:lineRule="auto"/>
      </w:pPr>
      <w:r>
        <w:rPr>
          <w:rFonts w:ascii="Arial" w:hAnsi="Arial" w:eastAsia="Heiti SC"/>
          <w:color w:val="000000"/>
        </w:rPr>
        <w:t>P0  固定范围和来源 约1个工作日</w:t>
      </w:r>
    </w:p>
    <w:p>
      <w:r>
        <w:rPr>
          <w:rFonts w:ascii="Arial" w:hAnsi="Arial" w:eastAsia="Songti SC"/>
          <w:color w:val="000000"/>
        </w:rPr>
        <w:t>建立独立集成目录，记录四个仓库采用的提交和模块清单；保留原项目归档。选定一份任务书、少量可复现资料、实验表格和合成课表，整理期望结论、权限范围和异常样例。确认同校成员、指导教师、校内截止、平台账号和费用上限。</w:t>
      </w:r>
    </w:p>
    <w:p>
      <w:r>
        <w:rPr>
          <w:rFonts w:ascii="Arial" w:hAnsi="Arial" w:eastAsia="Songti SC"/>
          <w:b/>
          <w:color w:val="000000"/>
        </w:rPr>
        <w:t>交付与验收：</w:t>
      </w:r>
      <w:r>
        <w:rPr>
          <w:rFonts w:ascii="Arial" w:hAnsi="Arial" w:eastAsia="Songti SC"/>
          <w:color w:val="000000"/>
        </w:rPr>
        <w:t>形成需求映射、复用清单、演示数据包和判定依据。样例中的合成内容明确标识，测试答案不进入业务知识库。</w:t>
      </w:r>
    </w:p>
    <w:p>
      <w:pPr>
        <w:pStyle w:val="Heading2"/>
        <w:spacing w:line="276" w:lineRule="auto"/>
      </w:pPr>
      <w:r>
        <w:rPr>
          <w:rFonts w:ascii="Arial" w:hAnsi="Arial" w:eastAsia="Heiti SC"/>
          <w:color w:val="000000"/>
        </w:rPr>
        <w:t>P1  两条技术验证 约2至3个工作日</w:t>
      </w:r>
    </w:p>
    <w:p>
      <w:r>
        <w:rPr>
          <w:rFonts w:ascii="Arial" w:hAnsi="Arial" w:eastAsia="Songti SC"/>
          <w:color w:val="000000"/>
        </w:rPr>
        <w:t>验证一：AgentArts 调用一个受鉴权的资料工具，返回结构化证据，再由平台生成可核对结果。记录实际模型、鉴权、返回格式、工具异常和运行ID，确定 HTTP 或 MCP 方式。</w:t>
      </w:r>
    </w:p>
    <w:p>
      <w:r>
        <w:rPr>
          <w:rFonts w:ascii="Arial" w:hAnsi="Arial" w:eastAsia="Songti SC"/>
          <w:color w:val="000000"/>
        </w:rPr>
        <w:t>验证二：用固定 ReportSpec 生成受支持的 JATS 文件，在云端或团队已有环境完成一次真实排版，检查中文、表格、公式和引用。冻结首版支持范围，不在用户本机安装原生或排版环境。</w:t>
      </w:r>
    </w:p>
    <w:p>
      <w:r>
        <w:rPr>
          <w:rFonts w:ascii="Arial" w:hAnsi="Arial" w:eastAsia="Songti SC"/>
          <w:b/>
          <w:color w:val="000000"/>
        </w:rPr>
        <w:t>交付与验收：</w:t>
      </w:r>
      <w:r>
        <w:rPr>
          <w:rFonts w:ascii="Arial" w:hAnsi="Arial" w:eastAsia="Songti SC"/>
          <w:color w:val="000000"/>
        </w:rPr>
        <w:t>一条真实平台调用和一份可打开的报告，附限制说明。若平台接入失败，继续独立模块准备并定位接口，不改称普通模型调用已满足赛题。</w:t>
      </w:r>
    </w:p>
    <w:p>
      <w:pPr>
        <w:pStyle w:val="Heading2"/>
        <w:spacing w:line="276" w:lineRule="auto"/>
      </w:pPr>
      <w:r>
        <w:rPr>
          <w:rFonts w:ascii="Arial" w:hAnsi="Arial" w:eastAsia="Heiti SC"/>
          <w:color w:val="000000"/>
        </w:rPr>
        <w:t>P2  统一项目和工具网关 约3至4个工作日</w:t>
      </w:r>
    </w:p>
    <w:p>
      <w:r>
        <w:rPr>
          <w:rFonts w:ascii="Arial" w:hAnsi="Arial" w:eastAsia="Songti SC"/>
          <w:color w:val="000000"/>
        </w:rPr>
        <w:t>新增身份与项目网关、跨服务对象映射、运行登记与工具结果规范；同时建立统一Web外壳、导航和状态组件，后续阶段逐步交付可操作页面。只读查询与待确认提案分开，长任务使用job_id、查询和取消接口，文件以受控产物ID传递。</w:t>
      </w:r>
    </w:p>
    <w:p>
      <w:r>
        <w:rPr>
          <w:rFonts w:ascii="Arial" w:hAnsi="Arial" w:eastAsia="Songti SC"/>
          <w:color w:val="000000"/>
        </w:rPr>
        <w:t>将各服务保留在受限网络内，只暴露必要的网关或 MCP 端点；为每个服务固定运行依赖和配置模板。单实例阶段明确数据库与持久卷的归属，备份和恢复按同一版本执行。</w:t>
      </w:r>
    </w:p>
    <w:p>
      <w:r>
        <w:rPr>
          <w:rFonts w:ascii="Arial" w:hAnsi="Arial" w:eastAsia="Songti SC"/>
          <w:b/>
          <w:color w:val="000000"/>
        </w:rPr>
        <w:t>交付与验收：</w:t>
      </w:r>
      <w:r>
        <w:rPr>
          <w:rFonts w:ascii="Arial" w:hAnsi="Arial" w:eastAsia="Songti SC"/>
          <w:color w:val="000000"/>
        </w:rPr>
        <w:t>两个隔离用户不能相互读取资料或任务；重复请求不产生重复副作用；取消和晚到响应不串账号；API响应与日志不泄漏凭据。</w:t>
      </w:r>
    </w:p>
    <w:p>
      <w:pPr>
        <w:pStyle w:val="Heading2"/>
        <w:spacing w:line="276" w:lineRule="auto"/>
      </w:pPr>
      <w:r>
        <w:rPr>
          <w:rFonts w:ascii="Arial" w:hAnsi="Arial" w:eastAsia="Heiti SC"/>
          <w:color w:val="000000"/>
        </w:rPr>
        <w:t>最先落地的文件与工程区域</w:t>
      </w:r>
    </w:p>
    <w:p>
      <w:r>
        <w:rPr>
          <w:rFonts w:ascii="Arial" w:hAnsi="Arial" w:eastAsia="Songti SC"/>
          <w:color w:val="000000"/>
        </w:rPr>
        <w:t>建议在新工程设置 apps/web、services/gateway、adapters/zhiheng、adapters/campusflow、adapters/zhitu、workers/report、contracts、deploy 和 evaluation。名称是建议目录；先完成必要结构，不建立与首版无关的微服务和抽象层。</w:t>
      </w:r>
    </w:p>
    <w:p>
      <w:pPr>
        <w:pStyle w:val="Heading1"/>
        <w:pageBreakBefore/>
        <w:spacing w:line="276" w:lineRule="auto"/>
      </w:pPr>
      <w:r>
        <w:rPr>
          <w:rFonts w:ascii="Arial" w:hAnsi="Arial" w:eastAsia="Heiti SC"/>
          <w:color w:val="000000"/>
        </w:rPr>
        <w:t>十一  主业务阶段具体修改任务</w:t>
      </w:r>
    </w:p>
    <w:p>
      <w:pPr>
        <w:pStyle w:val="Heading2"/>
        <w:spacing w:line="276" w:lineRule="auto"/>
      </w:pPr>
      <w:r>
        <w:rPr>
          <w:rFonts w:ascii="Arial" w:hAnsi="Arial" w:eastAsia="Heiti SC"/>
          <w:color w:val="000000"/>
        </w:rPr>
        <w:t>P3  证据分析与可观察运行 约3至4个工作日</w:t>
      </w:r>
    </w:p>
    <w:p>
      <w:r>
        <w:rPr>
          <w:rFonts w:ascii="Arial" w:hAnsi="Arial" w:eastAsia="Songti SC"/>
          <w:color w:val="000000"/>
        </w:rPr>
        <w:t>拆出知衡可复用的检索、表格查询和受控计算接口；平台传递资料范围和问题，服务返回结果与依据。前端展示原页、SQL口径、公式和缺失条件。保留来源版本和计算关系，不让模型重新口述时丢失定位。</w:t>
      </w:r>
    </w:p>
    <w:p>
      <w:r>
        <w:rPr>
          <w:rFonts w:ascii="Arial" w:hAnsi="Arial" w:eastAsia="Songti SC"/>
          <w:b/>
          <w:color w:val="000000"/>
        </w:rPr>
        <w:t>交付与验收：</w:t>
      </w:r>
      <w:r>
        <w:rPr>
          <w:rFonts w:ascii="Arial" w:hAnsi="Arial" w:eastAsia="Songti SC"/>
          <w:color w:val="000000"/>
        </w:rPr>
        <w:t>固定样例的数值、单位、引用定位可核对；资料不充分会询问或标记未知；超时、重连、取消能查询同一次运行；平台轨迹能看出所调用的工具。</w:t>
      </w:r>
    </w:p>
    <w:p>
      <w:pPr>
        <w:pStyle w:val="Heading2"/>
        <w:spacing w:line="276" w:lineRule="auto"/>
      </w:pPr>
      <w:r>
        <w:rPr>
          <w:rFonts w:ascii="Arial" w:hAnsi="Arial" w:eastAsia="Heiti SC"/>
          <w:color w:val="000000"/>
        </w:rPr>
        <w:t>P4  安排与进展接续 约3至4个工作日</w:t>
      </w:r>
    </w:p>
    <w:p>
      <w:r>
        <w:rPr>
          <w:rFonts w:ascii="Arial" w:hAnsi="Arial" w:eastAsia="Songti SC"/>
          <w:color w:val="000000"/>
        </w:rPr>
        <w:t>将分析中的缺口变成工作项，行简生成时间提案；用户确认后保存统一任务。为课内可完成事项保留显式许可。知途专注、作品和继续点接到该任务，完成状态只通过任务服务更新。</w:t>
      </w:r>
    </w:p>
    <w:p>
      <w:r>
        <w:rPr>
          <w:rFonts w:ascii="Arial" w:hAnsi="Arial" w:eastAsia="Songti SC"/>
          <w:color w:val="000000"/>
        </w:rPr>
        <w:t>新增事件去重与版本校验；新旧课表冲突时显示差异并生成新提案。记忆整理可关闭，用户能纠正或删除继续点；旧浏览器记录只在确认后导入。</w:t>
      </w:r>
    </w:p>
    <w:p>
      <w:r>
        <w:rPr>
          <w:rFonts w:ascii="Arial" w:hAnsi="Arial" w:eastAsia="Songti SC"/>
          <w:b/>
          <w:color w:val="000000"/>
        </w:rPr>
        <w:t>交付与验收：</w:t>
      </w:r>
      <w:r>
        <w:rPr>
          <w:rFonts w:ascii="Arial" w:hAnsi="Arial" w:eastAsia="Songti SC"/>
          <w:color w:val="000000"/>
        </w:rPr>
        <w:t>完成一次“结论→任务→确认→进展→继续”；重复确认不重复创建；计时结束不自动完成；重开页面能恢复正确项目；课内例外可见且有确认记录。</w:t>
      </w:r>
    </w:p>
    <w:p>
      <w:pPr>
        <w:pStyle w:val="Heading2"/>
        <w:spacing w:line="276" w:lineRule="auto"/>
      </w:pPr>
      <w:r>
        <w:rPr>
          <w:rFonts w:ascii="Arial" w:hAnsi="Arial" w:eastAsia="Heiti SC"/>
          <w:color w:val="000000"/>
        </w:rPr>
        <w:t>P5  成果与来源变化 约3至4个工作日</w:t>
      </w:r>
    </w:p>
    <w:p>
      <w:r>
        <w:rPr>
          <w:rFonts w:ascii="Arial" w:hAnsi="Arial" w:eastAsia="Songti SC"/>
          <w:color w:val="000000"/>
        </w:rPr>
        <w:t>把用户选定的结果快照转成 ReportSpec，接入固定模板和排版worker。保存报告版本、来源版本、检查结果与下载权限。建立来源到结论、任务和成果的关系查询，资料更新时先标待复核，不自动替换报告。</w:t>
      </w:r>
    </w:p>
    <w:p>
      <w:r>
        <w:rPr>
          <w:rFonts w:ascii="Arial" w:hAnsi="Arial" w:eastAsia="Songti SC"/>
          <w:b/>
          <w:color w:val="000000"/>
        </w:rPr>
        <w:t>交付与验收：</w:t>
      </w:r>
      <w:r>
        <w:rPr>
          <w:rFonts w:ascii="Arial" w:hAnsi="Arial" w:eastAsia="Songti SC"/>
          <w:color w:val="000000"/>
        </w:rPr>
        <w:t>完整样例报告生成；损坏输入明确失败；图表公式、单位和引用不丢失；只能下载有权限的产物；旧版本仍可回看；更新后能指出受影响内容。</w:t>
      </w:r>
    </w:p>
    <w:p>
      <w:pPr>
        <w:pStyle w:val="Heading2"/>
        <w:spacing w:line="276" w:lineRule="auto"/>
      </w:pPr>
      <w:r>
        <w:rPr>
          <w:rFonts w:ascii="Arial" w:hAnsi="Arial" w:eastAsia="Heiti SC"/>
          <w:color w:val="000000"/>
        </w:rPr>
        <w:t>本阶段应形成的成果</w:t>
      </w:r>
    </w:p>
    <w:p>
      <w:r>
        <w:rPr>
          <w:rFonts w:ascii="Arial" w:hAnsi="Arial" w:eastAsia="Songti SC"/>
          <w:color w:val="000000"/>
        </w:rPr>
        <w:t>一个项目可在统一工作台完成研究任务，并留有可以核对的分析、行动、进展和输出。此时才适合录制整条主流程；未完成的扩展应在演示中标明，不用静态页面替代实际执行。</w:t>
      </w:r>
    </w:p>
    <w:p>
      <w:pPr>
        <w:pStyle w:val="Heading1"/>
        <w:pageBreakBefore/>
        <w:spacing w:line="276" w:lineRule="auto"/>
      </w:pPr>
      <w:r>
        <w:rPr>
          <w:rFonts w:ascii="Arial" w:hAnsi="Arial" w:eastAsia="Heiti SC"/>
          <w:color w:val="000000"/>
        </w:rPr>
        <w:t>十二  体验稳定与交付任务</w:t>
      </w:r>
    </w:p>
    <w:p>
      <w:pPr>
        <w:pStyle w:val="Heading2"/>
        <w:spacing w:line="276" w:lineRule="auto"/>
      </w:pPr>
      <w:r>
        <w:rPr>
          <w:rFonts w:ascii="Arial" w:hAnsi="Arial" w:eastAsia="Heiti SC"/>
          <w:color w:val="000000"/>
        </w:rPr>
        <w:t>P6  统一体验与部署 约2至3个工作日</w:t>
      </w:r>
    </w:p>
    <w:p>
      <w:r>
        <w:rPr>
          <w:rFonts w:ascii="Arial" w:hAnsi="Arial" w:eastAsia="Songti SC"/>
          <w:color w:val="000000"/>
        </w:rPr>
        <w:t>整合页面导航、文字层级、按钮规则、空状态、错误恢复与键盘操作。统一等待、处理中、失败、取消的状态显示；检查长文档滚动、输入回填、任务切换和报告下载。</w:t>
      </w:r>
    </w:p>
    <w:p>
      <w:r>
        <w:rPr>
          <w:rFonts w:ascii="Arial" w:hAnsi="Arial" w:eastAsia="Songti SC"/>
          <w:color w:val="000000"/>
        </w:rPr>
        <w:t>部署包含 Web、网关、AgentArts 配置和专业worker。初期单实例服务加持久存储即可；必要时增设任务队列，不提前承诺多副本一致性。HTTPS、密钥注入、额度限制、健康检查、日志脱敏和恢复流程一起验证。</w:t>
      </w:r>
    </w:p>
    <w:p>
      <w:r>
        <w:rPr>
          <w:rFonts w:ascii="Arial" w:hAnsi="Arial" w:eastAsia="Songti SC"/>
          <w:b/>
          <w:color w:val="000000"/>
        </w:rPr>
        <w:t>交付与验收：</w:t>
      </w:r>
      <w:r>
        <w:rPr>
          <w:rFonts w:ascii="Arial" w:hAnsi="Arial" w:eastAsia="Songti SC"/>
          <w:color w:val="000000"/>
        </w:rPr>
        <w:t>新浏览器可走完主流程；网络中断后能找回任务；服务重启不会误清数据；备份可恢复；保存中不误报失败。原生App可独立推进，不能用Web测试替代原生验证。</w:t>
      </w:r>
    </w:p>
    <w:p>
      <w:pPr>
        <w:pStyle w:val="Heading2"/>
        <w:spacing w:line="276" w:lineRule="auto"/>
      </w:pPr>
      <w:r>
        <w:rPr>
          <w:rFonts w:ascii="Arial" w:hAnsi="Arial" w:eastAsia="Heiti SC"/>
          <w:color w:val="000000"/>
        </w:rPr>
        <w:t>P7  真实评测与参赛材料 约3至4个工作日</w:t>
      </w:r>
    </w:p>
    <w:p>
      <w:r>
        <w:rPr>
          <w:rFonts w:ascii="Arial" w:hAnsi="Arial" w:eastAsia="Songti SC"/>
          <w:color w:val="000000"/>
        </w:rPr>
        <w:t>冻结代码、AgentArts应用版本、模型配置、提示词和测试资料，运行固定任务集与对照方案；邀请少量学生完成真实任务，记录需要手工修正的位置。修复后补跑受影响项目，保留版本和失败记录。</w:t>
      </w:r>
    </w:p>
    <w:p>
      <w:r>
        <w:rPr>
          <w:rFonts w:ascii="Arial" w:hAnsi="Arial" w:eastAsia="Songti SC"/>
          <w:color w:val="000000"/>
        </w:rPr>
        <w:t>准备项目说明、架构、部署与复现步骤、平台运行证据、评测记录、短视频与答辩材料。材料围绕同一个任务展示新增贡献，旧项目结果按来源单独标明。视频长度和材料格式以本届完整要求为准。</w:t>
      </w:r>
    </w:p>
    <w:p>
      <w:r>
        <w:rPr>
          <w:rFonts w:ascii="Arial" w:hAnsi="Arial" w:eastAsia="Songti SC"/>
          <w:b/>
          <w:color w:val="000000"/>
        </w:rPr>
        <w:t>交付与验收：</w:t>
      </w:r>
      <w:r>
        <w:rPr>
          <w:rFonts w:ascii="Arial" w:hAnsi="Arial" w:eastAsia="Songti SC"/>
          <w:color w:val="000000"/>
        </w:rPr>
        <w:t>评委能按交付说明复现主流程；PPT中的数字有对应样本、版本与日志；当前限制、原生未验项和模型费用边界写清。</w:t>
      </w:r>
    </w:p>
    <w:p>
      <w:pPr>
        <w:pStyle w:val="Heading2"/>
        <w:spacing w:line="276" w:lineRule="auto"/>
      </w:pPr>
      <w:r>
        <w:rPr>
          <w:rFonts w:ascii="Arial" w:hAnsi="Arial" w:eastAsia="Heiti SC"/>
          <w:color w:val="000000"/>
        </w:rPr>
        <w:t>每阶段的代码提交方式</w:t>
      </w:r>
    </w:p>
    <w:p>
      <w:r>
        <w:rPr>
          <w:rFonts w:ascii="Arial" w:hAnsi="Arial" w:eastAsia="Songti SC"/>
          <w:color w:val="000000"/>
        </w:rPr>
        <w:t>后续开发在独立集成仓库分阶段提交，每次记录变化、验证范围和未完成项。原四仓保持来源归档；只有确需反向修复时，才在对应开发分支提交独立补丁。不得覆盖学长文件、强推或直接改原 main。</w:t>
      </w:r>
    </w:p>
    <w:p>
      <w:pPr>
        <w:pStyle w:val="Heading2"/>
        <w:spacing w:line="276" w:lineRule="auto"/>
      </w:pPr>
      <w:r>
        <w:rPr>
          <w:rFonts w:ascii="Arial" w:hAnsi="Arial" w:eastAsia="Heiti SC"/>
          <w:color w:val="000000"/>
        </w:rPr>
        <w:t>启动下一阶段所需条件</w:t>
      </w:r>
    </w:p>
    <w:p>
      <w:r>
        <w:rPr>
          <w:rFonts w:ascii="Arial" w:hAnsi="Arial" w:eastAsia="Songti SC"/>
          <w:color w:val="000000"/>
        </w:rPr>
        <w:t>需要真实 AgentArts 工作空间、可用模型与预算、可访问的测试部署环境，以及一套已获授权的演示资料。缺少外部条件时，继续做契约、组件和测试样例；不把等待或模拟结果当作接入成功。</w:t>
      </w:r>
    </w:p>
    <w:p>
      <w:pPr>
        <w:pStyle w:val="Heading1"/>
        <w:pageBreakBefore/>
        <w:spacing w:line="276" w:lineRule="auto"/>
      </w:pPr>
      <w:r>
        <w:rPr>
          <w:rFonts w:ascii="Arial" w:hAnsi="Arial" w:eastAsia="Heiti SC"/>
          <w:color w:val="000000"/>
        </w:rPr>
        <w:t>十三  验收指标与测试设计</w:t>
      </w:r>
    </w:p>
    <w:p>
      <w:r>
        <w:rPr>
          <w:rFonts w:ascii="Arial" w:hAnsi="Arial" w:eastAsia="Songti SC"/>
          <w:color w:val="000000"/>
        </w:rPr>
        <w:t>建议准备30至50个固定任务，覆盖正常流程与失败恢复；数量是项目建议，不是赛事硬性规定。每项结论保留版本、输入、判定依据和实际结果。不能将四个旧项目的测试数量相加后作为新系统准确率。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512"/>
        <w:gridCol w:w="3974"/>
        <w:gridCol w:w="4363"/>
      </w:tblGrid>
      <w:tr>
        <w:trPr>
          <w:cantSplit/>
          <w:tblHeader/>
        </w:trPr>
        <w:tc>
          <w:tcPr>
            <w:tcW w:type="dxa" w:w="1512"/>
            <w:vAlign w:val="center"/>
            <w:shd w:fill="E8F0F8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Songti SC"/>
                <w:b/>
                <w:color w:val="000000"/>
                <w:sz w:val="20"/>
              </w:rPr>
              <w:t>验证面</w:t>
            </w:r>
          </w:p>
        </w:tc>
        <w:tc>
          <w:tcPr>
            <w:tcW w:type="dxa" w:w="3974"/>
            <w:vAlign w:val="center"/>
            <w:shd w:fill="E8F0F8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/>
                <w:color w:val="000000"/>
                <w:sz w:val="20"/>
              </w:rPr>
              <w:t>检查内容</w:t>
            </w:r>
          </w:p>
        </w:tc>
        <w:tc>
          <w:tcPr>
            <w:tcW w:type="dxa" w:w="4363"/>
            <w:vAlign w:val="center"/>
            <w:shd w:fill="E8F0F8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/>
                <w:color w:val="000000"/>
                <w:sz w:val="20"/>
              </w:rPr>
              <w:t>首版验收要求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资料与依据</w:t>
            </w:r>
          </w:p>
        </w:tc>
        <w:tc>
          <w:tcPr>
            <w:tcW w:type="dxa" w:w="3974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原页定位、缺失引用、资料版本变化</w:t>
            </w:r>
          </w:p>
        </w:tc>
        <w:tc>
          <w:tcPr>
            <w:tcW w:type="dxa" w:w="4363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关键结论可返回支持材料；缺失与过期不显示为已核对。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计算</w:t>
            </w:r>
          </w:p>
        </w:tc>
        <w:tc>
          <w:tcPr>
            <w:tcW w:type="dxa" w:w="3974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数值、单位、公式、统计范围</w:t>
            </w:r>
          </w:p>
        </w:tc>
        <w:tc>
          <w:tcPr>
            <w:tcW w:type="dxa" w:w="4363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固定答案样例逐项一致，限定容差写在样例中。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任务提交</w:t>
            </w:r>
          </w:p>
        </w:tc>
        <w:tc>
          <w:tcPr>
            <w:tcW w:type="dxa" w:w="3974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冲突、过期提案、重复确认、课内许可</w:t>
            </w:r>
          </w:p>
        </w:tc>
        <w:tc>
          <w:tcPr>
            <w:tcW w:type="dxa" w:w="4363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非法或过期提交被拒；合法重试返回原回执。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身份隔离</w:t>
            </w:r>
          </w:p>
        </w:tc>
        <w:tc>
          <w:tcPr>
            <w:tcW w:type="dxa" w:w="3974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跨账号资料、任务、产物与晚到响应</w:t>
            </w:r>
          </w:p>
        </w:tc>
        <w:tc>
          <w:tcPr>
            <w:tcW w:type="dxa" w:w="4363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约定隔离用例全部阻止越权，且不泄漏对方数据。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接续与记忆</w:t>
            </w:r>
          </w:p>
        </w:tc>
        <w:tc>
          <w:tcPr>
            <w:tcW w:type="dxa" w:w="3974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完成与计时、关闭、删除、恢复</w:t>
            </w:r>
          </w:p>
        </w:tc>
        <w:tc>
          <w:tcPr>
            <w:tcW w:type="dxa" w:w="4363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尊重用户状态；关闭后不再整理；继续点指向正确内容。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报告</w:t>
            </w:r>
          </w:p>
        </w:tc>
        <w:tc>
          <w:tcPr>
            <w:tcW w:type="dxa" w:w="3974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图表公式、引用、损坏输入、权限、版本</w:t>
            </w:r>
          </w:p>
        </w:tc>
        <w:tc>
          <w:tcPr>
            <w:tcW w:type="dxa" w:w="4363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支持范围内输出完整；失败可定位；历史成果保留。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平台与运行</w:t>
            </w:r>
          </w:p>
        </w:tc>
        <w:tc>
          <w:tcPr>
            <w:tcW w:type="dxa" w:w="3974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真实工具轨迹、取消、超时、重试、费用</w:t>
            </w:r>
          </w:p>
        </w:tc>
        <w:tc>
          <w:tcPr>
            <w:tcW w:type="dxa" w:w="4363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应用记录可对应平台运行；异常不会重复执行。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界面与恢复</w:t>
            </w:r>
          </w:p>
        </w:tc>
        <w:tc>
          <w:tcPr>
            <w:tcW w:type="dxa" w:w="3974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首次使用、慢网、刷新、重启、键盘</w:t>
            </w:r>
          </w:p>
        </w:tc>
        <w:tc>
          <w:tcPr>
            <w:tcW w:type="dxa" w:w="4363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主流程能完成，显示状态与真实业务状态一致。</w:t>
            </w:r>
          </w:p>
        </w:tc>
      </w:tr>
    </w:tbl>
    <w:p>
      <w:pPr>
        <w:spacing w:line="60" w:lineRule="exact" w:after="60"/>
      </w:pPr>
      <w:r>
        <w:rPr>
          <w:rFonts w:ascii="Arial" w:hAnsi="Arial" w:eastAsia="Songti SC"/>
          <w:color w:val="000000"/>
        </w:rPr>
      </w:r>
    </w:p>
    <w:p>
      <w:pPr>
        <w:pStyle w:val="Heading2"/>
        <w:spacing w:line="276" w:lineRule="auto"/>
      </w:pPr>
      <w:r>
        <w:rPr>
          <w:rFonts w:ascii="Arial" w:hAnsi="Arial" w:eastAsia="Heiti SC"/>
          <w:color w:val="000000"/>
        </w:rPr>
        <w:t>对照与用户试用</w:t>
      </w:r>
    </w:p>
    <w:p>
      <w:r>
        <w:rPr>
          <w:rFonts w:ascii="Arial" w:hAnsi="Arial" w:eastAsia="Songti SC"/>
          <w:color w:val="000000"/>
        </w:rPr>
        <w:t>对照普通聊天、仅资料分析、完整融合三种流程；统一可控制的模型、资料、问题和预算。任务完成率以全部受理任务为分母，超时与未完成计失败；依据支持率以抽查的事实结论为分母，由人工按来源标注。耗时和费用同时保留失败任务。</w:t>
      </w:r>
    </w:p>
    <w:p>
      <w:r>
        <w:rPr>
          <w:rFonts w:ascii="Arial" w:hAnsi="Arial" w:eastAsia="Songti SC"/>
          <w:color w:val="000000"/>
        </w:rPr>
        <w:t>先邀请5至10名学生试用，作为发现问题的形成性评价。记录“哪一步不理解”和“哪条结论不可信”，不根据小样本直接宣称普遍提高百分之多少。</w:t>
      </w:r>
    </w:p>
    <w:p>
      <w:pPr>
        <w:pStyle w:val="Heading2"/>
        <w:spacing w:line="276" w:lineRule="auto"/>
      </w:pPr>
      <w:r>
        <w:rPr>
          <w:rFonts w:ascii="Arial" w:hAnsi="Arial" w:eastAsia="Heiti SC"/>
          <w:color w:val="000000"/>
        </w:rPr>
        <w:t>交付判定</w:t>
      </w:r>
    </w:p>
    <w:p>
      <w:r>
        <w:rPr>
          <w:rFonts w:ascii="Arial" w:hAnsi="Arial" w:eastAsia="Songti SC"/>
          <w:color w:val="000000"/>
        </w:rPr>
        <w:t>主流程、隔离、确认和数据保全问题属于阻塞项；视觉细节可以列为改进项。所有结果区分“本轮真实运行”“历史记录”“离线模拟”和“尚未验证”。通过有限用例不等于证明系统永不出错。</w:t>
      </w:r>
    </w:p>
    <w:p>
      <w:pPr>
        <w:pStyle w:val="Heading1"/>
        <w:pageBreakBefore/>
        <w:spacing w:line="276" w:lineRule="auto"/>
      </w:pPr>
      <w:r>
        <w:rPr>
          <w:rFonts w:ascii="Arial" w:hAnsi="Arial" w:eastAsia="Heiti SC"/>
          <w:color w:val="000000"/>
        </w:rPr>
        <w:t>十四  风险边界与版本依据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2074"/>
        <w:gridCol w:w="7776"/>
      </w:tblGrid>
      <w:tr>
        <w:trPr>
          <w:cantSplit/>
          <w:tblHeader/>
        </w:trPr>
        <w:tc>
          <w:tcPr>
            <w:tcW w:type="dxa" w:w="2074"/>
            <w:vAlign w:val="center"/>
            <w:shd w:fill="E8F0F8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Songti SC"/>
                <w:b/>
                <w:color w:val="000000"/>
                <w:sz w:val="20"/>
              </w:rPr>
              <w:t>主要风险</w:t>
            </w:r>
          </w:p>
        </w:tc>
        <w:tc>
          <w:tcPr>
            <w:tcW w:type="dxa" w:w="7776"/>
            <w:vAlign w:val="center"/>
            <w:shd w:fill="E8F0F8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/>
                <w:color w:val="000000"/>
                <w:sz w:val="20"/>
              </w:rPr>
              <w:t>处理方案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范围过大</w:t>
            </w:r>
          </w:p>
        </w:tc>
        <w:tc>
          <w:tcPr>
            <w:tcW w:type="dxa" w:w="7776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固定一个课程研究场景、一套报告模板；复杂多人协作和自动变化传播后置。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平台仅作装饰</w:t>
            </w:r>
          </w:p>
        </w:tc>
        <w:tc>
          <w:tcPr>
            <w:tcW w:type="dxa" w:w="7776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将目标理解、知识/工具选择、异常分支和角色协作放入真实AgentArts流程。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跨系统事实冲突</w:t>
            </w:r>
          </w:p>
        </w:tc>
        <w:tc>
          <w:tcPr>
            <w:tcW w:type="dxa" w:w="7776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统一任务权威来源与对象映射，来源、提案和成果均绑定版本。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上云破坏本机保护</w:t>
            </w:r>
          </w:p>
        </w:tc>
        <w:tc>
          <w:tcPr>
            <w:tcW w:type="dxa" w:w="7776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新增受控适配服务，保留原程序本机边界；不直接删除来源检查。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格式和依赖不兼容</w:t>
            </w:r>
          </w:p>
        </w:tc>
        <w:tc>
          <w:tcPr>
            <w:tcW w:type="dxa" w:w="7776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P1提前验证JATS转换；字体及Linux依赖在云worker固定，限制模板范围。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调用成本失控</w:t>
            </w:r>
          </w:p>
        </w:tc>
        <w:tc>
          <w:tcPr>
            <w:tcW w:type="dxa" w:w="7776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设用户和项目配额，记录失败调用费用；额度不足时明确停止新付费请求。</w:t>
            </w:r>
          </w:p>
        </w:tc>
      </w:tr>
    </w:tbl>
    <w:p>
      <w:pPr>
        <w:spacing w:line="60" w:lineRule="exact" w:after="60"/>
      </w:pPr>
      <w:r>
        <w:rPr>
          <w:rFonts w:ascii="Arial" w:hAnsi="Arial" w:eastAsia="Songti SC"/>
          <w:color w:val="000000"/>
        </w:rPr>
      </w:r>
    </w:p>
    <w:p>
      <w:pPr>
        <w:pStyle w:val="Heading2"/>
        <w:spacing w:line="276" w:lineRule="auto"/>
      </w:pPr>
      <w:r>
        <w:rPr>
          <w:rFonts w:ascii="Arial" w:hAnsi="Arial" w:eastAsia="Heiti SC"/>
          <w:color w:val="000000"/>
        </w:rPr>
        <w:t>核查版本</w:t>
      </w:r>
    </w:p>
    <w:p>
      <w:r>
        <w:rPr>
          <w:rFonts w:ascii="Arial" w:hAnsi="Arial" w:eastAsia="Songti SC"/>
          <w:color w:val="000000"/>
          <w:sz w:val="20"/>
        </w:rPr>
        <w:t>本说明书依据2026年10月23日只读核查。行简采用 dev/haohao，其余三个项目采用 main；下列是来源基线，不代表融合产品已经完成或通过测试。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3283"/>
        <w:gridCol w:w="1944"/>
        <w:gridCol w:w="4622"/>
      </w:tblGrid>
      <w:tr>
        <w:trPr>
          <w:cantSplit/>
          <w:tblHeader/>
        </w:trPr>
        <w:tc>
          <w:tcPr>
            <w:tcW w:type="dxa" w:w="3283"/>
            <w:vAlign w:val="center"/>
            <w:shd w:fill="E8F0F8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Songti SC"/>
                <w:b/>
                <w:color w:val="000000"/>
                <w:sz w:val="19"/>
              </w:rPr>
              <w:t>来源项目</w:t>
            </w:r>
          </w:p>
        </w:tc>
        <w:tc>
          <w:tcPr>
            <w:tcW w:type="dxa" w:w="1944"/>
            <w:vAlign w:val="center"/>
            <w:shd w:fill="E8F0F8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/>
                <w:color w:val="000000"/>
                <w:sz w:val="19"/>
              </w:rPr>
              <w:t>提交前缀</w:t>
            </w:r>
          </w:p>
        </w:tc>
        <w:tc>
          <w:tcPr>
            <w:tcW w:type="dxa" w:w="4622"/>
            <w:vAlign w:val="center"/>
            <w:shd w:fill="E8F0F8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/>
                <w:color w:val="000000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3283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19"/>
              </w:rPr>
              <w:t>CampusFlow-Personal</w:t>
            </w:r>
          </w:p>
        </w:tc>
        <w:tc>
          <w:tcPr>
            <w:tcW w:type="dxa" w:w="1944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19"/>
              </w:rPr>
              <w:t>46ad246e366c</w:t>
            </w:r>
          </w:p>
        </w:tc>
        <w:tc>
          <w:tcPr>
            <w:tcW w:type="dxa" w:w="4622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19"/>
              </w:rPr>
              <w:t>任务、确认与恢复；默认main不是累计功能版本。</w:t>
            </w:r>
          </w:p>
        </w:tc>
      </w:tr>
      <w:tr>
        <w:trPr>
          <w:cantSplit/>
        </w:trPr>
        <w:tc>
          <w:tcPr>
            <w:tcW w:type="dxa" w:w="3283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19"/>
              </w:rPr>
              <w:t>F8-012-Zhiheng</w:t>
            </w:r>
          </w:p>
        </w:tc>
        <w:tc>
          <w:tcPr>
            <w:tcW w:type="dxa" w:w="1944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19"/>
              </w:rPr>
              <w:t>b441baae6e1d</w:t>
            </w:r>
          </w:p>
        </w:tc>
        <w:tc>
          <w:tcPr>
            <w:tcW w:type="dxa" w:w="4622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19"/>
              </w:rPr>
              <w:t>资料分析、依据与桌面界面。</w:t>
            </w:r>
          </w:p>
        </w:tc>
      </w:tr>
      <w:tr>
        <w:trPr>
          <w:cantSplit/>
        </w:trPr>
        <w:tc>
          <w:tcPr>
            <w:tcW w:type="dxa" w:w="3283"/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9"/>
              </w:rPr>
              <w:t>bang 知途</w:t>
            </w:r>
          </w:p>
        </w:tc>
        <w:tc>
          <w:tcPr>
            <w:tcW w:type="dxa" w:w="1944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19"/>
              </w:rPr>
              <w:t>23e2c294c92e</w:t>
            </w:r>
          </w:p>
        </w:tc>
        <w:tc>
          <w:tcPr>
            <w:tcW w:type="dxa" w:w="4622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19"/>
              </w:rPr>
              <w:t>进展、专注与继续点。</w:t>
            </w:r>
          </w:p>
        </w:tc>
      </w:tr>
      <w:tr>
        <w:trPr>
          <w:cantSplit/>
        </w:trPr>
        <w:tc>
          <w:tcPr>
            <w:tcW w:type="dxa" w:w="3283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19"/>
              </w:rPr>
              <w:t>HNZ-JATSCraft-Studio-2</w:t>
            </w:r>
          </w:p>
        </w:tc>
        <w:tc>
          <w:tcPr>
            <w:tcW w:type="dxa" w:w="1944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19"/>
              </w:rPr>
              <w:t>ac62cb7435fb</w:t>
            </w:r>
          </w:p>
        </w:tc>
        <w:tc>
          <w:tcPr>
            <w:tcW w:type="dxa" w:w="4622"/>
            <w:vAlign w:val="center"/>
          </w:tcPr>
          <w:p>
            <w:pPr>
              <w:spacing w:after="0" w:line="280" w:lineRule="exact"/>
            </w:pPr>
            <w:r>
              <w:rPr>
                <w:rFonts w:ascii="Arial" w:hAnsi="Arial" w:eastAsia="Songti SC"/>
                <w:b w:val="0"/>
                <w:color w:val="000000"/>
                <w:sz w:val="19"/>
              </w:rPr>
              <w:t>JATS排版与输出检查。</w:t>
            </w:r>
          </w:p>
        </w:tc>
      </w:tr>
    </w:tbl>
    <w:p>
      <w:pPr>
        <w:spacing w:line="60" w:lineRule="exact" w:after="60"/>
      </w:pPr>
      <w:r>
        <w:rPr>
          <w:rFonts w:ascii="Arial" w:hAnsi="Arial" w:eastAsia="Songti SC"/>
          <w:color w:val="000000"/>
        </w:rPr>
      </w:r>
    </w:p>
    <w:p>
      <w:pPr>
        <w:pStyle w:val="Heading2"/>
        <w:spacing w:line="276" w:lineRule="auto"/>
      </w:pPr>
      <w:r>
        <w:rPr>
          <w:rFonts w:ascii="Arial" w:hAnsi="Arial" w:eastAsia="Heiti SC"/>
          <w:color w:val="000000"/>
        </w:rPr>
        <w:t>参赛条件与阅读入口</w:t>
      </w:r>
    </w:p>
    <w:p>
      <w:r>
        <w:rPr>
          <w:rFonts w:ascii="Arial" w:hAnsi="Arial" w:eastAsia="Songti SC"/>
          <w:color w:val="000000"/>
          <w:sz w:val="20"/>
        </w:rPr>
        <w:t>团队已确认四项目均未获其他赛事奖项；仍需确认同校3名学生与1名指导教师、原作者贡献及复用范围、杭电校内安排和本届完整规则。公开创新赛报名节点为2026年11月30日，校内可能更早。资源券是否可领、额度与用途以实际通知为准。</w:t>
      </w:r>
    </w:p>
    <w:p>
      <w:pPr>
        <w:spacing w:after="100"/>
      </w:pPr>
      <w:hyperlink r:id="rId12">
        <w:r>
          <w:rPr>
            <w:color w:val="235F91"/>
            <w:sz w:val="19"/>
            <w:rFonts w:eastAsia="Songti SC"/>
          </w:rPr>
          <w:t>华为 AgentArts 产品与能力说明</w:t>
        </w:r>
      </w:hyperlink>
    </w:p>
    <w:p>
      <w:pPr>
        <w:spacing w:after="100"/>
      </w:pPr>
      <w:hyperlink r:id="rId13">
        <w:r>
          <w:rPr>
            <w:color w:val="235F91"/>
            <w:sz w:val="19"/>
            <w:rFonts w:eastAsia="Songti SC"/>
          </w:rPr>
          <w:t>官方 自定义 MCP 接入说明</w:t>
        </w:r>
      </w:hyperlink>
    </w:p>
    <w:p>
      <w:pPr>
        <w:spacing w:after="100"/>
      </w:pPr>
      <w:hyperlink r:id="rId14">
        <w:r>
          <w:rPr>
            <w:color w:val="235F91"/>
            <w:sz w:val="19"/>
            <w:rFonts w:eastAsia="Songti SC"/>
          </w:rPr>
          <w:t>官方 在工作流中使用 MCP</w:t>
        </w:r>
      </w:hyperlink>
    </w:p>
    <w:p>
      <w:pPr>
        <w:spacing w:after="100"/>
      </w:pPr>
      <w:hyperlink r:id="rId15">
        <w:r>
          <w:rPr>
            <w:color w:val="235F91"/>
            <w:sz w:val="19"/>
            <w:rFonts w:eastAsia="Songti SC"/>
          </w:rPr>
          <w:t>本届赛事通知 西安交通大学教务处</w:t>
        </w:r>
      </w:hyperlink>
    </w:p>
    <w:p>
      <w:r>
        <w:rPr>
          <w:rFonts w:ascii="Arial" w:hAnsi="Arial" w:eastAsia="Songti SC"/>
          <w:color w:val="000000"/>
          <w:sz w:val="19"/>
        </w:rPr>
        <w:t>赛题任务要求另依据项目组提供的赛题2截图。本文件未使用未核实的评分比例、平台额度或获奖概率作为规划依据。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95" w:bottom="1008" w:left="1195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Songti SC"/>
        <w:color w:val="000000"/>
        <w:sz w:val="18"/>
      </w:rPr>
      <w:t xml:space="preserve">方案评审稿  V1.0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Songti SC"/>
        <w:color w:val="000000"/>
        <w:sz w:val="18"/>
      </w:rPr>
      <w:t>行简研学  项目说明书与实施计划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20" w:lineRule="exact" w:after="120"/>
    </w:pPr>
    <w:rPr>
      <w:rFonts w:ascii="Arial" w:hAnsi="Arial" w:eastAsia="Songti SC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60"/>
      <w:outlineLvl w:val="0"/>
    </w:pPr>
    <w:rPr>
      <w:rFonts w:asciiTheme="majorHAnsi" w:eastAsiaTheme="majorEastAsia" w:hAnsiTheme="majorHAnsi" w:cstheme="majorBidi" w:ascii="Arial" w:hAnsi="Arial" w:eastAsia="Songti SC"/>
      <w:b/>
      <w:bCs/>
      <w:i w:val="0"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60"/>
      <w:outlineLvl w:val="1"/>
    </w:pPr>
    <w:rPr>
      <w:rFonts w:asciiTheme="majorHAnsi" w:eastAsiaTheme="majorEastAsia" w:hAnsiTheme="majorHAnsi" w:cstheme="majorBidi" w:ascii="Arial" w:hAnsi="Arial" w:eastAsia="Songti SC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60"/>
      <w:outlineLvl w:val="2"/>
    </w:pPr>
    <w:rPr>
      <w:rFonts w:asciiTheme="majorHAnsi" w:eastAsiaTheme="majorEastAsia" w:hAnsiTheme="majorHAnsi" w:cstheme="majorBidi" w:ascii="Arial" w:hAnsi="Arial" w:eastAsia="Songti SC"/>
      <w:b/>
      <w:bCs/>
      <w:i w:val="0"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 w:eastAsia="Songti SC"/>
      <w:b/>
      <w:i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 w:eastAsia="Songti SC"/>
      <w:b w:val="0"/>
      <w:i w:val="0"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40" w:lineRule="auto" w:after="120"/>
    </w:pPr>
    <w:rPr>
      <w:rFonts w:ascii="Arial" w:hAnsi="Arial" w:eastAsia="Songti SC"/>
      <w:b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www.huaweicloud.com/product/agentarts.html" TargetMode="External"/><Relationship Id="rId13" Type="http://schemas.openxmlformats.org/officeDocument/2006/relationships/hyperlink" Target="https://support.huaweicloud.com/usermanual-agentarts0/agentarts_05_0136.html" TargetMode="External"/><Relationship Id="rId14" Type="http://schemas.openxmlformats.org/officeDocument/2006/relationships/hyperlink" Target="https://support.huaweicloud.com/usermanual-agentarts0/agentarts_05_0139.html" TargetMode="External"/><Relationship Id="rId15" Type="http://schemas.openxmlformats.org/officeDocument/2006/relationships/hyperlink" Target="https://jwc.xjtu.edu.cn/info/1172/10521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行简研学项目说明书</dc:title>
  <dc:subject>四项目融合方案与具体修改计划</dc:subject>
  <dc:creator>项目组</dc:creator>
  <cp:keywords>行简 知衡 知途 JATSCraft AgentArts 项目说明书</cp:keywords>
  <dc:description>依据2026年10月23日仓库只读核查编制的规划文件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