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Override PartName="/word/footer5.xml" ContentType="application/vnd.openxmlformats-officedocument.wordprocessingml.footer+xml"/>
  <Override PartName="/word/theme/theme1.xml" ContentType="application/vnd.openxmlformats-officedocument.theme+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14="http://schemas.microsoft.com/office/word/2010/wordml" xmlns:r="http://schemas.openxmlformats.org/officeDocument/2006/relationships" xmlns:w="http://schemas.openxmlformats.org/wordprocessingml/2006/main" xmlns:mc="http://schemas.openxmlformats.org/markup-compatibility/2006" mc:Ignorable="w14">
  <w:body>
    <w:p w14:paraId="4E001E2D">
      <w:pPr>
        <w:keepNext w:val="1"/>
        <w:keepLines w:val="1"/>
        <w:spacing w:before="100" w:beforeAutospacing="1" w:after="100" w:afterAutospacing="1"/>
        <w:outlineLvl w:val="0"/>
        <w:rPr>
          <w:kern w:val="44"/>
          <w:sz w:val="44"/>
          <w:szCs w:val="44"/>
        </w:rPr>
      </w:pPr>
      <w:r>
        <w:rPr>
          <w:rFonts w:hint="eastAsia"/>
          <w:b w:val="1"/>
          <w:sz w:val="44"/>
        </w:rPr>
        <w:t>以高效高质标准体系引领具身智能机器人公共安全应用的建议</w:t>
      </w:r>
    </w:p>
    <w:p w14:paraId="38B3BC43">
      <w:pPr>
        <w:keepNext w:val="1"/>
        <w:keepLines w:val="1"/>
        <w:spacing w:before="100" w:beforeAutospacing="1" w:after="100" w:afterAutospacing="1"/>
        <w:outlineLvl w:val="1"/>
        <w:rPr>
          <w:sz w:val="32"/>
          <w:szCs w:val="32"/>
        </w:rPr>
      </w:pPr>
      <w:r>
        <w:rPr>
          <w:rFonts w:hint="eastAsia"/>
          <w:b w:val="1"/>
          <w:sz w:val="32"/>
        </w:rPr>
        <w:t>意见建议汇编（修订版）</w:t>
      </w:r>
    </w:p>
    <w:p w14:paraId="4FDBAA45">
      <w:pPr>
        <w:keepNext w:val="1"/>
        <w:keepLines w:val="1"/>
        <w:spacing w:before="100" w:beforeAutospacing="1" w:after="100" w:afterAutospacing="1"/>
        <w:outlineLvl w:val="1"/>
        <w:rPr>
          <w:sz w:val="32"/>
          <w:szCs w:val="32"/>
        </w:rPr>
      </w:pPr>
      <w:r>
        <w:rPr>
          <w:rFonts w:hint="eastAsia"/>
          <w:b w:val="1"/>
          <w:sz w:val="32"/>
        </w:rPr>
        <w:t>编制说明</w:t>
      </w:r>
    </w:p>
    <w:p w14:paraId="72F729BE">
      <w:r>
        <w:rPr>
          <w:rFonts w:hint="eastAsia"/>
        </w:rPr>
        <w:t>（一）编制依据。本汇编依据《以高效高质标准体系引领具身智能机器人公共安全应用的建议》意见收集表的征集框架编制，按“标准体系、应用场景、技术路径、保障措施”四个维度，覆盖全部 18 个征集条目，并补充新增建议 10 条、修订新增拟制定标准 3 项。</w:t>
      </w:r>
    </w:p>
    <w:p w14:paraId="2372A137">
      <w:r>
        <w:rPr>
          <w:rFonts w:hint="eastAsia"/>
        </w:rPr>
        <w:t>（二）编制过程。本汇编由具身智能、机器人技术、大模型、公共安全业务、无人机技术、智慧城市规划六个领域的专家组成审稿组，先对原有意见逐条审阅，指出其在引证准确性、量化依据、责任主体与可操作性方面的不足，再据此对每条意见予以修订深化。</w:t>
      </w:r>
    </w:p>
    <w:p w14:paraId="2B1FBE38">
      <w:r>
        <w:rPr>
          <w:rFonts w:hint="eastAsia"/>
        </w:rPr>
        <w:t>（三）修订原则。一是引证可追溯——每条意见均标注标准号或法规依据，并说明适用边界；二是量化有来源——涉及指标阈值的一律说明取值方法，避免无依据的数值；三是责任可落地——明确归口机构、牵头单位与建议时限；四是问题有指向——每条意见均对应具体问题、理由依据与改进方向，避免空泛表述。</w:t>
      </w:r>
    </w:p>
    <w:p w14:paraId="43370478">
      <w:r>
        <w:rPr>
          <w:rFonts w:hint="eastAsia"/>
        </w:rPr>
        <w:t>（四）使用说明。本汇编不含“建议人信息”栏，正式报送时按意见收集表要求另行填写；“征集要点”栏摘自原表，供对照阅读。表内条目编号（如 1-1、4-5）与意见收集表保持一致，便于汇总归档。</w:t>
      </w:r>
    </w:p>
    <w:p w14:paraId="0F9D8FD8">
      <w:pPr>
        <w:keepNext w:val="1"/>
        <w:keepLines w:val="1"/>
        <w:spacing w:before="100" w:beforeAutospacing="1" w:after="100" w:afterAutospacing="1"/>
        <w:outlineLvl w:val="1"/>
        <w:rPr>
          <w:sz w:val="32"/>
          <w:szCs w:val="32"/>
        </w:rPr>
      </w:pPr>
      <w:r>
        <w:rPr>
          <w:rFonts w:hint="eastAsia"/>
          <w:b w:val="1"/>
          <w:sz w:val="32"/>
        </w:rPr>
        <w:t>一、标准体系建设意见</w:t>
      </w:r>
    </w:p>
    <w:p w14:paraId="0313E657">
      <w:pPr>
        <w:keepNext w:val="1"/>
        <w:keepLines w:val="1"/>
        <w:spacing w:before="100" w:beforeAutospacing="1" w:after="100" w:afterAutospacing="1"/>
        <w:outlineLvl w:val="2"/>
        <w:rPr>
          <w:sz w:val="32"/>
          <w:szCs w:val="32"/>
        </w:rPr>
      </w:pPr>
      <w:r>
        <w:rPr>
          <w:rFonts w:hint="eastAsia"/>
          <w:b w:val="1"/>
          <w:sz w:val="32"/>
        </w:rPr>
        <w:t>条目 1-1　标准体系建设的背景、必要性与紧迫性</w:t>
      </w:r>
    </w:p>
    <w:tbl>
      <w:tblPr>
        <w:tblW w:w="84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800"/>
        <w:gridCol w:w="5600"/>
      </w:tblGrid>
      <w:tr>
        <w:trPr>
          <w:tblHeader w:val="1"/>
        </w:trPr>
        <w:tc>
          <w:tcPr>
            <w:tcW w:w="2800" w:type="dxa"/>
          </w:tcPr>
          <w:p w14:paraId="36CB09F8">
            <w:pPr>
              <w:rPr>
                <w:b w:val="1"/>
                <w:bCs w:val="1"/>
              </w:rPr>
            </w:pPr>
            <w:r>
              <w:rPr>
                <w:rFonts w:hint="eastAsia"/>
                <w:b w:val="1"/>
              </w:rPr>
              <w:t>征集要点</w:t>
            </w:r>
          </w:p>
        </w:tc>
        <w:tc>
          <w:tcPr>
            <w:tcW w:w="5600" w:type="dxa"/>
          </w:tcPr>
          <w:p w14:paraId="02927AAF">
            <w:pPr>
              <w:rPr>
                <w:b w:val="1"/>
                <w:bCs w:val="1"/>
              </w:rPr>
            </w:pPr>
            <w:r>
              <w:rPr>
                <w:rFonts w:hint="eastAsia"/>
                <w:b w:val="1"/>
              </w:rPr>
              <w:t>意见内容（修订稿）</w:t>
            </w:r>
          </w:p>
        </w:tc>
      </w:tr>
      <w:tr>
        <w:trPr/>
        <w:tc>
          <w:tcPr>
            <w:tcW w:w="2800" w:type="dxa"/>
          </w:tcPr>
          <w:p w14:paraId="177731A8">
            <w:r>
              <w:rPr>
                <w:rFonts w:hint="eastAsia"/>
              </w:rPr>
              <w:t>结合本单位实践，说明具身智能机器人在公共安全领域应用及标准化的现状、问题与差距；从业务需求、技术发展、产业生态、安全风险、国际对标等角度，阐述标准体系建设的必要性与紧迫性；可举例说明标准缺失、口径不一所导致的具体问题及影响。</w:t>
            </w:r>
          </w:p>
        </w:tc>
        <w:tc>
          <w:tcPr>
            <w:tcW w:w="5600" w:type="dxa"/>
          </w:tcPr>
          <w:p w14:paraId="6B38C568">
            <w:r>
              <w:rPr>
                <w:rFonts w:hint="eastAsia"/>
              </w:rPr>
              <w:t>①政策依据：2025年《政府工作报告》将具身智能列入培育的未来产业；“十五五”规划纲要（2026年3月发布）明确“推动量子科技、生物制造、氢能和核聚变能、脑机接口、具身智能、第六代移动通信等成为新的经济增长点”，并提出“构建未来产业全链条培育体系”“探索多元技术路线、典型应用场景”。公共安全领域若不对接，将在装备放量期出现“无标可依、无标可选”的空窗期。②标准供给现状：本领域法定归口体系包括全国警用装备标准化技术委员会（SAC/TC561，归口范围已明确涵盖警用无人机和机器人）、全国安全防范报警系统标委会（SAC/TC100）、全国爆炸物品公共安全管理标委会（SAC/TC577）及公安部信标委；全国机器人标委会（SAC/TC591，对口ISO/TC299）已于2025年5月设立机器人检测分技术委员会。而面向公共安全业务侧的应用、管理、安全类标准仍近乎空白。③代价分析：标准缺失的损失是具体的——接口不统一导致已采购设备无法接入现有情指体系、需二次改造；验收缺少量化判据使装备“能用不能用、好用不好用”无法判定，易形成“验收即闲置”。建议在标准研制中同步开展存量装备接口适配情况普查，形成可核查的量化底数。④业务特殊性：巡逻、处突、排爆直接关系公民人身权利与民警生命安全，机器人误判、失控的后果远重于一般工业场景，安全底线类标准必须先行。⑤经验借鉴：民用无人机在GB 42590-2023实施前经历“先放量、后治理”，治理成本高企，具身智能机器人应在放量前完成规则供给。⑥落地建议：由归口标委会在6个月内形成并公开《标准缺口清单》。</w:t>
            </w:r>
          </w:p>
        </w:tc>
      </w:tr>
    </w:tbl>
    <w:p w14:paraId="1B019BC3">
      <w:pPr>
        <w:keepNext w:val="1"/>
        <w:keepLines w:val="1"/>
        <w:spacing w:before="100" w:beforeAutospacing="1" w:after="100" w:afterAutospacing="1"/>
        <w:outlineLvl w:val="2"/>
        <w:rPr>
          <w:sz w:val="32"/>
          <w:szCs w:val="32"/>
        </w:rPr>
      </w:pPr>
      <w:r>
        <w:rPr>
          <w:rFonts w:hint="eastAsia"/>
          <w:b w:val="1"/>
          <w:sz w:val="32"/>
        </w:rPr>
        <w:t>条目 1-2　标准体系建设的整体思路与关键内容</w:t>
      </w:r>
    </w:p>
    <w:tbl>
      <w:tblPr>
        <w:tblW w:w="84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800"/>
        <w:gridCol w:w="5600"/>
      </w:tblGrid>
      <w:tr>
        <w:trPr>
          <w:tblHeader w:val="1"/>
        </w:trPr>
        <w:tc>
          <w:tcPr>
            <w:tcW w:w="2800" w:type="dxa"/>
          </w:tcPr>
          <w:p w14:paraId="4EF99055">
            <w:pPr>
              <w:rPr>
                <w:b w:val="1"/>
                <w:bCs w:val="1"/>
              </w:rPr>
            </w:pPr>
            <w:r>
              <w:rPr>
                <w:rFonts w:hint="eastAsia"/>
                <w:b w:val="1"/>
              </w:rPr>
              <w:t>征集要点</w:t>
            </w:r>
          </w:p>
        </w:tc>
        <w:tc>
          <w:tcPr>
            <w:tcW w:w="5600" w:type="dxa"/>
          </w:tcPr>
          <w:p w14:paraId="196B02EB">
            <w:pPr>
              <w:rPr>
                <w:b w:val="1"/>
                <w:bCs w:val="1"/>
              </w:rPr>
            </w:pPr>
            <w:r>
              <w:rPr>
                <w:rFonts w:hint="eastAsia"/>
                <w:b w:val="1"/>
              </w:rPr>
              <w:t>意见内容（修订稿）</w:t>
            </w:r>
          </w:p>
        </w:tc>
      </w:tr>
      <w:tr>
        <w:trPr/>
        <w:tc>
          <w:tcPr>
            <w:tcW w:w="2800" w:type="dxa"/>
          </w:tcPr>
          <w:p w14:paraId="1D008A69">
            <w:r>
              <w:rPr>
                <w:rFonts w:hint="eastAsia"/>
              </w:rPr>
              <w:t>标准体系建设的总体定位、指导思想与基本原则（如需求牵引、急用先行、开放兼容、安全可控等）；体系覆盖范围与边界（产品、技术、应用、管理、服务、安全等）；关键内容与必须优先解决的突出问题；与现有国家标准、行业标准、地方标准及团体标准的衔接关系。</w:t>
            </w:r>
          </w:p>
        </w:tc>
        <w:tc>
          <w:tcPr>
            <w:tcW w:w="5600" w:type="dxa"/>
          </w:tcPr>
          <w:p w14:paraId="69C98324">
            <w:r>
              <w:rPr>
                <w:rFonts w:hint="eastAsia"/>
              </w:rPr>
              <w:t>①总体定位：以“高效高质”为导向，坚持需求牵引、急用先行、安全为基、开放兼容、自主可控五项原则，并各配可判据——如“开放兼容”指标准优先采用规范性引用而非重复条款，“自主可控”指对关键部组件与基础软件给出分阶段国产化判定方法。②覆盖范围：覆盖“基础通用—部组件—整机—系统集成—行业应用—管理—安全—评价”八个板块，并与SAC/TC591现行体系架构（基础通用、零部件、整机、系统集成、行业应用五大领域）建立映射表，明确“引用、裁剪、新增”三类处理方式，避免同名不同义。③归口与分工（原稿缺失）：本体系建议由SAC/TC561归口，业务侧需求由公安业务警种提出；与SAC/TC100（视频监控、防爆安检、生物特征识别）、SAC/TC577（爆炸物品与排爆作业）、公安部信标委（指挥信息系统与数据接口）按“谁归口、谁制定、其余引用”原则分工；与MIIT/TC8、SAC/TC591建立联络机制与标准互认通道。④衔接清单：建立与GA/T 1411系列、GB 42590-2023、GB/T 41300-2022、GB/T 28181-2022、GB/T 45654-2025、GB/T 47245-2026、GB 45438-2025的引用映射表，逐条注明引用方式（规范性引用／资料性参考／不适用及理由）。⑤关键内容三大主线：以场景需求模型为牵引的指标体系、以数据与接口为核心的互联互通规范、以权责界定为核心的安全合规规范。⑥由归口标委会在6个月内编制并公开《标准缺口清单》。</w:t>
            </w:r>
          </w:p>
        </w:tc>
      </w:tr>
    </w:tbl>
    <w:p w14:paraId="476C1B08">
      <w:pPr>
        <w:keepNext w:val="1"/>
        <w:keepLines w:val="1"/>
        <w:spacing w:before="100" w:beforeAutospacing="1" w:after="100" w:afterAutospacing="1"/>
        <w:outlineLvl w:val="2"/>
        <w:rPr>
          <w:sz w:val="32"/>
          <w:szCs w:val="32"/>
        </w:rPr>
      </w:pPr>
      <w:r>
        <w:rPr>
          <w:rFonts w:hint="eastAsia"/>
          <w:b w:val="1"/>
          <w:sz w:val="32"/>
        </w:rPr>
        <w:t>条目 1-3　标准体系框架与层级构成建议</w:t>
      </w:r>
    </w:p>
    <w:tbl>
      <w:tblPr>
        <w:tblW w:w="84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800"/>
        <w:gridCol w:w="5600"/>
      </w:tblGrid>
      <w:tr>
        <w:trPr>
          <w:tblHeader w:val="1"/>
        </w:trPr>
        <w:tc>
          <w:tcPr>
            <w:tcW w:w="2800" w:type="dxa"/>
          </w:tcPr>
          <w:p w14:paraId="723AC4F3">
            <w:pPr>
              <w:rPr>
                <w:b w:val="1"/>
                <w:bCs w:val="1"/>
              </w:rPr>
            </w:pPr>
            <w:r>
              <w:rPr>
                <w:rFonts w:hint="eastAsia"/>
                <w:b w:val="1"/>
              </w:rPr>
              <w:t>征集要点</w:t>
            </w:r>
          </w:p>
        </w:tc>
        <w:tc>
          <w:tcPr>
            <w:tcW w:w="5600" w:type="dxa"/>
          </w:tcPr>
          <w:p w14:paraId="4681ADA6">
            <w:pPr>
              <w:rPr>
                <w:b w:val="1"/>
                <w:bCs w:val="1"/>
              </w:rPr>
            </w:pPr>
            <w:r>
              <w:rPr>
                <w:rFonts w:hint="eastAsia"/>
                <w:b w:val="1"/>
              </w:rPr>
              <w:t>意见内容（修订稿）</w:t>
            </w:r>
          </w:p>
        </w:tc>
      </w:tr>
      <w:tr>
        <w:trPr/>
        <w:tc>
          <w:tcPr>
            <w:tcW w:w="2800" w:type="dxa"/>
          </w:tcPr>
          <w:p w14:paraId="3E5AB2F1">
            <w:r>
              <w:rPr>
                <w:rFonts w:hint="eastAsia"/>
              </w:rPr>
              <w:t>对“基础标准—技术标准—管理标准”三层框架的合理性评价，以及是否需增设评价标准、服务标准等层级的建议；基础标准应包含的内容（术语定义、需求模型、分类分级、标识与编码、参考架构等）；技术标准的专业方向划分（如本体与结构、感知与识别、决策与规划、运动与作业、通信与交互、系统集成与接口等）及各方向关键内容；管理标准应覆盖的环节（装备配备、使用规范、训练考核、运行维护、数据管理、安全保密等）；对标准体系框架图绘制与体系概述编写的其他建议。</w:t>
            </w:r>
          </w:p>
        </w:tc>
        <w:tc>
          <w:tcPr>
            <w:tcW w:w="5600" w:type="dxa"/>
          </w:tcPr>
          <w:p w14:paraId="63F7F16F">
            <w:r>
              <w:rPr>
                <w:rFonts w:hint="eastAsia"/>
              </w:rPr>
              <w:t>①层级设置：在“基础—技术—管理”三层之外增设“评价”层（测试方法、实战效能评估、等级评定），并明确评价层与技术层中试验方法的边界——技术层管“要求”，评价层管“方法与判定规则”，避免重复制定；与YD/T 6770-2026《具身智能基准测试方法》衔接，检测能力对应SAC/TC591机器人检测分技术委员会。②基础标准：术语与定义；分类分级（建议“自主等级L1—L5×风险等级R1—R4”双维矩阵，自主等级可参照SAE J3016思路但须与警用场景重新定义，明确各等级的操作主体、接管要求与授权范围）；标识与编码；需求模型；参考架构（引GB/T 47245-2026）。③标识须分列两条：“设备唯一标识”引GB/T 41300-2022《民用无人机唯一产品识别码》（20位＝制造商代码4位＋产品型号代码4位＋序列号12位）及《无人驾驶航空器飞行管理暂行条例》第九条的备案思路；“输出内容标识”引GB 45438-2025（强制性国标，2025年9月1日实施），适用于机器人播报的合成语音、自动生成的警情分析文本与合成图像。④技术标准在原有六个方向外增列“多智能体协同”与“数据与模型”两个方向。⑤管理标准覆盖配备编制、勤务使用、训练考核、运行维护、数据管理、退役处置全生命周期，并增设“人机协同勤务规程”与“机器人致害事件处置规程”。</w:t>
            </w:r>
          </w:p>
        </w:tc>
      </w:tr>
    </w:tbl>
    <w:p w14:paraId="71258403">
      <w:pPr>
        <w:keepNext w:val="1"/>
        <w:keepLines w:val="1"/>
        <w:spacing w:before="100" w:beforeAutospacing="1" w:after="100" w:afterAutospacing="1"/>
        <w:outlineLvl w:val="2"/>
        <w:rPr>
          <w:sz w:val="32"/>
          <w:szCs w:val="32"/>
        </w:rPr>
      </w:pPr>
      <w:r>
        <w:rPr>
          <w:rFonts w:hint="eastAsia"/>
          <w:b w:val="1"/>
          <w:sz w:val="32"/>
        </w:rPr>
        <w:t>条目 1-4　标准体系建设推进步骤与节奏安排</w:t>
      </w:r>
    </w:p>
    <w:tbl>
      <w:tblPr>
        <w:tblW w:w="84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800"/>
        <w:gridCol w:w="5600"/>
      </w:tblGrid>
      <w:tr>
        <w:trPr>
          <w:tblHeader w:val="1"/>
        </w:trPr>
        <w:tc>
          <w:tcPr>
            <w:tcW w:w="2800" w:type="dxa"/>
          </w:tcPr>
          <w:p w14:paraId="2CF2E77E">
            <w:pPr>
              <w:rPr>
                <w:b w:val="1"/>
                <w:bCs w:val="1"/>
              </w:rPr>
            </w:pPr>
            <w:r>
              <w:rPr>
                <w:rFonts w:hint="eastAsia"/>
                <w:b w:val="1"/>
              </w:rPr>
              <w:t>征集要点</w:t>
            </w:r>
          </w:p>
        </w:tc>
        <w:tc>
          <w:tcPr>
            <w:tcW w:w="5600" w:type="dxa"/>
          </w:tcPr>
          <w:p w14:paraId="7F4BFFAA">
            <w:pPr>
              <w:rPr>
                <w:b w:val="1"/>
                <w:bCs w:val="1"/>
              </w:rPr>
            </w:pPr>
            <w:r>
              <w:rPr>
                <w:rFonts w:hint="eastAsia"/>
                <w:b w:val="1"/>
              </w:rPr>
              <w:t>意见内容（修订稿）</w:t>
            </w:r>
          </w:p>
        </w:tc>
      </w:tr>
      <w:tr>
        <w:trPr/>
        <w:tc>
          <w:tcPr>
            <w:tcW w:w="2800" w:type="dxa"/>
          </w:tcPr>
          <w:p w14:paraId="293A9DE9">
            <w:r>
              <w:rPr>
                <w:rFonts w:hint="eastAsia"/>
              </w:rPr>
              <w:t>按重要性、紧迫性和成熟度划分的建设阶段与优先顺序；各阶段目标、重点任务与标志性成果，建议明确的时间节点；建议“急用先行”制定的标准空白领域；标准研制与试点应用、检测认证协同推进的机制。</w:t>
            </w:r>
          </w:p>
        </w:tc>
        <w:tc>
          <w:tcPr>
            <w:tcW w:w="5600" w:type="dxa"/>
          </w:tcPr>
          <w:p w14:paraId="30364C02">
            <w:r>
              <w:rPr>
                <w:rFonts w:hint="eastAsia"/>
              </w:rPr>
              <w:t>①三阶段安排（以2026年为起算点）：第一阶段（2026—2027）完成术语、分类分级、安全管理总则、通用安全要求等基础与管理标准，以及巡逻、排爆、大型活动安保3个急用场景标准；第二阶段（2027—2029）完成八个技术方向的通用要求及配套评价方法；第三阶段（2029—2031）建成评价认证体系并转入动态迭代。②急用场景的确定方法（原稿缺依据）：建议以“人员风险替代度×技术成熟度（按TRL评定）×需求迫切度×标准空白度”四因子打分排序，形成可复核的立项优先级清单，三类场景作为初筛结果呈现。③推进机制：采用“标准草案与试点同步推进、以实战数据校核指标阈值”的路径，每个急用标准配置1个试点验证单位。④同步性要求：标准立项须同步明确检测能力建设方案，包括检测机构、设备、人员、经费来源与能力验证周期，防止“有标准、无检测”。⑤风险侧假设（原稿缺失）：对模型等快速迭代对象采用“框架标准＋技术规范”双轨制——框架标准保持稳定，技术规范以指导性技术文件形式在6个月内快速发布，并明确其效力与过渡安排；对标准与产品迭代不同步的窗口期，配套沙盒／试点豁免机制。</w:t>
            </w:r>
          </w:p>
        </w:tc>
      </w:tr>
    </w:tbl>
    <w:p w14:paraId="232BFC78">
      <w:pPr>
        <w:keepNext w:val="1"/>
        <w:keepLines w:val="1"/>
        <w:spacing w:before="100" w:beforeAutospacing="1" w:after="100" w:afterAutospacing="1"/>
        <w:outlineLvl w:val="2"/>
        <w:rPr>
          <w:sz w:val="32"/>
          <w:szCs w:val="32"/>
        </w:rPr>
      </w:pPr>
      <w:r>
        <w:rPr>
          <w:rFonts w:hint="eastAsia"/>
          <w:b w:val="1"/>
          <w:sz w:val="32"/>
        </w:rPr>
        <w:t>条目 1-5　已发布、在研与拟制定标准清单</w:t>
      </w:r>
    </w:p>
    <w:tbl>
      <w:tblPr>
        <w:tblW w:w="84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800"/>
        <w:gridCol w:w="5600"/>
      </w:tblGrid>
      <w:tr>
        <w:trPr>
          <w:tblHeader w:val="1"/>
        </w:trPr>
        <w:tc>
          <w:tcPr>
            <w:tcW w:w="2800" w:type="dxa"/>
          </w:tcPr>
          <w:p w14:paraId="69F350D3">
            <w:pPr>
              <w:rPr>
                <w:b w:val="1"/>
                <w:bCs w:val="1"/>
              </w:rPr>
            </w:pPr>
            <w:r>
              <w:rPr>
                <w:rFonts w:hint="eastAsia"/>
                <w:b w:val="1"/>
              </w:rPr>
              <w:t>征集要点</w:t>
            </w:r>
          </w:p>
        </w:tc>
        <w:tc>
          <w:tcPr>
            <w:tcW w:w="5600" w:type="dxa"/>
          </w:tcPr>
          <w:p w14:paraId="254A4146">
            <w:pPr>
              <w:rPr>
                <w:b w:val="1"/>
                <w:bCs w:val="1"/>
              </w:rPr>
            </w:pPr>
            <w:r>
              <w:rPr>
                <w:rFonts w:hint="eastAsia"/>
                <w:b w:val="1"/>
              </w:rPr>
              <w:t>意见内容（修订稿）</w:t>
            </w:r>
          </w:p>
        </w:tc>
      </w:tr>
      <w:tr>
        <w:trPr/>
        <w:tc>
          <w:tcPr>
            <w:tcW w:w="2800" w:type="dxa"/>
          </w:tcPr>
          <w:p w14:paraId="694DC994">
            <w:r>
              <w:rPr>
                <w:rFonts w:hint="eastAsia"/>
              </w:rPr>
              <w:t>本单位掌握或参与的、与具身智能机器人公共安全应用相关的已发布和在研标准情况（请按附件 B 格式填写）；依据本表标准体系框架建议，认为应当制定的国家标准／行业标准／团体标准项目建议（请按附件 C 格式填写）；现有标准可直接引用、需要修订或存在交叉冲突的情况说明。</w:t>
            </w:r>
          </w:p>
        </w:tc>
        <w:tc>
          <w:tcPr>
            <w:tcW w:w="5600" w:type="dxa"/>
          </w:tcPr>
          <w:p w14:paraId="012AF5B5">
            <w:r>
              <w:rPr>
                <w:rFonts w:hint="eastAsia"/>
              </w:rPr>
              <w:t>①可直接引用的已发布标准（须标注适用边界）：GB 42590-2023（民用无人机强制性国标，其17方面要求及试验方法可移植至机器人安全总则，但适用对象为民用无人机，不能直接等同）；GB/T 41300-2022（民用无人机唯一产品识别码，设备标识编码参考）；GA/T 1411.1～1411.4-2017（警用无人驾驶航空器系统）；GA/T 1382-2018、GA/T 1505-2018（无人机警用应用）；GB/T 28181-2022（公共安全视频监控联网）；GB/T 45654-2025（生成式AI服务安全基本要求）；GB 45438-2025（生成式内容标识，强制性）；GB/T 47245-2026（机器人智能控制系统总体架构）；YD/T 6770-2026（具身智能基准测试方法）。②需跟踪的在研标准：MIIT/TC8已部署多模态感知、数据采集、整机通用技术、安全总则等急需标准；SAC/TC591《人形机器人技术要求》系列已进入意见征询阶段；《人工智能 具身智能大模型系统技术要求》等在编国标。③交叉与冲突分析（原稿缺失）：GA/T 1411系列与GB 42590-2023在适用对象与强制力上不重叠，但机器人标准若直接引用民用条款，可能与警用部分产生口径分歧，须在引用映射表中逐条标注；建议对GA/T 1411系列开展适用性复审，评估将机器人纳入其调整范围或另立系列的利弊。④国际对标（原稿空白）：建议纳入ISO/TC299（与SAC/TC591对口）、ISO 10218-1／10218-2（2025版）、ISO/TS 15066（已并入ISO 10218-2:2025）、ISO/IEC 42001:2023、IEC 62443系列，并明确标准国际化路径。⑤拟立项清单由5项扩充至8项（见附表C修订版），覆盖基础、技术、管理、评价四层；明确跟踪在研标准的责任单位与更新频率。</w:t>
            </w:r>
          </w:p>
        </w:tc>
      </w:tr>
    </w:tbl>
    <w:p w14:paraId="7FC9C0EB">
      <w:pPr>
        <w:keepNext w:val="1"/>
        <w:keepLines w:val="1"/>
        <w:spacing w:before="100" w:beforeAutospacing="1" w:after="100" w:afterAutospacing="1"/>
        <w:outlineLvl w:val="1"/>
        <w:rPr>
          <w:sz w:val="32"/>
          <w:szCs w:val="32"/>
        </w:rPr>
      </w:pPr>
      <w:r>
        <w:rPr>
          <w:rFonts w:hint="eastAsia"/>
          <w:b w:val="1"/>
          <w:sz w:val="32"/>
        </w:rPr>
        <w:t>二、应用场景意见</w:t>
      </w:r>
    </w:p>
    <w:p w14:paraId="06BF2789">
      <w:pPr>
        <w:keepNext w:val="1"/>
        <w:keepLines w:val="1"/>
        <w:spacing w:before="100" w:beforeAutospacing="1" w:after="100" w:afterAutospacing="1"/>
        <w:outlineLvl w:val="2"/>
        <w:rPr>
          <w:sz w:val="32"/>
          <w:szCs w:val="32"/>
        </w:rPr>
      </w:pPr>
      <w:r>
        <w:rPr>
          <w:rFonts w:hint="eastAsia"/>
          <w:b w:val="1"/>
          <w:sz w:val="32"/>
        </w:rPr>
        <w:t>条目 2-1　重点应用场景识别与优先级排序</w:t>
      </w:r>
    </w:p>
    <w:tbl>
      <w:tblPr>
        <w:tblW w:w="84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800"/>
        <w:gridCol w:w="5600"/>
      </w:tblGrid>
      <w:tr>
        <w:trPr>
          <w:tblHeader w:val="1"/>
        </w:trPr>
        <w:tc>
          <w:tcPr>
            <w:tcW w:w="2800" w:type="dxa"/>
          </w:tcPr>
          <w:p w14:paraId="49C8C690">
            <w:pPr>
              <w:rPr>
                <w:b w:val="1"/>
                <w:bCs w:val="1"/>
              </w:rPr>
            </w:pPr>
            <w:r>
              <w:rPr>
                <w:rFonts w:hint="eastAsia"/>
                <w:b w:val="1"/>
              </w:rPr>
              <w:t>征集要点</w:t>
            </w:r>
          </w:p>
        </w:tc>
        <w:tc>
          <w:tcPr>
            <w:tcW w:w="5600" w:type="dxa"/>
          </w:tcPr>
          <w:p w14:paraId="0475B021">
            <w:pPr>
              <w:rPr>
                <w:b w:val="1"/>
                <w:bCs w:val="1"/>
              </w:rPr>
            </w:pPr>
            <w:r>
              <w:rPr>
                <w:rFonts w:hint="eastAsia"/>
                <w:b w:val="1"/>
              </w:rPr>
              <w:t>意见内容（修订稿）</w:t>
            </w:r>
          </w:p>
        </w:tc>
      </w:tr>
      <w:tr>
        <w:trPr/>
        <w:tc>
          <w:tcPr>
            <w:tcW w:w="2800" w:type="dxa"/>
          </w:tcPr>
          <w:p w14:paraId="074DAEE2">
            <w:r>
              <w:rPr>
                <w:rFonts w:hint="eastAsia"/>
              </w:rPr>
              <w:t>本单位业务中适合引入具身智能机器人的具体场景（如街面巡逻、卡点检查、危险品／爆炸物处置、应急救援、监所巡视、大型活动安保、交通管理、社区警务等）；各场景的应用价值、迫切程度与实施难度评价，以及建议的优先顺序；尚不具备应用条件的场景及其主要制约因素。</w:t>
            </w:r>
          </w:p>
        </w:tc>
        <w:tc>
          <w:tcPr>
            <w:tcW w:w="5600" w:type="dxa"/>
          </w:tcPr>
          <w:p w14:paraId="5DF89026">
            <w:r>
              <w:rPr>
                <w:rFonts w:hint="eastAsia"/>
              </w:rPr>
              <w:t>①筛选方法（替代原“三重标准”）：建立四因子评分矩阵——人员风险替代度、人力占用强度、技术成熟度（按TRL评定）、标准空白度，各0—5分加权求和，形成可复核的排序，避免“凭经验排序”。②第一优先（TRL≥7、风险替代价值高）：街面巡逻与重点部位值守、危险品与爆炸物处置（排爆作业归口SAC/TC577，可与其既有标准衔接）。③第二优先：大型活动安保、卡点检查、监所巡视，环境相对封闭可控、边际效益明显。④第三优先：应急救援侦察、交通管理执法辅助、社区警务服务。⑤建议补入的候选场景（原清单未覆盖）：边海防与口岸检查、轨道交通枢纽、危化园区、水域救援，其中水域救援属“高风险、低成熟”，宜列入观察名单。⑥暂缓场景：直接人身强制类应用（抓捕、控制），待自主决策可靠性验证方法、法律责任界定与伦理审查机制成熟后再行规范。⑦发布机制：建议由归口标委会会同业务部门每年发布《公共安全具身智能机器人应用场景目录》，明确发布主体、编制流程、与警用装备列装目录的衔接方式，以及“成熟一个、纳入一个、失效一个、退出一个”的动态调整与退出条件。</w:t>
            </w:r>
          </w:p>
        </w:tc>
      </w:tr>
    </w:tbl>
    <w:p w14:paraId="486C604C">
      <w:pPr>
        <w:keepNext w:val="1"/>
        <w:keepLines w:val="1"/>
        <w:spacing w:before="100" w:beforeAutospacing="1" w:after="100" w:afterAutospacing="1"/>
        <w:outlineLvl w:val="2"/>
        <w:rPr>
          <w:sz w:val="32"/>
          <w:szCs w:val="32"/>
        </w:rPr>
      </w:pPr>
      <w:r>
        <w:rPr>
          <w:rFonts w:hint="eastAsia"/>
          <w:b w:val="1"/>
          <w:sz w:val="32"/>
        </w:rPr>
        <w:t>条目 2-2　场景化功能性能要求与评价指标</w:t>
      </w:r>
    </w:p>
    <w:tbl>
      <w:tblPr>
        <w:tblW w:w="84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800"/>
        <w:gridCol w:w="5600"/>
      </w:tblGrid>
      <w:tr>
        <w:trPr>
          <w:tblHeader w:val="1"/>
        </w:trPr>
        <w:tc>
          <w:tcPr>
            <w:tcW w:w="2800" w:type="dxa"/>
          </w:tcPr>
          <w:p w14:paraId="76A304F5">
            <w:pPr>
              <w:rPr>
                <w:b w:val="1"/>
                <w:bCs w:val="1"/>
              </w:rPr>
            </w:pPr>
            <w:r>
              <w:rPr>
                <w:rFonts w:hint="eastAsia"/>
                <w:b w:val="1"/>
              </w:rPr>
              <w:t>征集要点</w:t>
            </w:r>
          </w:p>
        </w:tc>
        <w:tc>
          <w:tcPr>
            <w:tcW w:w="5600" w:type="dxa"/>
          </w:tcPr>
          <w:p w14:paraId="4AC8FFAA">
            <w:pPr>
              <w:rPr>
                <w:b w:val="1"/>
                <w:bCs w:val="1"/>
              </w:rPr>
            </w:pPr>
            <w:r>
              <w:rPr>
                <w:rFonts w:hint="eastAsia"/>
                <w:b w:val="1"/>
              </w:rPr>
              <w:t>意见内容（修订稿）</w:t>
            </w:r>
          </w:p>
        </w:tc>
      </w:tr>
      <w:tr>
        <w:trPr/>
        <w:tc>
          <w:tcPr>
            <w:tcW w:w="2800" w:type="dxa"/>
          </w:tcPr>
          <w:p w14:paraId="51AACE39">
            <w:r>
              <w:rPr>
                <w:rFonts w:hint="eastAsia"/>
              </w:rPr>
              <w:t>各场景对机器人形态（轮式／足式／复合式／固定式）、机动能力、续航能力、载荷能力、环境适应性等的具体要求；感知识别、决策响应、作业精度、人机交互等能力指标要求；任务完成率、响应时延、误报率与漏报率等可量化评价指标建议；极端环境（高温、低温、雨雪、夜间、弱网或无网、强电磁干扰等）下的适应性要求。</w:t>
            </w:r>
          </w:p>
        </w:tc>
        <w:tc>
          <w:tcPr>
            <w:tcW w:w="5600" w:type="dxa"/>
          </w:tcPr>
          <w:p w14:paraId="0582D586">
            <w:r>
              <w:rPr>
                <w:rFonts w:hint="eastAsia"/>
              </w:rPr>
              <w:t>①指标分级：每类场景设“基础项（安全底线，一票否决）＋增强项（效能指标）”，基础项的判定方法须可复现。②指标定值方法（原稿给出数值但无依据）：建议采用“三步定值法”——先取行业实测基线（不少于3家厂商、每类不少于5台、累计不少于1000小时），再取既有标准可引用值（如GA/T 1411系列、YD/T 6770-2026），最后经试点验证校核后定值；正式文本中注明取值来源与适用条件。③可检验性修正：原稿“误报率≤2次/小时·路”的分母口径不明（“每路视频流”与“每台·每班次”量纲不同，多目机器人按前者折算每小时可容许十余次误报，指标形同虚设），建议明确按“每台·每班次”计。④环境与防护等级：原稿“IP54、-20℃～+50℃”低于警用室外装备通行做法（IP54仅防溅水，不具备防喷水能力），建议按使用环境分区设定（室内监所、室外街面、雨雪涉水分别要求），室外参考不低于IP65，具体值核对既有警用装备标准后确定。⑤自主能力分级：定义L1远程遥操作至L5高度自主五级，逐级明确操作主体、人工确认环节、接管时限（建议≤500ms）与失效降级策略，并与训练与勤务授权挂钩。⑥补充缺失指标：人机比上限、交互负荷（告警处理饱和度）、能耗与噪声（夜间社区场景）、数据质量（采集完整率与标注一致率）。⑦双轨验证须给判据：实验室型式试验与实战场景演练分别计分、两项均达标方可通过；对“实验室通过、实战不通过”的型号规定复测次数上限与退出处理规则。</w:t>
            </w:r>
          </w:p>
        </w:tc>
      </w:tr>
    </w:tbl>
    <w:p w14:paraId="2D78F7AC">
      <w:pPr>
        <w:keepNext w:val="1"/>
        <w:keepLines w:val="1"/>
        <w:spacing w:before="100" w:beforeAutospacing="1" w:after="100" w:afterAutospacing="1"/>
        <w:outlineLvl w:val="2"/>
        <w:rPr>
          <w:sz w:val="32"/>
          <w:szCs w:val="32"/>
        </w:rPr>
      </w:pPr>
      <w:r>
        <w:rPr>
          <w:rFonts w:hint="eastAsia"/>
          <w:b w:val="1"/>
          <w:sz w:val="32"/>
        </w:rPr>
        <w:t>条目 2-3　人机协同方式与勤务模式</w:t>
      </w:r>
    </w:p>
    <w:tbl>
      <w:tblPr>
        <w:tblW w:w="84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800"/>
        <w:gridCol w:w="5600"/>
      </w:tblGrid>
      <w:tr>
        <w:trPr>
          <w:tblHeader w:val="1"/>
        </w:trPr>
        <w:tc>
          <w:tcPr>
            <w:tcW w:w="2800" w:type="dxa"/>
          </w:tcPr>
          <w:p w14:paraId="578E77E5">
            <w:pPr>
              <w:rPr>
                <w:b w:val="1"/>
                <w:bCs w:val="1"/>
              </w:rPr>
            </w:pPr>
            <w:r>
              <w:rPr>
                <w:rFonts w:hint="eastAsia"/>
                <w:b w:val="1"/>
              </w:rPr>
              <w:t>征集要点</w:t>
            </w:r>
          </w:p>
        </w:tc>
        <w:tc>
          <w:tcPr>
            <w:tcW w:w="5600" w:type="dxa"/>
          </w:tcPr>
          <w:p w14:paraId="2B274C4A">
            <w:pPr>
              <w:rPr>
                <w:b w:val="1"/>
                <w:bCs w:val="1"/>
              </w:rPr>
            </w:pPr>
            <w:r>
              <w:rPr>
                <w:rFonts w:hint="eastAsia"/>
                <w:b w:val="1"/>
              </w:rPr>
              <w:t>意见内容（修订稿）</w:t>
            </w:r>
          </w:p>
        </w:tc>
      </w:tr>
      <w:tr>
        <w:trPr/>
        <w:tc>
          <w:tcPr>
            <w:tcW w:w="2800" w:type="dxa"/>
          </w:tcPr>
          <w:p w14:paraId="5A1428B5">
            <w:r>
              <w:rPr>
                <w:rFonts w:hint="eastAsia"/>
              </w:rPr>
              <w:t>机器人与警务人员、指挥中心及其他装备的协同方式与职责边界；远程操控与自主运行的比例、权限移交与接管机制；对勤务组织、指挥流程、编组模式带来的变化及配套要求；一线人员操作技能要求与培训考核建议。</w:t>
            </w:r>
          </w:p>
        </w:tc>
        <w:tc>
          <w:tcPr>
            <w:tcW w:w="5600" w:type="dxa"/>
          </w:tcPr>
          <w:p w14:paraId="4AF4D052">
            <w:r>
              <w:rPr>
                <w:rFonts w:hint="eastAsia"/>
              </w:rPr>
              <w:t>①权责边界：涉及人身强制与财产处置的决定权必须由民警作出；机器人定位为“感知延伸＋处置辅助”，仅赋予警告告知、取证固证、非接触制止（阻挡、喷射标识等）有限权限并按自主等级分级授权；建议在管理标准中确立底线条款——无民警在场时，机器人不得作出减损公民权利的决定。②接管机制：任何自主状态均须支持人工接管，明确接管响应时限（建议≤500ms）；通信中断时自动进入安全态，安全态的定义、切换判据、恢复条件与验证方法须写入标准；接管与操作日志全程留痕、不可篡改。③勤务编组：原稿“1名民警＋2台机器人＋1架无人机”无依据，建议改为“由试点实测确定，标准给出编成选取方法与参考区间”，并同步重构指挥流程、口令体系与应急预案。④与110接处警流程对接（原稿缺失）：明确机器人警情的派单规则、审批环节与处置闭环，避免形成体系外的“第二指挥链”。⑤责任分担（原稿缺失）：按自主等级分档界定——L1/L2由操作民警承担操作责任，L3及以上由装备使用单位承担使用管理责任，厂商对产品缺陷承担产品责任；建立致害事件上报、调查与归责规程，强制决策链留痕（感知输入—模型版本—决策输出—人工确认—执行结果），留痕期不少于3年；引入产品责任保险与科技保险，将标准符合性作为费率因子。⑥训练考核：操作与协同人员持证上岗，训练大纲、模拟训练系统与考核标准纳入管理标准体系同步建设，明确复训周期与资质有效期。</w:t>
            </w:r>
          </w:p>
        </w:tc>
      </w:tr>
    </w:tbl>
    <w:p w14:paraId="5E6AA00D">
      <w:pPr>
        <w:keepNext w:val="1"/>
        <w:keepLines w:val="1"/>
        <w:spacing w:before="100" w:beforeAutospacing="1" w:after="100" w:afterAutospacing="1"/>
        <w:outlineLvl w:val="2"/>
        <w:rPr>
          <w:sz w:val="32"/>
          <w:szCs w:val="32"/>
        </w:rPr>
      </w:pPr>
      <w:r>
        <w:rPr>
          <w:rFonts w:hint="eastAsia"/>
          <w:b w:val="1"/>
          <w:sz w:val="32"/>
        </w:rPr>
        <w:t>条目 2-4　场景落地的突出问题与对策建议</w:t>
      </w:r>
    </w:p>
    <w:tbl>
      <w:tblPr>
        <w:tblW w:w="84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800"/>
        <w:gridCol w:w="5600"/>
      </w:tblGrid>
      <w:tr>
        <w:trPr>
          <w:tblHeader w:val="1"/>
        </w:trPr>
        <w:tc>
          <w:tcPr>
            <w:tcW w:w="2800" w:type="dxa"/>
          </w:tcPr>
          <w:p w14:paraId="1333CB0E">
            <w:pPr>
              <w:rPr>
                <w:b w:val="1"/>
                <w:bCs w:val="1"/>
              </w:rPr>
            </w:pPr>
            <w:r>
              <w:rPr>
                <w:rFonts w:hint="eastAsia"/>
                <w:b w:val="1"/>
              </w:rPr>
              <w:t>征集要点</w:t>
            </w:r>
          </w:p>
        </w:tc>
        <w:tc>
          <w:tcPr>
            <w:tcW w:w="5600" w:type="dxa"/>
          </w:tcPr>
          <w:p w14:paraId="5FCCCCF6">
            <w:pPr>
              <w:rPr>
                <w:b w:val="1"/>
                <w:bCs w:val="1"/>
              </w:rPr>
            </w:pPr>
            <w:r>
              <w:rPr>
                <w:rFonts w:hint="eastAsia"/>
                <w:b w:val="1"/>
              </w:rPr>
              <w:t>意见内容（修订稿）</w:t>
            </w:r>
          </w:p>
        </w:tc>
      </w:tr>
      <w:tr>
        <w:trPr/>
        <w:tc>
          <w:tcPr>
            <w:tcW w:w="2800" w:type="dxa"/>
          </w:tcPr>
          <w:p w14:paraId="6434A688">
            <w:r>
              <w:rPr>
                <w:rFonts w:hint="eastAsia"/>
              </w:rPr>
              <w:t>实际应用中暴露的突出问题（可靠性、稳定性、易用性、维护保障、使用成本等）；从标准化角度可采取的对策与建议；需要跨部门协调解决的事项。</w:t>
            </w:r>
          </w:p>
        </w:tc>
        <w:tc>
          <w:tcPr>
            <w:tcW w:w="5600" w:type="dxa"/>
          </w:tcPr>
          <w:p w14:paraId="547B4BB7">
            <w:r>
              <w:rPr>
                <w:rFonts w:hint="eastAsia"/>
              </w:rPr>
              <w:t>①问题清单（按发生频次与后果排序）：整机可靠性与稳定性不足（跌倒、卡死、误停）、续航与补能瓶颈、复杂地形与极端天气通过性差、大模型幻觉与误判（如误报持械、误判目标身份）、售后维护体系缺失、单机与运维成本高。②标准侧对策：把可靠性、环境适应性、维护保障响应时效写成可检验指标，并明确试验方法与判定规则；推动模块化设计与通用接口，建议明确机械、电气、通信、软件四类接口的标准化模块划分，以标准化降低全寿命周期成本。③大模型安全围栏须分级（原稿未分级）：低风险动作可由机器人自主执行；中风险动作须人工确认；高风险动作（强制、拦截、告警升级）强制人工确认且须双人在场；围栏的触发条件与失效行为须可验证。④跨部门事项与协调机制：警用装备列装目录准入、经费保障渠道、与低空管理和应急管理部门的空地协同职责划分，建议建立“公共安全智能装备部际协调机制”并实行年度会商，由部级层面组织，下设标准、试点、检测认证、数据安全四个专项组，明确成员单位、联络员与响应时限，避免仅停留于“提请协调”。</w:t>
            </w:r>
          </w:p>
        </w:tc>
      </w:tr>
    </w:tbl>
    <w:p w14:paraId="21D97379">
      <w:pPr>
        <w:keepNext w:val="1"/>
        <w:keepLines w:val="1"/>
        <w:spacing w:before="100" w:beforeAutospacing="1" w:after="100" w:afterAutospacing="1"/>
        <w:outlineLvl w:val="1"/>
        <w:rPr>
          <w:sz w:val="32"/>
          <w:szCs w:val="32"/>
        </w:rPr>
      </w:pPr>
      <w:r>
        <w:rPr>
          <w:rFonts w:hint="eastAsia"/>
          <w:b w:val="1"/>
          <w:sz w:val="32"/>
        </w:rPr>
        <w:t>三、技术路径意见</w:t>
      </w:r>
    </w:p>
    <w:p w14:paraId="7F34A544">
      <w:pPr>
        <w:keepNext w:val="1"/>
        <w:keepLines w:val="1"/>
        <w:spacing w:before="100" w:beforeAutospacing="1" w:after="100" w:afterAutospacing="1"/>
        <w:outlineLvl w:val="2"/>
        <w:rPr>
          <w:sz w:val="32"/>
          <w:szCs w:val="32"/>
        </w:rPr>
      </w:pPr>
      <w:r>
        <w:rPr>
          <w:rFonts w:hint="eastAsia"/>
          <w:b w:val="1"/>
          <w:sz w:val="32"/>
        </w:rPr>
        <w:t>条目 3-1　关键技术方向与攻关重点</w:t>
      </w:r>
    </w:p>
    <w:tbl>
      <w:tblPr>
        <w:tblW w:w="84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800"/>
        <w:gridCol w:w="5600"/>
      </w:tblGrid>
      <w:tr>
        <w:trPr>
          <w:tblHeader w:val="1"/>
        </w:trPr>
        <w:tc>
          <w:tcPr>
            <w:tcW w:w="2800" w:type="dxa"/>
          </w:tcPr>
          <w:p w14:paraId="321785F5">
            <w:pPr>
              <w:rPr>
                <w:b w:val="1"/>
                <w:bCs w:val="1"/>
              </w:rPr>
            </w:pPr>
            <w:r>
              <w:rPr>
                <w:rFonts w:hint="eastAsia"/>
                <w:b w:val="1"/>
              </w:rPr>
              <w:t>征集要点</w:t>
            </w:r>
          </w:p>
        </w:tc>
        <w:tc>
          <w:tcPr>
            <w:tcW w:w="5600" w:type="dxa"/>
          </w:tcPr>
          <w:p w14:paraId="61F0112E">
            <w:pPr>
              <w:rPr>
                <w:b w:val="1"/>
                <w:bCs w:val="1"/>
              </w:rPr>
            </w:pPr>
            <w:r>
              <w:rPr>
                <w:rFonts w:hint="eastAsia"/>
                <w:b w:val="1"/>
              </w:rPr>
              <w:t>意见内容（修订稿）</w:t>
            </w:r>
          </w:p>
        </w:tc>
      </w:tr>
      <w:tr>
        <w:trPr/>
        <w:tc>
          <w:tcPr>
            <w:tcW w:w="2800" w:type="dxa"/>
          </w:tcPr>
          <w:p w14:paraId="2FE5D0B9">
            <w:r>
              <w:rPr>
                <w:rFonts w:hint="eastAsia"/>
              </w:rPr>
              <w:t>需重点突破的关键技术（多模态感知融合、具身智能大模型与自主决策、运动控制与灵巧操作、人机自然交互、本体结构与安全防护等）；各项技术的成熟度现状判断与攻关优先级；需要通过标准牵引和规范的技术方向。</w:t>
            </w:r>
          </w:p>
        </w:tc>
        <w:tc>
          <w:tcPr>
            <w:tcW w:w="5600" w:type="dxa"/>
          </w:tcPr>
          <w:p w14:paraId="1E4F5065">
            <w:r>
              <w:rPr>
                <w:rFonts w:hint="eastAsia"/>
              </w:rPr>
              <w:t>①攻关排序方法（原稿直接给出顺序，无法复核）：建议以技术成熟度（TRL）与瓶颈程度双维评估，标明各项技术当前与目标的TRL等级及时间窗，使优先级可复核、可据以分配资源。②优先攻关方向：多模态感知融合（夜间、雨雪、遮挡、逆光条件）→具身大模型与端侧推理（小模型＋边缘算力，避免纯云端依赖）→运动控制与灵巧作业（排爆剪线等精细操作）→长续航能源（含自动换电与补能设施标准化）。③应补入的两条主线（原稿完全缺失）：一是“数据与模型”——数据采集规范、标注质量、数据集验收判据、仿真数据与真实数据配比及仿真到现实（sim2real）迁移效果的验证方法，数据采集已被MIIT/TC8列为急需标准；二是“能源与补能基础设施”——电池安全、自动换电接口、充电设施与城市基础设施统筹。④标准牵引点：把“端到端时延、断网持续作业时长（建议给出不少于30分钟的参考值并说明适用场景）、模型版本可回滚（明确回滚时限与验证方式）”写成硬约束条款，以标准倒逼架构优化，防止厂商以云端能力掩盖端侧短板。⑤大模型专项：建设警用领域语料与评测基准（衔接YD/T 6770-2026与在编的《人工智能 具身智能大模型系统技术要求》），明确涉警数据不出域、模型上线前开展安全评估（衔接GB/T 45654-2025）、算法按规定履行备案义务；机器人对外输出的合成内容按规定加注标识（衔接GB 45438-2025）。⑥异构协同：将机器人—无人机—无人车—固定感知设备的空天地一体化协同列为独立技术方向，复用低空经济领域已有基础设施与技术成果。</w:t>
            </w:r>
          </w:p>
        </w:tc>
      </w:tr>
    </w:tbl>
    <w:p w14:paraId="1295C1FD">
      <w:pPr>
        <w:keepNext w:val="1"/>
        <w:keepLines w:val="1"/>
        <w:spacing w:before="100" w:beforeAutospacing="1" w:after="100" w:afterAutospacing="1"/>
        <w:outlineLvl w:val="2"/>
        <w:rPr>
          <w:sz w:val="32"/>
          <w:szCs w:val="32"/>
        </w:rPr>
      </w:pPr>
      <w:r>
        <w:rPr>
          <w:rFonts w:hint="eastAsia"/>
          <w:b w:val="1"/>
          <w:sz w:val="32"/>
        </w:rPr>
        <w:t>条目 3-2　技术架构、系统集成与接口规范</w:t>
      </w:r>
    </w:p>
    <w:tbl>
      <w:tblPr>
        <w:tblW w:w="84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800"/>
        <w:gridCol w:w="5600"/>
      </w:tblGrid>
      <w:tr>
        <w:trPr>
          <w:tblHeader w:val="1"/>
        </w:trPr>
        <w:tc>
          <w:tcPr>
            <w:tcW w:w="2800" w:type="dxa"/>
          </w:tcPr>
          <w:p w14:paraId="25222D94">
            <w:pPr>
              <w:rPr>
                <w:b w:val="1"/>
                <w:bCs w:val="1"/>
              </w:rPr>
            </w:pPr>
            <w:r>
              <w:rPr>
                <w:rFonts w:hint="eastAsia"/>
                <w:b w:val="1"/>
              </w:rPr>
              <w:t>征集要点</w:t>
            </w:r>
          </w:p>
        </w:tc>
        <w:tc>
          <w:tcPr>
            <w:tcW w:w="5600" w:type="dxa"/>
          </w:tcPr>
          <w:p w14:paraId="115B54E5">
            <w:pPr>
              <w:rPr>
                <w:b w:val="1"/>
                <w:bCs w:val="1"/>
              </w:rPr>
            </w:pPr>
            <w:r>
              <w:rPr>
                <w:rFonts w:hint="eastAsia"/>
                <w:b w:val="1"/>
              </w:rPr>
              <w:t>意见内容（修订稿）</w:t>
            </w:r>
          </w:p>
        </w:tc>
      </w:tr>
      <w:tr>
        <w:trPr/>
        <w:tc>
          <w:tcPr>
            <w:tcW w:w="2800" w:type="dxa"/>
          </w:tcPr>
          <w:p w14:paraId="062611FC">
            <w:r>
              <w:rPr>
                <w:rFonts w:hint="eastAsia"/>
              </w:rPr>
              <w:t>具身智能机器人系统推荐技术架构（端—边—云协同等）建议；与公共安全信息化系统（指挥调度、视频专网、业务应用等）的集成要求；接口、协议、数据格式的标准化需求，以及“一机多用、多机协同”的兼容性要求；信息安全与网络安全防护要求。</w:t>
            </w:r>
          </w:p>
        </w:tc>
        <w:tc>
          <w:tcPr>
            <w:tcW w:w="5600" w:type="dxa"/>
          </w:tcPr>
          <w:p w14:paraId="38CE9E08">
            <w:r>
              <w:rPr>
                <w:rFonts w:hint="eastAsia"/>
              </w:rPr>
              <w:t>①推荐架构：端—边—云三级。端侧完成感知、定位与安全控制（低时延、断网可用），边缘节点承担区域协同与多机调度，云端负责模型训练迭代与全域指挥；明确各级的失效降级策略、降级触发条件与降级后可用的功能清单。②集成要求：原生接入公安视频图像专网（GB/T 28181-2022）、情指行一体化平台与警用地理信息系统，支持“一机多平台”注册与统一设备管理；明确设备统一编码、登记主体、变更与注销流程（谁发码、谁登记、如何注销）。③接口规范：统一设备管理、音视频流、告警事件、地图与位姿四类北向接口；补入模型与算力接口（模型下发、版本管理、OTA升级）；补入时间同步要求（建议支持北斗／PTP授时），多机协同时序一致性须有量化要求。④软件层接口（原稿“兼容ROS 2接口约定”需修正）：ROS 2及底层DDS属社区开源规范，不具备公安专网所需的自主可控与安全认证条件，建议改为“在标准中约定必要的接口语义与数据模型，不指定具体实现”，并另行制定开源与第三方组件的安全评估与准入清单。⑤安全要求：数据链加密、设备与平台双向身份认证、控制指令签名防重放；密码应用应符合国家商用密码要求（参照信息系统密码应用基本要求类国家标准及GM/T系列），并明确网络安全等级保护定级与关键信息基础设施认定情形。</w:t>
            </w:r>
          </w:p>
        </w:tc>
      </w:tr>
    </w:tbl>
    <w:p w14:paraId="35AB366E">
      <w:pPr>
        <w:keepNext w:val="1"/>
        <w:keepLines w:val="1"/>
        <w:spacing w:before="100" w:beforeAutospacing="1" w:after="100" w:afterAutospacing="1"/>
        <w:outlineLvl w:val="2"/>
        <w:rPr>
          <w:sz w:val="32"/>
          <w:szCs w:val="32"/>
        </w:rPr>
      </w:pPr>
      <w:r>
        <w:rPr>
          <w:rFonts w:hint="eastAsia"/>
          <w:b w:val="1"/>
          <w:sz w:val="32"/>
        </w:rPr>
        <w:t>条目 3-3　试验验证、测试评价与检验认证</w:t>
      </w:r>
    </w:p>
    <w:tbl>
      <w:tblPr>
        <w:tblW w:w="84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800"/>
        <w:gridCol w:w="5600"/>
      </w:tblGrid>
      <w:tr>
        <w:trPr>
          <w:tblHeader w:val="1"/>
        </w:trPr>
        <w:tc>
          <w:tcPr>
            <w:tcW w:w="2800" w:type="dxa"/>
          </w:tcPr>
          <w:p w14:paraId="436226C8">
            <w:pPr>
              <w:rPr>
                <w:b w:val="1"/>
                <w:bCs w:val="1"/>
              </w:rPr>
            </w:pPr>
            <w:r>
              <w:rPr>
                <w:rFonts w:hint="eastAsia"/>
                <w:b w:val="1"/>
              </w:rPr>
              <w:t>征集要点</w:t>
            </w:r>
          </w:p>
        </w:tc>
        <w:tc>
          <w:tcPr>
            <w:tcW w:w="5600" w:type="dxa"/>
          </w:tcPr>
          <w:p w14:paraId="37FA8978">
            <w:pPr>
              <w:rPr>
                <w:b w:val="1"/>
                <w:bCs w:val="1"/>
              </w:rPr>
            </w:pPr>
            <w:r>
              <w:rPr>
                <w:rFonts w:hint="eastAsia"/>
                <w:b w:val="1"/>
              </w:rPr>
              <w:t>意见内容（修订稿）</w:t>
            </w:r>
          </w:p>
        </w:tc>
      </w:tr>
      <w:tr>
        <w:trPr/>
        <w:tc>
          <w:tcPr>
            <w:tcW w:w="2800" w:type="dxa"/>
          </w:tcPr>
          <w:p w14:paraId="4C950EBB">
            <w:r>
              <w:rPr>
                <w:rFonts w:hint="eastAsia"/>
              </w:rPr>
              <w:t>试验验证环境、测试方法与典型科目设置建议；型式试验、性能测试、可靠性试验、实战化演练的要求；检测认证机构、认证模式与标识管理的建议；对“标准测试场景＋实战应用场景”双轨验证方式的意见。</w:t>
            </w:r>
          </w:p>
        </w:tc>
        <w:tc>
          <w:tcPr>
            <w:tcW w:w="5600" w:type="dxa"/>
          </w:tcPr>
          <w:p w14:paraId="2983247E">
            <w:r>
              <w:rPr>
                <w:rFonts w:hint="eastAsia"/>
              </w:rPr>
              <w:t>①三级测试体系：实验室型式试验（准入）＋实战场景演练（准入）＋试点长期运行（评价）；明确各级的通过判据与“不通过”的处置规则。②科目设置五类：环境适应性、失效安全（安全边界与降级行为）、人机接管、抗干扰（电磁干扰、卫星定位欺骗、视觉欺骗、对抗样本攻击、通信劫持、断电断网）、连续运行可靠性；其中对抗类科目应明确红队测试的组织方式与强度分级。③认证模式（原稿“CCC认证”类比属制度错位）：警用装备不走CCC认证路径，应参照现行警用装备定型与检测制度，实行“产品定型检测＋场景准入”双证管理；检测机构须具备CMA/CNAS资质并经指定认可，检测报告须可溯源，杜绝“自测自证”。④基础设施：原稿“依托北京亦庄、深圳等集群共建测试场”未给选址依据与运行主体，存在多地重复投资风险，建议改为“在现有机器人产业集群中择优认定2—3个公共安全机器人测试验证基地”，明确认定条件、投资来源、运行主体与年度考核办法；建设五类标准测试场景库并沉淀可共享的标准化测试数据集与基准。⑤补入测试数据集与场景库的建设标准，以及测试周期与成本的估算要求，供立项与预算编制参考；建立检测机构间年度比对机制，确保检测尺度一致。</w:t>
            </w:r>
          </w:p>
        </w:tc>
      </w:tr>
    </w:tbl>
    <w:p w14:paraId="1B8EE60D">
      <w:pPr>
        <w:keepNext w:val="1"/>
        <w:keepLines w:val="1"/>
        <w:spacing w:before="100" w:beforeAutospacing="1" w:after="100" w:afterAutospacing="1"/>
        <w:outlineLvl w:val="2"/>
        <w:rPr>
          <w:sz w:val="32"/>
          <w:szCs w:val="32"/>
        </w:rPr>
      </w:pPr>
      <w:r>
        <w:rPr>
          <w:rFonts w:hint="eastAsia"/>
          <w:b w:val="1"/>
          <w:sz w:val="32"/>
        </w:rPr>
        <w:t>条目 3-4　与现有公共安全信息化体系的衔接融合</w:t>
      </w:r>
    </w:p>
    <w:tbl>
      <w:tblPr>
        <w:tblW w:w="84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800"/>
        <w:gridCol w:w="5600"/>
      </w:tblGrid>
      <w:tr>
        <w:trPr>
          <w:tblHeader w:val="1"/>
        </w:trPr>
        <w:tc>
          <w:tcPr>
            <w:tcW w:w="2800" w:type="dxa"/>
          </w:tcPr>
          <w:p w14:paraId="545C070E">
            <w:pPr>
              <w:rPr>
                <w:b w:val="1"/>
                <w:bCs w:val="1"/>
              </w:rPr>
            </w:pPr>
            <w:r>
              <w:rPr>
                <w:rFonts w:hint="eastAsia"/>
                <w:b w:val="1"/>
              </w:rPr>
              <w:t>征集要点</w:t>
            </w:r>
          </w:p>
        </w:tc>
        <w:tc>
          <w:tcPr>
            <w:tcW w:w="5600" w:type="dxa"/>
          </w:tcPr>
          <w:p w14:paraId="19E88FB6">
            <w:pPr>
              <w:rPr>
                <w:b w:val="1"/>
                <w:bCs w:val="1"/>
              </w:rPr>
            </w:pPr>
            <w:r>
              <w:rPr>
                <w:rFonts w:hint="eastAsia"/>
                <w:b w:val="1"/>
              </w:rPr>
              <w:t>意见内容（修订稿）</w:t>
            </w:r>
          </w:p>
        </w:tc>
      </w:tr>
      <w:tr>
        <w:trPr/>
        <w:tc>
          <w:tcPr>
            <w:tcW w:w="2800" w:type="dxa"/>
          </w:tcPr>
          <w:p w14:paraId="55464393">
            <w:r>
              <w:rPr>
                <w:rFonts w:hint="eastAsia"/>
              </w:rPr>
              <w:t>数据接入、算力支撑、网络承载等方面的衔接要求；与现有装备体系、业务平台的融合路径；避免重复建设、实现共建共享的建议。</w:t>
            </w:r>
          </w:p>
        </w:tc>
        <w:tc>
          <w:tcPr>
            <w:tcW w:w="5600" w:type="dxa"/>
          </w:tcPr>
          <w:p w14:paraId="4259AF42">
            <w:r>
              <w:rPr>
                <w:rFonts w:hint="eastAsia"/>
              </w:rPr>
              <w:t>①数据接入：机器人音视频、告警、位姿等数据按GB/T 28181-2022及公安大数据平台接入规范汇入，禁止私建传输通道；数据权属、留存期限、共享范围须在接口标准中一并明确。②算力与网络：优先复用视频专网与公安云算力，5G专网与警用数字集群融合承载，并规定弱网、断网条件下的降级运行要求（含降级后可用的功能清单）。③融合路径：将机器人定位为“新型感知与执行终端”接入现有情指行一体化体系，避免另建指挥体系；与智慧城市CIM平台、城市生命线工程共享时空底座与感知数据，明确时空底座归属，并厘清与“雪亮工程”“天网”等既有感知体系的关系。④存量装备衔接（原稿缺失）：对已采购机器人的接口适配情况开展一次普查，明确“软件升级可适配、需硬件改造适配、无法适配”三类清单及处置办法，避免“标准出台即形成存量包袱”。⑤统筹共建：与低空经济基础设施（起降场、通信、反制设备）及城市市政设施（充电、供电、杆件）统筹规划布局，明确空地协同接口、设施权属、投资分担与运维责任，防止重复建设。⑥明确设备登记主体、变更与注销流程，避免“一机多平台”下的管理真空。</w:t>
            </w:r>
          </w:p>
        </w:tc>
      </w:tr>
    </w:tbl>
    <w:p w14:paraId="5CBA6D34">
      <w:pPr>
        <w:keepNext w:val="1"/>
        <w:keepLines w:val="1"/>
        <w:spacing w:before="100" w:beforeAutospacing="1" w:after="100" w:afterAutospacing="1"/>
        <w:outlineLvl w:val="1"/>
        <w:rPr>
          <w:sz w:val="32"/>
          <w:szCs w:val="32"/>
        </w:rPr>
      </w:pPr>
      <w:r>
        <w:rPr>
          <w:rFonts w:hint="eastAsia"/>
          <w:b w:val="1"/>
          <w:sz w:val="32"/>
        </w:rPr>
        <w:t>四、保障措施意见</w:t>
      </w:r>
    </w:p>
    <w:p w14:paraId="5EE2F9BE">
      <w:pPr>
        <w:keepNext w:val="1"/>
        <w:keepLines w:val="1"/>
        <w:spacing w:before="100" w:beforeAutospacing="1" w:after="100" w:afterAutospacing="1"/>
        <w:outlineLvl w:val="2"/>
        <w:rPr>
          <w:sz w:val="32"/>
          <w:szCs w:val="32"/>
        </w:rPr>
      </w:pPr>
      <w:r>
        <w:rPr>
          <w:rFonts w:hint="eastAsia"/>
          <w:b w:val="1"/>
          <w:sz w:val="32"/>
        </w:rPr>
        <w:t>条目 4-1　组织协调与工作机制</w:t>
      </w:r>
    </w:p>
    <w:tbl>
      <w:tblPr>
        <w:tblW w:w="84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800"/>
        <w:gridCol w:w="5600"/>
      </w:tblGrid>
      <w:tr>
        <w:trPr>
          <w:tblHeader w:val="1"/>
        </w:trPr>
        <w:tc>
          <w:tcPr>
            <w:tcW w:w="2800" w:type="dxa"/>
          </w:tcPr>
          <w:p w14:paraId="63B8629B">
            <w:pPr>
              <w:rPr>
                <w:b w:val="1"/>
                <w:bCs w:val="1"/>
              </w:rPr>
            </w:pPr>
            <w:r>
              <w:rPr>
                <w:rFonts w:hint="eastAsia"/>
                <w:b w:val="1"/>
              </w:rPr>
              <w:t>征集要点</w:t>
            </w:r>
          </w:p>
        </w:tc>
        <w:tc>
          <w:tcPr>
            <w:tcW w:w="5600" w:type="dxa"/>
          </w:tcPr>
          <w:p w14:paraId="500D1C38">
            <w:pPr>
              <w:rPr>
                <w:b w:val="1"/>
                <w:bCs w:val="1"/>
              </w:rPr>
            </w:pPr>
            <w:r>
              <w:rPr>
                <w:rFonts w:hint="eastAsia"/>
                <w:b w:val="1"/>
              </w:rPr>
              <w:t>意见内容（修订稿）</w:t>
            </w:r>
          </w:p>
        </w:tc>
      </w:tr>
      <w:tr>
        <w:trPr/>
        <w:tc>
          <w:tcPr>
            <w:tcW w:w="2800" w:type="dxa"/>
          </w:tcPr>
          <w:p w14:paraId="667F7EE8">
            <w:r>
              <w:rPr>
                <w:rFonts w:hint="eastAsia"/>
              </w:rPr>
              <w:t>标准体系建设的组织领导、归口管理与任务分工建议；标准化技术组织（标准化技术委员会／工作组）的组建与运行机制建议；部门协同、产学研用联动的工作机制；标准研制与业务应用同步推进的组织方式。</w:t>
            </w:r>
          </w:p>
        </w:tc>
        <w:tc>
          <w:tcPr>
            <w:tcW w:w="5600" w:type="dxa"/>
          </w:tcPr>
          <w:p w14:paraId="7646E8C1">
            <w:r>
              <w:rPr>
                <w:rFonts w:hint="eastAsia"/>
              </w:rPr>
              <w:t>①归口与协同：建议由公安部科技信息化部门牵头，SAC/TC561归口本体系标准制修订（其归口范围已涵盖警用无人机和机器人）；与SAC/TC100、SAC/TC577、公安部信标委按“谁归口、谁制定、其余引用”分工；与MIIT/TC8、SAC/TC591建立联络机制与标准互认通道——公共安全侧提出需求、产业侧承接通用要求研制。②组织形式：组建公共安全具身智能机器人标准化工作组，纳入业务警种、检测机构、头部企业、高校科研院所。③委员结构（原稿建议需修正）：原稿“企业委员占比可参考TC8做法（超过50%）”与警用装备标准化工作的既有惯例不符——警标委历届委员构成中管理使用部门、科研院所及检测机构占57%、生产企业占43%，公共安全标准应保障公共利益属性，建议管理与使用部门、科研院所及检测机构占比不低于50%，企业委员占比适度。④联动机制：建立“标准研制—试点验证—装备列装”闭环，试点数据反哺标准修订，成熟标准直接对接列装目录与采购技术需求书；明确各环节的责任单位与时限。⑤公开与监督：每年发布标准体系实施白皮书，公开标准缺口清单与立项计划，明确编制主体、发布时间与内容框架，接受社会监督与提案；涉及强制性内容的按国家有关规定履行通报与征求意见程序。</w:t>
            </w:r>
          </w:p>
        </w:tc>
      </w:tr>
    </w:tbl>
    <w:p w14:paraId="11B0F563">
      <w:pPr>
        <w:keepNext w:val="1"/>
        <w:keepLines w:val="1"/>
        <w:spacing w:before="100" w:beforeAutospacing="1" w:after="100" w:afterAutospacing="1"/>
        <w:outlineLvl w:val="2"/>
        <w:rPr>
          <w:sz w:val="32"/>
          <w:szCs w:val="32"/>
        </w:rPr>
      </w:pPr>
      <w:r>
        <w:rPr>
          <w:rFonts w:hint="eastAsia"/>
          <w:b w:val="1"/>
          <w:sz w:val="32"/>
        </w:rPr>
        <w:t>条目 4-2　政策制度与法规标准衔接</w:t>
      </w:r>
    </w:p>
    <w:tbl>
      <w:tblPr>
        <w:tblW w:w="84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800"/>
        <w:gridCol w:w="5600"/>
      </w:tblGrid>
      <w:tr>
        <w:trPr>
          <w:tblHeader w:val="1"/>
        </w:trPr>
        <w:tc>
          <w:tcPr>
            <w:tcW w:w="2800" w:type="dxa"/>
          </w:tcPr>
          <w:p w14:paraId="244A6A2E">
            <w:pPr>
              <w:rPr>
                <w:b w:val="1"/>
                <w:bCs w:val="1"/>
              </w:rPr>
            </w:pPr>
            <w:r>
              <w:rPr>
                <w:rFonts w:hint="eastAsia"/>
                <w:b w:val="1"/>
              </w:rPr>
              <w:t>征集要点</w:t>
            </w:r>
          </w:p>
        </w:tc>
        <w:tc>
          <w:tcPr>
            <w:tcW w:w="5600" w:type="dxa"/>
          </w:tcPr>
          <w:p w14:paraId="13EA987A">
            <w:pPr>
              <w:rPr>
                <w:b w:val="1"/>
                <w:bCs w:val="1"/>
              </w:rPr>
            </w:pPr>
            <w:r>
              <w:rPr>
                <w:rFonts w:hint="eastAsia"/>
                <w:b w:val="1"/>
              </w:rPr>
              <w:t>意见内容（修订稿）</w:t>
            </w:r>
          </w:p>
        </w:tc>
      </w:tr>
      <w:tr>
        <w:trPr/>
        <w:tc>
          <w:tcPr>
            <w:tcW w:w="2800" w:type="dxa"/>
          </w:tcPr>
          <w:p w14:paraId="287839B9">
            <w:r>
              <w:rPr>
                <w:rFonts w:hint="eastAsia"/>
              </w:rPr>
              <w:t>支撑标准体系落地的政策制度需求；标准与法律法规、行业管理制度、采购与验收要求的衔接建议；标准实施监督、实施效果评估与动态更新的制度设计；激励措施建议（如将标准要求纳入装备采购、项目验收、绩效考核等）。</w:t>
            </w:r>
          </w:p>
        </w:tc>
        <w:tc>
          <w:tcPr>
            <w:tcW w:w="5600" w:type="dxa"/>
          </w:tcPr>
          <w:p w14:paraId="2DDBB301">
            <w:r>
              <w:rPr>
                <w:rFonts w:hint="eastAsia"/>
              </w:rPr>
              <w:t>①上位依据与授权路径（原稿回避的问题）：以《人民警察法》《人民警察使用警械和武器条例》为上位依据，但机器人不属于该条例所列警械，其非接触处置行为与致害后的责任归属缺乏规范。建议在标准之外同步推动部门规章层级的专门规定——以公安部部令或与网信办联合令形式明确适用场景清单、准入条件、使用审批、备案要求与禁止性情形，标准承担技术落地与判据细化职责，两者不可相互替代。②采购验收：将标准符合性作为警用装备采购的资格条件，检测报告须出自具备CMA/CNAS资质且经指定认可的机构，杜绝“自测自证”；建立《标准符合性目录》并与装备列装目录、采购技术需求书联动，实行有效期管理（建议3年复审）。③动态更新：原稿“响应周期不超过12个月”不符合标准法定程序（通常需18—24个月），建议修订单按法定程序执行；对快速迭代对象采用“框架标准＋技术规范”双轨，技术规范以指导性技术文件形式在6个月内发布，并明确其效力与过渡安排。④无标准期的合规路径：建立沙盒／试点豁免机制，允许在满足安全底线项前提下、按“一事一议”备案试用未定型装备，实测数据按统一格式归集作为指标阈值修订依据，并设强制退出触发条件。⑤激励与监督：对主导或参与标准起草的单位在装备采购评价、科技奖励中加分，并将标准研制与宣贯纳入科技强警专项考核；明确标准实施监督主体、检查方式与不执行的后果。</w:t>
            </w:r>
          </w:p>
        </w:tc>
      </w:tr>
    </w:tbl>
    <w:p w14:paraId="3215C1EE">
      <w:pPr>
        <w:keepNext w:val="1"/>
        <w:keepLines w:val="1"/>
        <w:spacing w:before="100" w:beforeAutospacing="1" w:after="100" w:afterAutospacing="1"/>
        <w:outlineLvl w:val="2"/>
        <w:rPr>
          <w:sz w:val="32"/>
          <w:szCs w:val="32"/>
        </w:rPr>
      </w:pPr>
      <w:r>
        <w:rPr>
          <w:rFonts w:hint="eastAsia"/>
          <w:b w:val="1"/>
          <w:sz w:val="32"/>
        </w:rPr>
        <w:t>条目 4-3　数据安全、网络安全与伦理合规</w:t>
      </w:r>
    </w:p>
    <w:tbl>
      <w:tblPr>
        <w:tblW w:w="84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800"/>
        <w:gridCol w:w="5600"/>
      </w:tblGrid>
      <w:tr>
        <w:trPr>
          <w:tblHeader w:val="1"/>
        </w:trPr>
        <w:tc>
          <w:tcPr>
            <w:tcW w:w="2800" w:type="dxa"/>
          </w:tcPr>
          <w:p w14:paraId="44A11DB3">
            <w:pPr>
              <w:rPr>
                <w:b w:val="1"/>
                <w:bCs w:val="1"/>
              </w:rPr>
            </w:pPr>
            <w:r>
              <w:rPr>
                <w:rFonts w:hint="eastAsia"/>
                <w:b w:val="1"/>
              </w:rPr>
              <w:t>征集要点</w:t>
            </w:r>
          </w:p>
        </w:tc>
        <w:tc>
          <w:tcPr>
            <w:tcW w:w="5600" w:type="dxa"/>
          </w:tcPr>
          <w:p w14:paraId="30CE56C0">
            <w:pPr>
              <w:rPr>
                <w:b w:val="1"/>
                <w:bCs w:val="1"/>
              </w:rPr>
            </w:pPr>
            <w:r>
              <w:rPr>
                <w:rFonts w:hint="eastAsia"/>
                <w:b w:val="1"/>
              </w:rPr>
              <w:t>意见内容（修订稿）</w:t>
            </w:r>
          </w:p>
        </w:tc>
      </w:tr>
      <w:tr>
        <w:trPr/>
        <w:tc>
          <w:tcPr>
            <w:tcW w:w="2800" w:type="dxa"/>
          </w:tcPr>
          <w:p w14:paraId="42F4A3CF">
            <w:r>
              <w:rPr>
                <w:rFonts w:hint="eastAsia"/>
              </w:rPr>
              <w:t>数据采集、传输、存储、共享、销毁等环节的安全要求；敏感数据与公民个人信息保护要求；机器人自主决策的责任界定、伦理规范与使用边界；网络安全、抗攻击与防篡改要求。</w:t>
            </w:r>
          </w:p>
        </w:tc>
        <w:tc>
          <w:tcPr>
            <w:tcW w:w="5600" w:type="dxa"/>
          </w:tcPr>
          <w:p w14:paraId="0C04D737">
            <w:r>
              <w:rPr>
                <w:rFonts w:hint="eastAsia"/>
              </w:rPr>
              <w:t>①数据全流程：涉警数据实行分类分级管理，对采集（告知与最小必要）、传输（专网＋商用密码）、存储（境内不出域）、共享（脱敏）、销毁各环节提出标准化要求；数据分类分级衔接《数据安全法》《个人信息保护法》《网络数据安全管理条例》及公安数据分类分级管理要求。②人脸识别刚性要求（原稿遗漏，须补齐）：机器人搭载人脸识别能力的，应执行2025年6月1日起施行的《人脸识别技术应用安全管理办法》（网信办、公安部令第19号）——以显著方式告知并取得单独同意；事前进行个人信息保护影响评估，报告与处理记录至少保存3年；人脸信息应存储于设备内、不得通过互联网对外传输；公共场所有其他非人脸方式时不得作为唯一验证方式；公共场所安装须为维护公共安全所必需并设置显著提示标识，私密空间禁止安装；存储量达10万人之日起30个工作日内向省级以上网信部门备案。上述要求应写入标准并转为可检验条款（该办法第二条对研发与算法训练活动另有适用例外，需一并说明）。③个人信息与算法义务：明确人脸、声纹、步态等生物识别信息的采集边界、告知义务与留存期限；机器人搭载大模型的训练数据与模型安全管理衔接GB/T 45654-2025执行；具有舆论属性或社会动员能力的算法按规定履行备案与安全评估义务（可衔接《生成式人工智能服务管理暂行办法》的算法备案经验）。④责任与伦理：强制措施决定权归人；建立“决策可解释、操作全程留痕、一键停机”三重保障；对机器人采集的视听资料明确证据资格与取证固定规范（含完整性校验），保证诉讼可用；建立公共安全人工智能伦理审查与算法影响评估制度。⑤网络对抗：将防劫持、防欺骗（卫星定位欺骗、视觉欺骗）、模型抗对抗样本攻击纳入安全总则，并纳入演练科目常态化检验。</w:t>
            </w:r>
          </w:p>
        </w:tc>
      </w:tr>
    </w:tbl>
    <w:p w14:paraId="18A12CB3">
      <w:pPr>
        <w:keepNext w:val="1"/>
        <w:keepLines w:val="1"/>
        <w:spacing w:before="100" w:beforeAutospacing="1" w:after="100" w:afterAutospacing="1"/>
        <w:outlineLvl w:val="2"/>
        <w:rPr>
          <w:sz w:val="32"/>
          <w:szCs w:val="32"/>
        </w:rPr>
      </w:pPr>
      <w:r>
        <w:rPr>
          <w:rFonts w:hint="eastAsia"/>
          <w:b w:val="1"/>
          <w:sz w:val="32"/>
        </w:rPr>
        <w:t>条目 4-4　人才队伍、经费投入与产业协同</w:t>
      </w:r>
    </w:p>
    <w:tbl>
      <w:tblPr>
        <w:tblW w:w="84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800"/>
        <w:gridCol w:w="5600"/>
      </w:tblGrid>
      <w:tr>
        <w:trPr>
          <w:tblHeader w:val="1"/>
        </w:trPr>
        <w:tc>
          <w:tcPr>
            <w:tcW w:w="2800" w:type="dxa"/>
          </w:tcPr>
          <w:p w14:paraId="27F9BE58">
            <w:pPr>
              <w:rPr>
                <w:b w:val="1"/>
                <w:bCs w:val="1"/>
              </w:rPr>
            </w:pPr>
            <w:r>
              <w:rPr>
                <w:rFonts w:hint="eastAsia"/>
                <w:b w:val="1"/>
              </w:rPr>
              <w:t>征集要点</w:t>
            </w:r>
          </w:p>
        </w:tc>
        <w:tc>
          <w:tcPr>
            <w:tcW w:w="5600" w:type="dxa"/>
          </w:tcPr>
          <w:p w14:paraId="1B0CB9BB">
            <w:pPr>
              <w:rPr>
                <w:b w:val="1"/>
                <w:bCs w:val="1"/>
              </w:rPr>
            </w:pPr>
            <w:r>
              <w:rPr>
                <w:rFonts w:hint="eastAsia"/>
                <w:b w:val="1"/>
              </w:rPr>
              <w:t>意见内容（修订稿）</w:t>
            </w:r>
          </w:p>
        </w:tc>
      </w:tr>
      <w:tr>
        <w:trPr/>
        <w:tc>
          <w:tcPr>
            <w:tcW w:w="2800" w:type="dxa"/>
          </w:tcPr>
          <w:p w14:paraId="62D51EDF">
            <w:r>
              <w:rPr>
                <w:rFonts w:hint="eastAsia"/>
              </w:rPr>
              <w:t>标准化人才队伍培养与专家库建设建议；经费保障渠道与投入机制建议；企业、高校、科研院所与用户单位的协同创新机制；产业生态培育与关键环节自主可控要求。</w:t>
            </w:r>
          </w:p>
        </w:tc>
        <w:tc>
          <w:tcPr>
            <w:tcW w:w="5600" w:type="dxa"/>
          </w:tcPr>
          <w:p w14:paraId="11276CFB">
            <w:r>
              <w:rPr>
                <w:rFonts w:hint="eastAsia"/>
              </w:rPr>
              <w:t>①人才：培养“标准化工程师＋警务实战专家”复合队伍，重要标准实行技术组长与业务组长“双组长制”；建立跨领域专家库并实行动态调整；将标准化课程纳入公安院校教育与在职培训体系，明确操作与协同人员的持证上岗要求。②经费：标准研制经费纳入科技强警专项，试点经费实行中央与地方配套；单列检测能力建设经费渠道；探索“标准研制＋检测认证＋科技保险”的市场化回收机制，将标准符合性作为科技保险费率因子，形成正向激励。③产业协同：依托产业集群发布“公共安全场景开放清单”，以真实场景换取标准验证数据与产品迭代机会；同步明确数据与知识产权的归属规则，避免企业因权属不清而不敢参与。④自主可控：对伺服电机、减速器、谐波传动、灵巧手、激光雷达、机器人操作系统等核心部件与基础软件提出分阶段国产化参考要求，并明确判定方法（建议按价值量为主、关键件数量为辅，以第三方检测为准），与“十五五”规划提出的产业链国产化提升目标衔接。⑤标准必要专利与开源合规（原稿缺失）：在标准制修订程序文件中明确标准必要专利的披露义务、许可承诺与FRAND原则要求；对拟纳入标准的开源组件建立安全评估与准入清单，未经审查的开源中间件不得进入公安专网系统；对社区规范类接口采取“约定语义、不指定实现”的写法。</w:t>
            </w:r>
          </w:p>
        </w:tc>
      </w:tr>
    </w:tbl>
    <w:p w14:paraId="1E4DC777">
      <w:pPr>
        <w:keepNext w:val="1"/>
        <w:keepLines w:val="1"/>
        <w:spacing w:before="100" w:beforeAutospacing="1" w:after="100" w:afterAutospacing="1"/>
        <w:outlineLvl w:val="2"/>
        <w:rPr>
          <w:sz w:val="32"/>
          <w:szCs w:val="32"/>
        </w:rPr>
      </w:pPr>
      <w:r>
        <w:rPr>
          <w:rFonts w:hint="eastAsia"/>
          <w:b w:val="1"/>
          <w:sz w:val="32"/>
        </w:rPr>
        <w:t>条目 4-5　试点示范、应用推广与效果评估</w:t>
      </w:r>
    </w:p>
    <w:tbl>
      <w:tblPr>
        <w:tblW w:w="840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800"/>
        <w:gridCol w:w="5600"/>
      </w:tblGrid>
      <w:tr>
        <w:trPr>
          <w:tblHeader w:val="1"/>
        </w:trPr>
        <w:tc>
          <w:tcPr>
            <w:tcW w:w="2800" w:type="dxa"/>
          </w:tcPr>
          <w:p w14:paraId="29FC1694">
            <w:pPr>
              <w:rPr>
                <w:b w:val="1"/>
                <w:bCs w:val="1"/>
              </w:rPr>
            </w:pPr>
            <w:r>
              <w:rPr>
                <w:rFonts w:hint="eastAsia"/>
                <w:b w:val="1"/>
              </w:rPr>
              <w:t>征集要点</w:t>
            </w:r>
          </w:p>
        </w:tc>
        <w:tc>
          <w:tcPr>
            <w:tcW w:w="5600" w:type="dxa"/>
          </w:tcPr>
          <w:p w14:paraId="1C63586F">
            <w:pPr>
              <w:rPr>
                <w:b w:val="1"/>
                <w:bCs w:val="1"/>
              </w:rPr>
            </w:pPr>
            <w:r>
              <w:rPr>
                <w:rFonts w:hint="eastAsia"/>
                <w:b w:val="1"/>
              </w:rPr>
              <w:t>意见内容（修订稿）</w:t>
            </w:r>
          </w:p>
        </w:tc>
      </w:tr>
      <w:tr>
        <w:trPr/>
        <w:tc>
          <w:tcPr>
            <w:tcW w:w="2800" w:type="dxa"/>
          </w:tcPr>
          <w:p w14:paraId="7BF9F911">
            <w:r>
              <w:rPr>
                <w:rFonts w:hint="eastAsia"/>
              </w:rPr>
              <w:t>试点示范的选取原则、建设内容与组织方式；试点成果向标准转化、标准向应用推广的路径；应用效果评估的指标与方法；对推广节奏与配套条件的建议。</w:t>
            </w:r>
          </w:p>
        </w:tc>
        <w:tc>
          <w:tcPr>
            <w:tcW w:w="5600" w:type="dxa"/>
          </w:tcPr>
          <w:p w14:paraId="408E4C98">
            <w:r>
              <w:rPr>
                <w:rFonts w:hint="eastAsia"/>
              </w:rPr>
              <w:t>①试点布局与门槛：东、中、西部各选取1—2个基础较好城市，覆盖巡逻、安保、排爆三类场景；明确选取门槛（已有装备基础、稳定经费渠道、专职管理团队、网络与算力条件），试点期不少于12个月并跨完整季节周期，避免“表演式试点”。②基线要求（原稿缺失）：试点启动前采集不少于12个月的人力量、警情响应时长、风险暴露事件等基线数据，否则效能提升幅度无法计算。③成果转化：试点数据形成《实战效能评估报告》，作为标准修订与列装依据；建立“试点验证→团体标准→行业标准→国家标准”阶梯式升级路径，明确各阶段转换条件与时限，缩短转化周期。④评估指标与成本口径：以替代人力工时、警情响应提速幅度、民警风险暴露下降率、全寿命周期成本四个维度量化评估；全寿命周期成本口径统一为采购＋能源＋维护＋备件＋培训＋退役处置，按五年折现，防止“低价中标、高价运维”。⑤推广节奏与退出机制：按“试点→省级推广→全国列装”三步推进，经费、培训、维护网络同步到位后再扩面；补入退出机制，明确试点不达标的止损规则、装备处置办法与责任界定，防止“只上不下”；评估结果与后续采购额度挂钩，效能不达标暂停扩面并启动整改。</w:t>
            </w:r>
          </w:p>
        </w:tc>
      </w:tr>
    </w:tbl>
    <w:p w14:paraId="784FCB82">
      <w:pPr>
        <w:sectPr>
          <w:footerReference r:id="rId4" w:type="default"/>
          <w:footerReference r:id="rId6" w:type="first"/>
          <w:footerReference r:id="rId5" w:type="even"/>
          <w:type/>
          <w:pgSz w:w="11906" w:h="16838" w:orient="portrait"/>
          <w:pgMar w:top="1440" w:right="1700" w:bottom="1440" w:left="1700"/>
          <w:pgNumType w:fmt="decimal" w:start="1"/>
        </w:sectPr>
      </w:pPr>
    </w:p>
    <w:p w14:paraId="58795ABB">
      <w:pPr>
        <w:keepNext w:val="1"/>
        <w:keepLines w:val="1"/>
        <w:spacing w:before="100" w:beforeAutospacing="1" w:after="100" w:afterAutospacing="1"/>
        <w:outlineLvl w:val="1"/>
        <w:rPr>
          <w:sz w:val="32"/>
          <w:szCs w:val="32"/>
        </w:rPr>
      </w:pPr>
      <w:r>
        <w:rPr>
          <w:rFonts w:hint="eastAsia"/>
          <w:b w:val="1"/>
          <w:sz w:val="32"/>
        </w:rPr>
        <w:t>五、补充意见建议（新增 10 条）</w:t>
      </w:r>
    </w:p>
    <w:p w14:paraId="560E3FED">
      <w:r>
        <w:rPr>
          <w:rFonts w:hint="eastAsia"/>
        </w:rPr>
        <w:t>（本部分为在 18 条修订意见之外新增的建设性建议，每条均包含问题指向与依据、建议内容与改进方向、建议时限）</w:t>
      </w:r>
    </w:p>
    <w:tbl>
      <w:tblPr>
        <w:tblW w:w="1514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800"/>
        <w:gridCol w:w="1800"/>
        <w:gridCol w:w="1000"/>
        <w:gridCol w:w="5200"/>
        <w:gridCol w:w="6340"/>
      </w:tblGrid>
      <w:tr>
        <w:trPr>
          <w:tblHeader w:val="1"/>
        </w:trPr>
        <w:tc>
          <w:tcPr>
            <w:tcW w:w="800" w:type="dxa"/>
          </w:tcPr>
          <w:p w14:paraId="4F4EDF8F">
            <w:pPr>
              <w:rPr>
                <w:b w:val="1"/>
                <w:bCs w:val="1"/>
              </w:rPr>
            </w:pPr>
            <w:r>
              <w:rPr>
                <w:rFonts w:hint="eastAsia"/>
                <w:b w:val="1"/>
                <w:sz w:val="18"/>
              </w:rPr>
              <w:t>编号</w:t>
            </w:r>
          </w:p>
        </w:tc>
        <w:tc>
          <w:tcPr>
            <w:tcW w:w="1800" w:type="dxa"/>
          </w:tcPr>
          <w:p w14:paraId="043FAE8C">
            <w:pPr>
              <w:rPr>
                <w:b w:val="1"/>
                <w:bCs w:val="1"/>
              </w:rPr>
            </w:pPr>
            <w:r>
              <w:rPr>
                <w:rFonts w:hint="eastAsia"/>
                <w:b w:val="1"/>
                <w:sz w:val="18"/>
              </w:rPr>
              <w:t>建议名称</w:t>
            </w:r>
          </w:p>
        </w:tc>
        <w:tc>
          <w:tcPr>
            <w:tcW w:w="1000" w:type="dxa"/>
          </w:tcPr>
          <w:p w14:paraId="7AEFBE8A">
            <w:pPr>
              <w:rPr>
                <w:b w:val="1"/>
                <w:bCs w:val="1"/>
              </w:rPr>
            </w:pPr>
            <w:r>
              <w:rPr>
                <w:rFonts w:hint="eastAsia"/>
                <w:b w:val="1"/>
                <w:sz w:val="18"/>
              </w:rPr>
              <w:t>对应条目</w:t>
            </w:r>
          </w:p>
        </w:tc>
        <w:tc>
          <w:tcPr>
            <w:tcW w:w="5200" w:type="dxa"/>
          </w:tcPr>
          <w:p w14:paraId="4AF6C615">
            <w:pPr>
              <w:rPr>
                <w:b w:val="1"/>
                <w:bCs w:val="1"/>
              </w:rPr>
            </w:pPr>
            <w:r>
              <w:rPr>
                <w:rFonts w:hint="eastAsia"/>
                <w:b w:val="1"/>
                <w:sz w:val="18"/>
              </w:rPr>
              <w:t>问题指向与依据</w:t>
            </w:r>
          </w:p>
        </w:tc>
        <w:tc>
          <w:tcPr>
            <w:tcW w:w="6340" w:type="dxa"/>
          </w:tcPr>
          <w:p w14:paraId="1669D1BC">
            <w:pPr>
              <w:rPr>
                <w:b w:val="1"/>
                <w:bCs w:val="1"/>
              </w:rPr>
            </w:pPr>
            <w:r>
              <w:rPr>
                <w:rFonts w:hint="eastAsia"/>
                <w:b w:val="1"/>
                <w:sz w:val="18"/>
              </w:rPr>
              <w:t>建议内容与改进方向</w:t>
            </w:r>
          </w:p>
        </w:tc>
      </w:tr>
      <w:tr>
        <w:trPr/>
        <w:tc>
          <w:tcPr>
            <w:tcW w:w="800" w:type="dxa"/>
          </w:tcPr>
          <w:p w14:paraId="4B322A5D">
            <w:r>
              <w:rPr>
                <w:rFonts w:hint="eastAsia"/>
                <w:sz w:val="18"/>
              </w:rPr>
              <w:t>新增1</w:t>
            </w:r>
          </w:p>
        </w:tc>
        <w:tc>
          <w:tcPr>
            <w:tcW w:w="1800" w:type="dxa"/>
          </w:tcPr>
          <w:p w14:paraId="6921909A">
            <w:r>
              <w:rPr>
                <w:rFonts w:hint="eastAsia"/>
                <w:sz w:val="18"/>
              </w:rPr>
              <w:t>建立公共安全具身智能机器人“标准符合性目录”并与装备列装、采购准入联动</w:t>
            </w:r>
          </w:p>
        </w:tc>
        <w:tc>
          <w:tcPr>
            <w:tcW w:w="1000" w:type="dxa"/>
          </w:tcPr>
          <w:p w14:paraId="78D6F917">
            <w:r>
              <w:rPr>
                <w:rFonts w:hint="eastAsia"/>
                <w:sz w:val="18"/>
              </w:rPr>
              <w:t>1-5、4-2</w:t>
            </w:r>
          </w:p>
        </w:tc>
        <w:tc>
          <w:tcPr>
            <w:tcW w:w="5200" w:type="dxa"/>
          </w:tcPr>
          <w:p w14:paraId="1638C3FA">
            <w:r>
              <w:rPr>
                <w:rFonts w:hint="eastAsia"/>
                <w:sz w:val="18"/>
              </w:rPr>
              <w:t>装备选型“无标可依、无标可选”推高采购风险，标准与采购存在两张皮。依据：警用装备已有列装目录与定型检测制度基础；GB/T 41300-2022与《民用无人驾驶航空器生产管理若干规定》的备案模式已提供可复制的实现路径</w:t>
            </w:r>
          </w:p>
        </w:tc>
        <w:tc>
          <w:tcPr>
            <w:tcW w:w="6340" w:type="dxa"/>
          </w:tcPr>
          <w:p w14:paraId="6EC72DE9">
            <w:r>
              <w:rPr>
                <w:rFonts w:hint="eastAsia"/>
                <w:sz w:val="18"/>
              </w:rPr>
              <w:t>①由归口标委会会同装备管理部门编制《标准符合性目录》，逐型号登记适用标准、检测报告编号、通过日期与有效期；②未取得符合性登记的型号不得进入列装目录与采购技术需求书；③目录与标准发布同步更新，实行有效期管理（建议3年复审）；④参照民用无人机产品信息系统，建立警用机器人产品信息库作为装备台账与追溯基础。时限：12个月内发布首批目录</w:t>
            </w:r>
          </w:p>
        </w:tc>
      </w:tr>
      <w:tr>
        <w:trPr/>
        <w:tc>
          <w:tcPr>
            <w:tcW w:w="800" w:type="dxa"/>
          </w:tcPr>
          <w:p w14:paraId="25043860">
            <w:r>
              <w:rPr>
                <w:rFonts w:hint="eastAsia"/>
                <w:sz w:val="18"/>
              </w:rPr>
              <w:t>新增2</w:t>
            </w:r>
          </w:p>
        </w:tc>
        <w:tc>
          <w:tcPr>
            <w:tcW w:w="1800" w:type="dxa"/>
          </w:tcPr>
          <w:p w14:paraId="654B1E59">
            <w:r>
              <w:rPr>
                <w:rFonts w:hint="eastAsia"/>
                <w:sz w:val="18"/>
              </w:rPr>
              <w:t>推动制定部门规章层级的公共安全机器人应用管理办法，解决执法授权与备案</w:t>
            </w:r>
          </w:p>
        </w:tc>
        <w:tc>
          <w:tcPr>
            <w:tcW w:w="1000" w:type="dxa"/>
          </w:tcPr>
          <w:p w14:paraId="75B9762C">
            <w:r>
              <w:rPr>
                <w:rFonts w:hint="eastAsia"/>
                <w:sz w:val="18"/>
              </w:rPr>
              <w:t>4-2、2-3</w:t>
            </w:r>
          </w:p>
        </w:tc>
        <w:tc>
          <w:tcPr>
            <w:tcW w:w="5200" w:type="dxa"/>
          </w:tcPr>
          <w:p w14:paraId="3C7D5E4B">
            <w:r>
              <w:rPr>
                <w:rFonts w:hint="eastAsia"/>
                <w:sz w:val="18"/>
              </w:rPr>
              <w:t>机器人不属于《人民警察使用警械和武器条例》所列警械，非接触处置、警示、取证的行为性质与授权层级无规范，基层“不敢用”。依据：标准不能创制法律授权；《人脸识别技术应用安全管理办法》以“网信办＋公安部”联合令形式落地，《生成式人工智能服务管理暂行办法》已建立备案与安全评估制度</w:t>
            </w:r>
          </w:p>
        </w:tc>
        <w:tc>
          <w:tcPr>
            <w:tcW w:w="6340" w:type="dxa"/>
          </w:tcPr>
          <w:p w14:paraId="238C52BF">
            <w:r>
              <w:rPr>
                <w:rFonts w:hint="eastAsia"/>
                <w:sz w:val="18"/>
              </w:rPr>
              <w:t>①以公安部部令或与网信办联合令形式制定管理办法，明确适用场景清单、准入条件、使用审批、备案要求与禁止性情形；②确立底线条款：无民警在场时机器人不得作出减损公民权利的决定；③明确机器人采集视听资料的证据资格与取证固定规范；④实行产品备案与应用备案的双重备案，与标准符合性目录互通。时限：24个月内完成起草并公开征求意见</w:t>
            </w:r>
          </w:p>
        </w:tc>
      </w:tr>
      <w:tr>
        <w:trPr/>
        <w:tc>
          <w:tcPr>
            <w:tcW w:w="800" w:type="dxa"/>
          </w:tcPr>
          <w:p w14:paraId="14DD985C">
            <w:r>
              <w:rPr>
                <w:rFonts w:hint="eastAsia"/>
                <w:sz w:val="18"/>
              </w:rPr>
              <w:t>新增3</w:t>
            </w:r>
          </w:p>
        </w:tc>
        <w:tc>
          <w:tcPr>
            <w:tcW w:w="1800" w:type="dxa"/>
          </w:tcPr>
          <w:p w14:paraId="6D8BECED">
            <w:r>
              <w:rPr>
                <w:rFonts w:hint="eastAsia"/>
                <w:sz w:val="18"/>
              </w:rPr>
              <w:t>建立人机协同执法的责任分担与全程留痕规则</w:t>
            </w:r>
          </w:p>
        </w:tc>
        <w:tc>
          <w:tcPr>
            <w:tcW w:w="1000" w:type="dxa"/>
          </w:tcPr>
          <w:p w14:paraId="7D92347D">
            <w:r>
              <w:rPr>
                <w:rFonts w:hint="eastAsia"/>
                <w:sz w:val="18"/>
              </w:rPr>
              <w:t>2-3、4-2</w:t>
            </w:r>
          </w:p>
        </w:tc>
        <w:tc>
          <w:tcPr>
            <w:tcW w:w="5200" w:type="dxa"/>
          </w:tcPr>
          <w:p w14:paraId="4BF58201">
            <w:r>
              <w:rPr>
                <w:rFonts w:hint="eastAsia"/>
                <w:sz w:val="18"/>
              </w:rPr>
              <w:t>原稿只写“决定权归人”，未回答致害后的责任归属，存在“人在回路但反应时间不足”的责任真空，理赔与追偿无依据。依据：自主等级越高，人的干预能力越弱，责任不能一律归于操作民警；产品责任与使用责任须分层界定</w:t>
            </w:r>
          </w:p>
        </w:tc>
        <w:tc>
          <w:tcPr>
            <w:tcW w:w="6340" w:type="dxa"/>
          </w:tcPr>
          <w:p w14:paraId="75079420">
            <w:r>
              <w:rPr>
                <w:rFonts w:hint="eastAsia"/>
                <w:sz w:val="18"/>
              </w:rPr>
              <w:t>①按自主等级分档：L1/L2由操作民警承担操作责任，L3及以上由装备使用单位承担使用管理责任，厂商对产品缺陷承担产品责任；②强制决策链留痕（感知输入—模型版本—决策输出—人工确认—执行结果）全链可回溯、不可篡改，留痕期不少于3年；③建立致害事件上报、调查与归责规程，明确调查主体与时限；④引入产品责任保险与科技保险，将标准符合性作为费率因子。时限：18个月内形成管理标准报批稿</w:t>
            </w:r>
          </w:p>
        </w:tc>
      </w:tr>
      <w:tr>
        <w:trPr/>
        <w:tc>
          <w:tcPr>
            <w:tcW w:w="800" w:type="dxa"/>
          </w:tcPr>
          <w:p w14:paraId="28F6976F">
            <w:r>
              <w:rPr>
                <w:rFonts w:hint="eastAsia"/>
                <w:sz w:val="18"/>
              </w:rPr>
              <w:t>新增4</w:t>
            </w:r>
          </w:p>
        </w:tc>
        <w:tc>
          <w:tcPr>
            <w:tcW w:w="1800" w:type="dxa"/>
          </w:tcPr>
          <w:p w14:paraId="0704B6D5">
            <w:r>
              <w:rPr>
                <w:rFonts w:hint="eastAsia"/>
                <w:sz w:val="18"/>
              </w:rPr>
              <w:t>设立无标准期的“监管沙盒／试点豁免”机制</w:t>
            </w:r>
          </w:p>
        </w:tc>
        <w:tc>
          <w:tcPr>
            <w:tcW w:w="1000" w:type="dxa"/>
          </w:tcPr>
          <w:p w14:paraId="17326E69">
            <w:r>
              <w:rPr>
                <w:rFonts w:hint="eastAsia"/>
                <w:sz w:val="18"/>
              </w:rPr>
              <w:t>1-4、4-2</w:t>
            </w:r>
          </w:p>
        </w:tc>
        <w:tc>
          <w:tcPr>
            <w:tcW w:w="5200" w:type="dxa"/>
          </w:tcPr>
          <w:p w14:paraId="76206F0C">
            <w:r>
              <w:rPr>
                <w:rFonts w:hint="eastAsia"/>
                <w:sz w:val="18"/>
              </w:rPr>
              <w:t>产业迭代周期（大模型约6—12个月）短于标准法定制修订周期（通常18—24个月），存在长期无标准窗口；一味等标准会错失试点数据积累，放任试错又可能出事。依据：“十五五”规划要求“探索多元技术路线、典型应用场景”</w:t>
            </w:r>
          </w:p>
        </w:tc>
        <w:tc>
          <w:tcPr>
            <w:tcW w:w="6340" w:type="dxa"/>
          </w:tcPr>
          <w:p w14:paraId="26E3F139">
            <w:r>
              <w:rPr>
                <w:rFonts w:hint="eastAsia"/>
                <w:sz w:val="18"/>
              </w:rPr>
              <w:t>①在指定区域与场景内，允许在满足“安全底线项”前提下试用未定型装备；②实行“一事一议”备案，提交风险评估报告、安全底线符合性说明、应急预案与退出方案；③沙盒期实测数据按统一格式归集，作为标准指标阈值修订的直接依据；④设强制退出触发条件（发生安全事件、指标连续不达标、超期未转正）。时限：与试点工作同步启动</w:t>
            </w:r>
          </w:p>
        </w:tc>
      </w:tr>
      <w:tr>
        <w:trPr/>
        <w:tc>
          <w:tcPr>
            <w:tcW w:w="800" w:type="dxa"/>
          </w:tcPr>
          <w:p w14:paraId="1C3B7610">
            <w:r>
              <w:rPr>
                <w:rFonts w:hint="eastAsia"/>
                <w:sz w:val="18"/>
              </w:rPr>
              <w:t>新增5</w:t>
            </w:r>
          </w:p>
        </w:tc>
        <w:tc>
          <w:tcPr>
            <w:tcW w:w="1800" w:type="dxa"/>
          </w:tcPr>
          <w:p w14:paraId="6DC4E329">
            <w:r>
              <w:rPr>
                <w:rFonts w:hint="eastAsia"/>
                <w:sz w:val="18"/>
              </w:rPr>
              <w:t>建设公共安全机器人测试验证基地与标准化测试数据集</w:t>
            </w:r>
          </w:p>
        </w:tc>
        <w:tc>
          <w:tcPr>
            <w:tcW w:w="1000" w:type="dxa"/>
          </w:tcPr>
          <w:p w14:paraId="44CE6B63">
            <w:r>
              <w:rPr>
                <w:sz w:val="18"/>
              </w:rPr>
              <w:t>3-3</w:t>
            </w:r>
          </w:p>
        </w:tc>
        <w:tc>
          <w:tcPr>
            <w:tcW w:w="5200" w:type="dxa"/>
          </w:tcPr>
          <w:p w14:paraId="3D55D54E">
            <w:r>
              <w:rPr>
                <w:rFonts w:hint="eastAsia"/>
                <w:sz w:val="18"/>
              </w:rPr>
              <w:t>原稿提了测试场，但未解决“检测尺度不一致”与“数据不可复用”两个根本问题，各地分头建设将造成重复投资。依据：SAC/TC591已于2025年5月设立机器人检测分技术委员会，组织基础具备，但缺少公共安全专用测试环境与场景库</w:t>
            </w:r>
          </w:p>
        </w:tc>
        <w:tc>
          <w:tcPr>
            <w:tcW w:w="6340" w:type="dxa"/>
          </w:tcPr>
          <w:p w14:paraId="2CE9311B">
            <w:r>
              <w:rPr>
                <w:rFonts w:hint="eastAsia"/>
                <w:sz w:val="18"/>
              </w:rPr>
              <w:t>①在现有机器人产业集群中择优认定2—3个测试验证基地，明确认定条件、投资来源、运行主体与年度考核办法；②建设五类标准测试场景库（街面巡逻、检查核查、排爆处置、应急救援、大型活动安保）；③建立对抗测试能力（卫星定位欺骗、视觉欺骗、对抗样本、通信劫持、断电断网）；④沉淀可共享的标准化测试数据集与基准，衔接YD/T 6770-2026；⑤建立检测机构间比对机制，每年至少一次并公开结果。时限：24个月内挂牌首批基地</w:t>
            </w:r>
          </w:p>
        </w:tc>
      </w:tr>
      <w:tr>
        <w:trPr/>
        <w:tc>
          <w:tcPr>
            <w:tcW w:w="800" w:type="dxa"/>
          </w:tcPr>
          <w:p w14:paraId="19B5AE36">
            <w:r>
              <w:rPr>
                <w:rFonts w:hint="eastAsia"/>
                <w:sz w:val="18"/>
              </w:rPr>
              <w:t>新增6</w:t>
            </w:r>
          </w:p>
        </w:tc>
        <w:tc>
          <w:tcPr>
            <w:tcW w:w="1800" w:type="dxa"/>
          </w:tcPr>
          <w:p w14:paraId="6444FD46">
            <w:r>
              <w:rPr>
                <w:rFonts w:hint="eastAsia"/>
                <w:sz w:val="18"/>
              </w:rPr>
              <w:t>制定具身智能数据治理标准，把数据从“安全对象”提升为“技术要素”</w:t>
            </w:r>
          </w:p>
        </w:tc>
        <w:tc>
          <w:tcPr>
            <w:tcW w:w="1000" w:type="dxa"/>
          </w:tcPr>
          <w:p w14:paraId="6C8DA5EA">
            <w:r>
              <w:rPr>
                <w:rFonts w:hint="eastAsia"/>
                <w:sz w:val="18"/>
              </w:rPr>
              <w:t>3-1、3-2、4-3</w:t>
            </w:r>
          </w:p>
        </w:tc>
        <w:tc>
          <w:tcPr>
            <w:tcW w:w="5200" w:type="dxa"/>
          </w:tcPr>
          <w:p w14:paraId="1B729EFC">
            <w:r>
              <w:rPr>
                <w:rFonts w:hint="eastAsia"/>
                <w:sz w:val="18"/>
              </w:rPr>
              <w:t>原稿只把数据当作需要管住的风险，未把数据当作决定能力上限的生产要素；公安场景数据涉密、涉个人信息，跨域共享无规则。依据：MIIT/TC8已把数据采集标准列为急需标准；具身智能的能力上限由数据决定，无数据规范则模型能力无法评估</w:t>
            </w:r>
          </w:p>
        </w:tc>
        <w:tc>
          <w:tcPr>
            <w:tcW w:w="6340" w:type="dxa"/>
          </w:tcPr>
          <w:p w14:paraId="58FD4B96">
            <w:r>
              <w:rPr>
                <w:rFonts w:hint="eastAsia"/>
                <w:sz w:val="18"/>
              </w:rPr>
              <w:t>①制定《公共安全具身智能机器人数据采集与标注规范》，规定采集要素、标注规则、质量验收判据；②规定仿真数据与真实数据配比要求及sim2real迁移效果验证方法；③建立涉警数据分类分级、脱敏、跨域共享与销毁规范；④确立底线要求：训练数据不出域、模型回传受控、原始数据留存期限与销毁方式；⑤建立数据集质量抽检与复现性验证机制。时限：与3-1大模型专项标准同步立项</w:t>
            </w:r>
          </w:p>
        </w:tc>
      </w:tr>
      <w:tr>
        <w:trPr/>
        <w:tc>
          <w:tcPr>
            <w:tcW w:w="800" w:type="dxa"/>
          </w:tcPr>
          <w:p w14:paraId="174E23A3">
            <w:r>
              <w:rPr>
                <w:rFonts w:hint="eastAsia"/>
                <w:sz w:val="18"/>
              </w:rPr>
              <w:t>新增7</w:t>
            </w:r>
          </w:p>
        </w:tc>
        <w:tc>
          <w:tcPr>
            <w:tcW w:w="1800" w:type="dxa"/>
          </w:tcPr>
          <w:p w14:paraId="5567E944">
            <w:r>
              <w:rPr>
                <w:rFonts w:hint="eastAsia"/>
                <w:sz w:val="18"/>
              </w:rPr>
              <w:t>制定标准必要专利与开源组件合规政策</w:t>
            </w:r>
          </w:p>
        </w:tc>
        <w:tc>
          <w:tcPr>
            <w:tcW w:w="1000" w:type="dxa"/>
          </w:tcPr>
          <w:p w14:paraId="254EE1F6">
            <w:r>
              <w:rPr>
                <w:rFonts w:hint="eastAsia"/>
                <w:sz w:val="18"/>
              </w:rPr>
              <w:t>3-2、4-4</w:t>
            </w:r>
          </w:p>
        </w:tc>
        <w:tc>
          <w:tcPr>
            <w:tcW w:w="5200" w:type="dxa"/>
          </w:tcPr>
          <w:p w14:paraId="778D4996">
            <w:r>
              <w:rPr>
                <w:rFonts w:hint="eastAsia"/>
                <w:sz w:val="18"/>
              </w:rPr>
              <w:t>具身智能领域专利密集，标准若不明晰SEP处置原则，发布后易引发许可纠纷、阻碍列装；原稿建议“兼容ROS 2”未评估开源组件进入公安专网的供应链与安全审查风险。依据：国家标准制修订程序对专利处置已有原则性要求，但缺少面向本领域的实施细则；开源中间件的安全责任主体不清</w:t>
            </w:r>
          </w:p>
        </w:tc>
        <w:tc>
          <w:tcPr>
            <w:tcW w:w="6340" w:type="dxa"/>
          </w:tcPr>
          <w:p w14:paraId="6B8D6CDC">
            <w:r>
              <w:rPr>
                <w:rFonts w:hint="eastAsia"/>
                <w:sz w:val="18"/>
              </w:rPr>
              <w:t>①在标准制修订程序文件中明确标准必要专利的披露义务、许可承诺与FRAND原则要求；②对拟纳入标准的开源组件建立安全评估与准入清单，未经审查的开源中间件不得进入公安专网系统；③对ROS 2／DDS一类社区规范，采取“约定必要接口语义与数据模型、不指定具体实现”的写法；④同步推进国产机器人操作系统与中间件的适配与替代路线，明确分阶段目标。时限：12个月内完成细则</w:t>
            </w:r>
          </w:p>
        </w:tc>
      </w:tr>
      <w:tr>
        <w:trPr/>
        <w:tc>
          <w:tcPr>
            <w:tcW w:w="800" w:type="dxa"/>
          </w:tcPr>
          <w:p w14:paraId="24FEFE7D">
            <w:r>
              <w:rPr>
                <w:rFonts w:hint="eastAsia"/>
                <w:sz w:val="18"/>
              </w:rPr>
              <w:t>新增8</w:t>
            </w:r>
          </w:p>
        </w:tc>
        <w:tc>
          <w:tcPr>
            <w:tcW w:w="1800" w:type="dxa"/>
          </w:tcPr>
          <w:p w14:paraId="5376AAFD">
            <w:r>
              <w:rPr>
                <w:rFonts w:hint="eastAsia"/>
                <w:sz w:val="18"/>
              </w:rPr>
              <w:t>建立公共安全智能装备部际协调机制与年度会商制度</w:t>
            </w:r>
          </w:p>
        </w:tc>
        <w:tc>
          <w:tcPr>
            <w:tcW w:w="1000" w:type="dxa"/>
          </w:tcPr>
          <w:p w14:paraId="23692369">
            <w:r>
              <w:rPr>
                <w:rFonts w:hint="eastAsia"/>
                <w:sz w:val="18"/>
              </w:rPr>
              <w:t>2-4、4-1</w:t>
            </w:r>
          </w:p>
        </w:tc>
        <w:tc>
          <w:tcPr>
            <w:tcW w:w="5200" w:type="dxa"/>
          </w:tcPr>
          <w:p w14:paraId="7C7A969F">
            <w:r>
              <w:rPr>
                <w:rFonts w:hint="eastAsia"/>
                <w:sz w:val="18"/>
              </w:rPr>
              <w:t>原稿跨部门事项只写“提请部级层面协调”，未给机制。机器人公共安全应用横跨公安、工信、应急管理、住建、民航、网信等部门，涉及空域、数据、产品准入、城市基础设施四类权限，单靠一个标委会无法协调</w:t>
            </w:r>
          </w:p>
        </w:tc>
        <w:tc>
          <w:tcPr>
            <w:tcW w:w="6340" w:type="dxa"/>
          </w:tcPr>
          <w:p w14:paraId="50BC4A28">
            <w:r>
              <w:rPr>
                <w:rFonts w:hint="eastAsia"/>
                <w:sz w:val="18"/>
              </w:rPr>
              <w:t>①建立“公共安全智能装备部际协调机制”，明确成员单位、职责分工与议事规则；②每年一次会商，输出年度任务清单并明确责任单位与时限；③下设标准、试点、检测认证、数据安全四个专项组，各组设牵头单位；④各单位明确联络员与响应时限，任务清单执行情况纳入年度通报。时限：12个月内建立并召开首次会商</w:t>
            </w:r>
          </w:p>
        </w:tc>
      </w:tr>
      <w:tr>
        <w:trPr/>
        <w:tc>
          <w:tcPr>
            <w:tcW w:w="800" w:type="dxa"/>
          </w:tcPr>
          <w:p w14:paraId="0A0D3567">
            <w:r>
              <w:rPr>
                <w:rFonts w:hint="eastAsia"/>
                <w:sz w:val="18"/>
              </w:rPr>
              <w:t>新增9</w:t>
            </w:r>
          </w:p>
        </w:tc>
        <w:tc>
          <w:tcPr>
            <w:tcW w:w="1800" w:type="dxa"/>
          </w:tcPr>
          <w:p w14:paraId="07E05B88">
            <w:r>
              <w:rPr>
                <w:rFonts w:hint="eastAsia"/>
                <w:sz w:val="18"/>
              </w:rPr>
              <w:t>建立公共安全人工智能伦理审查与算法影响评估制度</w:t>
            </w:r>
          </w:p>
        </w:tc>
        <w:tc>
          <w:tcPr>
            <w:tcW w:w="1000" w:type="dxa"/>
          </w:tcPr>
          <w:p w14:paraId="1093EC11">
            <w:r>
              <w:rPr>
                <w:sz w:val="18"/>
              </w:rPr>
              <w:t>4-3</w:t>
            </w:r>
          </w:p>
        </w:tc>
        <w:tc>
          <w:tcPr>
            <w:tcW w:w="5200" w:type="dxa"/>
          </w:tcPr>
          <w:p w14:paraId="0F0D0909">
            <w:r>
              <w:rPr>
                <w:rFonts w:hint="eastAsia"/>
                <w:sz w:val="18"/>
              </w:rPr>
              <w:t>原稿只提“伦理规范”未给机制。机器人直接面对公众，涉及人脸与步态识别、行为预测、告警升级等高风险处理活动，误判后果由公众承担；现行法规仅要求特定情形下的算法备案与个人信息保护影响评估，未覆盖公共安全场景的伦理审查。依据：《人脸识别技术应用安全管理办法》第九条已确立影响评估制度，可扩展至更广的算法应用</w:t>
            </w:r>
          </w:p>
        </w:tc>
        <w:tc>
          <w:tcPr>
            <w:tcW w:w="6340" w:type="dxa"/>
          </w:tcPr>
          <w:p w14:paraId="3A9EDCE7">
            <w:r>
              <w:rPr>
                <w:rFonts w:hint="eastAsia"/>
                <w:sz w:val="18"/>
              </w:rPr>
              <w:t>①设立公共安全人工智能伦理委员会，成员涵盖业务警种、法律、伦理、技术专家与公众代表；②对拟列装应用逐项开展算法影响评估，要点包括误判后果、对特定群体的差异性影响、可解释性、人工干预可行性；③评估结论作为列装前置条件，评估报告定期公开摘要；④建立公众意见征询渠道与申诉处理流程。时限：与新增2的管理办法配套出台</w:t>
            </w:r>
          </w:p>
        </w:tc>
      </w:tr>
      <w:tr>
        <w:trPr/>
        <w:tc>
          <w:tcPr>
            <w:tcW w:w="800" w:type="dxa"/>
          </w:tcPr>
          <w:p w14:paraId="4E154473">
            <w:r>
              <w:rPr>
                <w:rFonts w:hint="eastAsia"/>
                <w:sz w:val="18"/>
              </w:rPr>
              <w:t>新增10</w:t>
            </w:r>
          </w:p>
        </w:tc>
        <w:tc>
          <w:tcPr>
            <w:tcW w:w="1800" w:type="dxa"/>
          </w:tcPr>
          <w:p w14:paraId="1C33C6A6">
            <w:r>
              <w:rPr>
                <w:rFonts w:hint="eastAsia"/>
                <w:sz w:val="18"/>
              </w:rPr>
              <w:t>建立装备全寿命周期成本与实战效能的双维评估与披露制度</w:t>
            </w:r>
          </w:p>
        </w:tc>
        <w:tc>
          <w:tcPr>
            <w:tcW w:w="1000" w:type="dxa"/>
          </w:tcPr>
          <w:p w14:paraId="6C20FE28">
            <w:r>
              <w:rPr>
                <w:rFonts w:hint="eastAsia"/>
                <w:sz w:val="18"/>
              </w:rPr>
              <w:t>4-5、4-4</w:t>
            </w:r>
          </w:p>
        </w:tc>
        <w:tc>
          <w:tcPr>
            <w:tcW w:w="5200" w:type="dxa"/>
          </w:tcPr>
          <w:p w14:paraId="5D4C173B">
            <w:r>
              <w:rPr>
                <w:rFonts w:hint="eastAsia"/>
                <w:sz w:val="18"/>
              </w:rPr>
              <w:t>原稿提出四维效能评估，但未解决“基线缺失”与“只算采购账”两个问题——没有基线，提升幅度无法计算；不统一成本口径，易形成“低价中标、高价运维”。依据：机器人属高运维依赖装备，全寿命周期成本远高于采购价，经费决策必须有完整口径支撑</w:t>
            </w:r>
          </w:p>
        </w:tc>
        <w:tc>
          <w:tcPr>
            <w:tcW w:w="6340" w:type="dxa"/>
          </w:tcPr>
          <w:p w14:paraId="78608C2D">
            <w:r>
              <w:rPr>
                <w:rFonts w:hint="eastAsia"/>
                <w:sz w:val="18"/>
              </w:rPr>
              <w:t>①明确评估基线：试点前采集不少于12个月的人力量、警情响应时长、风险暴露事件等历史数据；②统一全寿命周期成本口径（采购＋能源＋维护＋备件＋培训＋退役处置，按五年折现）；③建立年度效能报告与披露要求，作为后续采购与扩面依据；④评估结果与采购额度挂钩，效能不达标暂停扩面并启动整改。时限：试点期第6个月出中期报告，期满出终期报告</w:t>
            </w:r>
          </w:p>
        </w:tc>
      </w:tr>
    </w:tbl>
    <w:p w14:paraId="6CC47B89">
      <w:pPr>
        <w:keepNext w:val="1"/>
        <w:keepLines w:val="1"/>
        <w:spacing w:before="100" w:beforeAutospacing="1" w:after="100" w:afterAutospacing="1"/>
        <w:outlineLvl w:val="1"/>
        <w:rPr>
          <w:sz w:val="32"/>
          <w:szCs w:val="32"/>
        </w:rPr>
      </w:pPr>
      <w:r>
        <w:rPr>
          <w:rFonts w:hint="eastAsia"/>
          <w:b w:val="1"/>
          <w:sz w:val="32"/>
        </w:rPr>
        <w:t>附表　拟制定的标准清单（修订新增 3 项）</w:t>
      </w:r>
    </w:p>
    <w:p w14:paraId="35AECF31">
      <w:r>
        <w:rPr>
          <w:rFonts w:hint="eastAsia"/>
        </w:rPr>
        <w:t>（本表为在原意见收集表“附表 C：依据标准体系框架建议拟制定的标准清单”基础上修订新增的 3 项，格式与原表一致）</w:t>
      </w:r>
    </w:p>
    <w:tbl>
      <w:tblPr>
        <w:tblW w:w="1456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600"/>
        <w:gridCol w:w="1840"/>
        <w:gridCol w:w="880"/>
        <w:gridCol w:w="880"/>
        <w:gridCol w:w="880"/>
        <w:gridCol w:w="2000"/>
        <w:gridCol w:w="960"/>
        <w:gridCol w:w="1120"/>
        <w:gridCol w:w="1120"/>
        <w:gridCol w:w="1120"/>
        <w:gridCol w:w="1120"/>
        <w:gridCol w:w="920"/>
        <w:gridCol w:w="1120"/>
      </w:tblGrid>
      <w:tr>
        <w:trPr>
          <w:tblHeader w:val="1"/>
        </w:trPr>
        <w:tc>
          <w:tcPr>
            <w:tcW w:w="600" w:type="dxa"/>
          </w:tcPr>
          <w:p w14:paraId="3C8F2FEB">
            <w:pPr>
              <w:rPr>
                <w:b w:val="1"/>
                <w:bCs w:val="1"/>
              </w:rPr>
            </w:pPr>
            <w:r>
              <w:rPr>
                <w:rFonts w:hint="eastAsia"/>
                <w:b w:val="1"/>
                <w:sz w:val="16"/>
              </w:rPr>
              <w:t>序号</w:t>
            </w:r>
          </w:p>
        </w:tc>
        <w:tc>
          <w:tcPr>
            <w:tcW w:w="1840" w:type="dxa"/>
          </w:tcPr>
          <w:p w14:paraId="6ADFB86F">
            <w:pPr>
              <w:rPr>
                <w:b w:val="1"/>
                <w:bCs w:val="1"/>
              </w:rPr>
            </w:pPr>
            <w:r>
              <w:rPr>
                <w:rFonts w:hint="eastAsia"/>
                <w:b w:val="1"/>
                <w:sz w:val="16"/>
              </w:rPr>
              <w:t>标准（项目）名称</w:t>
            </w:r>
          </w:p>
        </w:tc>
        <w:tc>
          <w:tcPr>
            <w:tcW w:w="880" w:type="dxa"/>
          </w:tcPr>
          <w:p w14:paraId="500F2F10">
            <w:pPr>
              <w:rPr>
                <w:b w:val="1"/>
                <w:bCs w:val="1"/>
              </w:rPr>
            </w:pPr>
            <w:r>
              <w:rPr>
                <w:rFonts w:hint="eastAsia"/>
                <w:b w:val="1"/>
                <w:sz w:val="16"/>
              </w:rPr>
              <w:t>标准类型</w:t>
            </w:r>
          </w:p>
        </w:tc>
        <w:tc>
          <w:tcPr>
            <w:tcW w:w="880" w:type="dxa"/>
          </w:tcPr>
          <w:p w14:paraId="077C1E09">
            <w:pPr>
              <w:rPr>
                <w:b w:val="1"/>
                <w:bCs w:val="1"/>
              </w:rPr>
            </w:pPr>
            <w:r>
              <w:rPr>
                <w:rFonts w:hint="eastAsia"/>
                <w:b w:val="1"/>
                <w:sz w:val="16"/>
              </w:rPr>
              <w:t>标准性质</w:t>
            </w:r>
          </w:p>
        </w:tc>
        <w:tc>
          <w:tcPr>
            <w:tcW w:w="880" w:type="dxa"/>
          </w:tcPr>
          <w:p w14:paraId="4A8DE906">
            <w:pPr>
              <w:rPr>
                <w:b w:val="1"/>
                <w:bCs w:val="1"/>
              </w:rPr>
            </w:pPr>
            <w:r>
              <w:rPr>
                <w:rFonts w:hint="eastAsia"/>
                <w:b w:val="1"/>
                <w:sz w:val="16"/>
              </w:rPr>
              <w:t>标准类别</w:t>
            </w:r>
          </w:p>
        </w:tc>
        <w:tc>
          <w:tcPr>
            <w:tcW w:w="2000" w:type="dxa"/>
          </w:tcPr>
          <w:p w14:paraId="1920F5AD">
            <w:pPr>
              <w:rPr>
                <w:b w:val="1"/>
                <w:bCs w:val="1"/>
              </w:rPr>
            </w:pPr>
            <w:r>
              <w:rPr>
                <w:rFonts w:hint="eastAsia"/>
                <w:b w:val="1"/>
                <w:sz w:val="16"/>
              </w:rPr>
              <w:t>适用范围、研制目的</w:t>
            </w:r>
          </w:p>
        </w:tc>
        <w:tc>
          <w:tcPr>
            <w:tcW w:w="960" w:type="dxa"/>
          </w:tcPr>
          <w:p w14:paraId="4C6A7AAC">
            <w:pPr>
              <w:rPr>
                <w:b w:val="1"/>
                <w:bCs w:val="1"/>
              </w:rPr>
            </w:pPr>
            <w:r>
              <w:rPr>
                <w:rFonts w:hint="eastAsia"/>
                <w:b w:val="1"/>
                <w:sz w:val="16"/>
              </w:rPr>
              <w:t>标准方向</w:t>
            </w:r>
          </w:p>
        </w:tc>
        <w:tc>
          <w:tcPr>
            <w:tcW w:w="1120" w:type="dxa"/>
          </w:tcPr>
          <w:p w14:paraId="3393E0EB">
            <w:pPr>
              <w:rPr>
                <w:b w:val="1"/>
                <w:bCs w:val="1"/>
              </w:rPr>
            </w:pPr>
            <w:r>
              <w:rPr>
                <w:rFonts w:hint="eastAsia"/>
                <w:b w:val="1"/>
                <w:sz w:val="16"/>
              </w:rPr>
              <w:t>提出单位</w:t>
            </w:r>
          </w:p>
        </w:tc>
        <w:tc>
          <w:tcPr>
            <w:tcW w:w="1120" w:type="dxa"/>
          </w:tcPr>
          <w:p w14:paraId="4E32D236">
            <w:pPr>
              <w:rPr>
                <w:b w:val="1"/>
                <w:bCs w:val="1"/>
              </w:rPr>
            </w:pPr>
            <w:r>
              <w:rPr>
                <w:rFonts w:hint="eastAsia"/>
                <w:b w:val="1"/>
                <w:sz w:val="16"/>
              </w:rPr>
              <w:t>指导（归口）业务局</w:t>
            </w:r>
          </w:p>
        </w:tc>
        <w:tc>
          <w:tcPr>
            <w:tcW w:w="1120" w:type="dxa"/>
          </w:tcPr>
          <w:p w14:paraId="7185DBC2">
            <w:pPr>
              <w:rPr>
                <w:b w:val="1"/>
                <w:bCs w:val="1"/>
              </w:rPr>
            </w:pPr>
            <w:r>
              <w:rPr>
                <w:rFonts w:hint="eastAsia"/>
                <w:b w:val="1"/>
                <w:sz w:val="16"/>
              </w:rPr>
              <w:t>负责起草单位</w:t>
            </w:r>
          </w:p>
        </w:tc>
        <w:tc>
          <w:tcPr>
            <w:tcW w:w="1120" w:type="dxa"/>
          </w:tcPr>
          <w:p w14:paraId="63C41A4E">
            <w:pPr>
              <w:rPr>
                <w:b w:val="1"/>
                <w:bCs w:val="1"/>
              </w:rPr>
            </w:pPr>
            <w:r>
              <w:rPr>
                <w:rFonts w:hint="eastAsia"/>
                <w:b w:val="1"/>
                <w:sz w:val="16"/>
              </w:rPr>
              <w:t>参与起草单位</w:t>
            </w:r>
          </w:p>
        </w:tc>
        <w:tc>
          <w:tcPr>
            <w:tcW w:w="920" w:type="dxa"/>
          </w:tcPr>
          <w:p w14:paraId="5686D4EB">
            <w:pPr>
              <w:rPr>
                <w:b w:val="1"/>
                <w:bCs w:val="1"/>
              </w:rPr>
            </w:pPr>
            <w:r>
              <w:rPr>
                <w:rFonts w:hint="eastAsia"/>
                <w:b w:val="1"/>
                <w:sz w:val="16"/>
              </w:rPr>
              <w:t>当前状态</w:t>
            </w:r>
          </w:p>
        </w:tc>
        <w:tc>
          <w:tcPr>
            <w:tcW w:w="1120" w:type="dxa"/>
          </w:tcPr>
          <w:p w14:paraId="0F877595">
            <w:pPr>
              <w:rPr>
                <w:b w:val="1"/>
                <w:bCs w:val="1"/>
              </w:rPr>
            </w:pPr>
            <w:r>
              <w:rPr>
                <w:rFonts w:hint="eastAsia"/>
                <w:b w:val="1"/>
                <w:sz w:val="16"/>
              </w:rPr>
              <w:t>是否有科研或工程项目支撑</w:t>
            </w:r>
          </w:p>
        </w:tc>
      </w:tr>
      <w:tr>
        <w:trPr/>
        <w:tc>
          <w:tcPr>
            <w:tcW w:w="600" w:type="dxa"/>
          </w:tcPr>
          <w:p w14:paraId="36E0A593">
            <w:r>
              <w:rPr>
                <w:sz w:val="16"/>
              </w:rPr>
              <w:t>6</w:t>
            </w:r>
          </w:p>
        </w:tc>
        <w:tc>
          <w:tcPr>
            <w:tcW w:w="1840" w:type="dxa"/>
          </w:tcPr>
          <w:p w14:paraId="7FD2FF76">
            <w:r>
              <w:rPr>
                <w:rFonts w:hint="eastAsia"/>
                <w:sz w:val="16"/>
              </w:rPr>
              <w:t>公共安全具身智能机器人 数据采集与标注规范</w:t>
            </w:r>
          </w:p>
        </w:tc>
        <w:tc>
          <w:tcPr>
            <w:tcW w:w="880" w:type="dxa"/>
          </w:tcPr>
          <w:p w14:paraId="229B8FE1">
            <w:r>
              <w:rPr>
                <w:rFonts w:hint="eastAsia"/>
                <w:sz w:val="16"/>
              </w:rPr>
              <w:t>行业标准</w:t>
            </w:r>
          </w:p>
        </w:tc>
        <w:tc>
          <w:tcPr>
            <w:tcW w:w="880" w:type="dxa"/>
          </w:tcPr>
          <w:p w14:paraId="0A7BC7AB">
            <w:r>
              <w:rPr>
                <w:rFonts w:hint="eastAsia"/>
                <w:sz w:val="16"/>
              </w:rPr>
              <w:t>推荐性</w:t>
            </w:r>
          </w:p>
        </w:tc>
        <w:tc>
          <w:tcPr>
            <w:tcW w:w="880" w:type="dxa"/>
          </w:tcPr>
          <w:p w14:paraId="329B506D">
            <w:r>
              <w:rPr>
                <w:rFonts w:hint="eastAsia"/>
                <w:sz w:val="16"/>
              </w:rPr>
              <w:t>基础</w:t>
            </w:r>
          </w:p>
        </w:tc>
        <w:tc>
          <w:tcPr>
            <w:tcW w:w="2000" w:type="dxa"/>
          </w:tcPr>
          <w:p w14:paraId="54C4F0BF">
            <w:r>
              <w:rPr>
                <w:rFonts w:hint="eastAsia"/>
                <w:sz w:val="16"/>
              </w:rPr>
              <w:t>规定采集要素、标注规则与数据集质量验收判据，明确仿真与真实数据配比及sim2real迁移效果验证方法，衔接MIIT/TC8数据采集急需标准</w:t>
            </w:r>
          </w:p>
        </w:tc>
        <w:tc>
          <w:tcPr>
            <w:tcW w:w="960" w:type="dxa"/>
          </w:tcPr>
          <w:p w14:paraId="5FA882E1">
            <w:r>
              <w:rPr>
                <w:rFonts w:hint="eastAsia"/>
                <w:sz w:val="16"/>
              </w:rPr>
              <w:t>基础</w:t>
            </w:r>
          </w:p>
        </w:tc>
        <w:tc>
          <w:tcPr>
            <w:tcW w:w="1120" w:type="dxa"/>
          </w:tcPr>
          <w:p w14:paraId="602B816A">
            <w:r>
              <w:rPr>
                <w:rFonts w:hint="eastAsia"/>
                <w:sz w:val="16"/>
              </w:rPr>
              <w:t>意见提出方</w:t>
            </w:r>
          </w:p>
        </w:tc>
        <w:tc>
          <w:tcPr>
            <w:tcW w:w="1120" w:type="dxa"/>
          </w:tcPr>
          <w:p w14:paraId="3FBD15CA">
            <w:r>
              <w:rPr>
                <w:rFonts w:hint="eastAsia"/>
                <w:sz w:val="16"/>
              </w:rPr>
              <w:t>公安部科技信息化局</w:t>
            </w:r>
          </w:p>
        </w:tc>
        <w:tc>
          <w:tcPr>
            <w:tcW w:w="1120" w:type="dxa"/>
          </w:tcPr>
          <w:p w14:paraId="40353E7D">
            <w:r>
              <w:rPr>
                <w:rFonts w:hint="eastAsia"/>
                <w:sz w:val="16"/>
              </w:rPr>
              <w:t>意见提出方</w:t>
            </w:r>
          </w:p>
        </w:tc>
        <w:tc>
          <w:tcPr>
            <w:tcW w:w="1120" w:type="dxa"/>
          </w:tcPr>
          <w:p w14:paraId="4BD1DCBF">
            <w:r>
              <w:rPr>
                <w:sz w:val="16"/>
              </w:rPr>
              <w:t>——</w:t>
            </w:r>
          </w:p>
        </w:tc>
        <w:tc>
          <w:tcPr>
            <w:tcW w:w="920" w:type="dxa"/>
          </w:tcPr>
          <w:p w14:paraId="3E688EDC">
            <w:r>
              <w:rPr>
                <w:rFonts w:hint="eastAsia"/>
                <w:sz w:val="16"/>
              </w:rPr>
              <w:t>建议立项</w:t>
            </w:r>
          </w:p>
        </w:tc>
        <w:tc>
          <w:tcPr>
            <w:tcW w:w="1120" w:type="dxa"/>
          </w:tcPr>
          <w:p w14:paraId="2BD7CFA7">
            <w:r>
              <w:rPr>
                <w:rFonts w:hint="eastAsia"/>
                <w:sz w:val="16"/>
              </w:rPr>
              <w:t>建议纳入科技强警专项</w:t>
            </w:r>
          </w:p>
        </w:tc>
      </w:tr>
      <w:tr>
        <w:trPr/>
        <w:tc>
          <w:tcPr>
            <w:tcW w:w="600" w:type="dxa"/>
          </w:tcPr>
          <w:p w14:paraId="5287CF95">
            <w:r>
              <w:rPr>
                <w:sz w:val="16"/>
              </w:rPr>
              <w:t>7</w:t>
            </w:r>
          </w:p>
        </w:tc>
        <w:tc>
          <w:tcPr>
            <w:tcW w:w="1840" w:type="dxa"/>
          </w:tcPr>
          <w:p w14:paraId="69BC16FC">
            <w:r>
              <w:rPr>
                <w:rFonts w:hint="eastAsia"/>
                <w:sz w:val="16"/>
              </w:rPr>
              <w:t>警用机器人人机协同勤务规程</w:t>
            </w:r>
          </w:p>
        </w:tc>
        <w:tc>
          <w:tcPr>
            <w:tcW w:w="880" w:type="dxa"/>
          </w:tcPr>
          <w:p w14:paraId="5C0DC513">
            <w:r>
              <w:rPr>
                <w:rFonts w:hint="eastAsia"/>
                <w:sz w:val="16"/>
              </w:rPr>
              <w:t>行业标准</w:t>
            </w:r>
          </w:p>
        </w:tc>
        <w:tc>
          <w:tcPr>
            <w:tcW w:w="880" w:type="dxa"/>
          </w:tcPr>
          <w:p w14:paraId="25289D94">
            <w:r>
              <w:rPr>
                <w:rFonts w:hint="eastAsia"/>
                <w:sz w:val="16"/>
              </w:rPr>
              <w:t>推荐性</w:t>
            </w:r>
          </w:p>
        </w:tc>
        <w:tc>
          <w:tcPr>
            <w:tcW w:w="880" w:type="dxa"/>
          </w:tcPr>
          <w:p w14:paraId="2C72FDE7">
            <w:r>
              <w:rPr>
                <w:rFonts w:hint="eastAsia"/>
                <w:sz w:val="16"/>
              </w:rPr>
              <w:t>管理</w:t>
            </w:r>
          </w:p>
        </w:tc>
        <w:tc>
          <w:tcPr>
            <w:tcW w:w="2000" w:type="dxa"/>
          </w:tcPr>
          <w:p w14:paraId="6ED7EC9D">
            <w:r>
              <w:rPr>
                <w:rFonts w:hint="eastAsia"/>
                <w:sz w:val="16"/>
              </w:rPr>
              <w:t>规定权责边界、接管时限与失效降级策略、最小作战单元编成方法、与110接处警流程的对接规则及训练考核要求</w:t>
            </w:r>
          </w:p>
        </w:tc>
        <w:tc>
          <w:tcPr>
            <w:tcW w:w="960" w:type="dxa"/>
          </w:tcPr>
          <w:p w14:paraId="69F65293">
            <w:r>
              <w:rPr>
                <w:rFonts w:hint="eastAsia"/>
                <w:sz w:val="16"/>
              </w:rPr>
              <w:t>管理</w:t>
            </w:r>
          </w:p>
        </w:tc>
        <w:tc>
          <w:tcPr>
            <w:tcW w:w="1120" w:type="dxa"/>
          </w:tcPr>
          <w:p w14:paraId="3A6EF504">
            <w:r>
              <w:rPr>
                <w:rFonts w:hint="eastAsia"/>
                <w:sz w:val="16"/>
              </w:rPr>
              <w:t>意见提出方</w:t>
            </w:r>
          </w:p>
        </w:tc>
        <w:tc>
          <w:tcPr>
            <w:tcW w:w="1120" w:type="dxa"/>
          </w:tcPr>
          <w:p w14:paraId="6831E61B">
            <w:r>
              <w:rPr>
                <w:rFonts w:hint="eastAsia"/>
                <w:sz w:val="16"/>
              </w:rPr>
              <w:t>公安部装备财务局</w:t>
            </w:r>
          </w:p>
        </w:tc>
        <w:tc>
          <w:tcPr>
            <w:tcW w:w="1120" w:type="dxa"/>
          </w:tcPr>
          <w:p w14:paraId="3CB26EAE">
            <w:r>
              <w:rPr>
                <w:rFonts w:hint="eastAsia"/>
                <w:sz w:val="16"/>
              </w:rPr>
              <w:t>意见提出方</w:t>
            </w:r>
          </w:p>
        </w:tc>
        <w:tc>
          <w:tcPr>
            <w:tcW w:w="1120" w:type="dxa"/>
          </w:tcPr>
          <w:p w14:paraId="242AECEC">
            <w:r>
              <w:rPr>
                <w:sz w:val="16"/>
              </w:rPr>
              <w:t>——</w:t>
            </w:r>
          </w:p>
        </w:tc>
        <w:tc>
          <w:tcPr>
            <w:tcW w:w="920" w:type="dxa"/>
          </w:tcPr>
          <w:p w14:paraId="69737E6B">
            <w:r>
              <w:rPr>
                <w:rFonts w:hint="eastAsia"/>
                <w:sz w:val="16"/>
              </w:rPr>
              <w:t>建议立项</w:t>
            </w:r>
          </w:p>
        </w:tc>
        <w:tc>
          <w:tcPr>
            <w:tcW w:w="1120" w:type="dxa"/>
          </w:tcPr>
          <w:p w14:paraId="041B5FD8">
            <w:r>
              <w:rPr>
                <w:rFonts w:hint="eastAsia"/>
                <w:sz w:val="16"/>
              </w:rPr>
              <w:t>建议纳入科技强警专项</w:t>
            </w:r>
          </w:p>
        </w:tc>
      </w:tr>
      <w:tr>
        <w:trPr/>
        <w:tc>
          <w:tcPr>
            <w:tcW w:w="600" w:type="dxa"/>
          </w:tcPr>
          <w:p w14:paraId="0CE0FE42">
            <w:r>
              <w:rPr>
                <w:sz w:val="16"/>
              </w:rPr>
              <w:t>8</w:t>
            </w:r>
          </w:p>
        </w:tc>
        <w:tc>
          <w:tcPr>
            <w:tcW w:w="1840" w:type="dxa"/>
          </w:tcPr>
          <w:p w14:paraId="3917B196">
            <w:r>
              <w:rPr>
                <w:rFonts w:hint="eastAsia"/>
                <w:sz w:val="16"/>
              </w:rPr>
              <w:t>公共安全多智能体（机器人—无人机—无人车）协同接口要求</w:t>
            </w:r>
          </w:p>
        </w:tc>
        <w:tc>
          <w:tcPr>
            <w:tcW w:w="880" w:type="dxa"/>
          </w:tcPr>
          <w:p w14:paraId="62A7B473">
            <w:r>
              <w:rPr>
                <w:rFonts w:hint="eastAsia"/>
                <w:sz w:val="16"/>
              </w:rPr>
              <w:t>行业标准</w:t>
            </w:r>
          </w:p>
        </w:tc>
        <w:tc>
          <w:tcPr>
            <w:tcW w:w="880" w:type="dxa"/>
          </w:tcPr>
          <w:p w14:paraId="75BF020D">
            <w:r>
              <w:rPr>
                <w:rFonts w:hint="eastAsia"/>
                <w:sz w:val="16"/>
              </w:rPr>
              <w:t>推荐性</w:t>
            </w:r>
          </w:p>
        </w:tc>
        <w:tc>
          <w:tcPr>
            <w:tcW w:w="880" w:type="dxa"/>
          </w:tcPr>
          <w:p w14:paraId="725E9C0F">
            <w:r>
              <w:rPr>
                <w:rFonts w:hint="eastAsia"/>
                <w:sz w:val="16"/>
              </w:rPr>
              <w:t>技术</w:t>
            </w:r>
          </w:p>
        </w:tc>
        <w:tc>
          <w:tcPr>
            <w:tcW w:w="2000" w:type="dxa"/>
          </w:tcPr>
          <w:p w14:paraId="1B44696B">
            <w:r>
              <w:rPr>
                <w:rFonts w:hint="eastAsia"/>
                <w:sz w:val="16"/>
              </w:rPr>
              <w:t>规定空地异构协同的接口语义、数据模型与时序一致性要求，支持北斗／PTP授时，复用低空经济基础设施，不指定具体实现</w:t>
            </w:r>
          </w:p>
        </w:tc>
        <w:tc>
          <w:tcPr>
            <w:tcW w:w="960" w:type="dxa"/>
          </w:tcPr>
          <w:p w14:paraId="03A896A1">
            <w:r>
              <w:rPr>
                <w:rFonts w:hint="eastAsia"/>
                <w:sz w:val="16"/>
              </w:rPr>
              <w:t>技术</w:t>
            </w:r>
          </w:p>
        </w:tc>
        <w:tc>
          <w:tcPr>
            <w:tcW w:w="1120" w:type="dxa"/>
          </w:tcPr>
          <w:p w14:paraId="57386E3E">
            <w:r>
              <w:rPr>
                <w:rFonts w:hint="eastAsia"/>
                <w:sz w:val="16"/>
              </w:rPr>
              <w:t>意见提出方</w:t>
            </w:r>
          </w:p>
        </w:tc>
        <w:tc>
          <w:tcPr>
            <w:tcW w:w="1120" w:type="dxa"/>
          </w:tcPr>
          <w:p w14:paraId="63970785">
            <w:r>
              <w:rPr>
                <w:rFonts w:hint="eastAsia"/>
                <w:sz w:val="16"/>
              </w:rPr>
              <w:t>公安部科技信息化局</w:t>
            </w:r>
          </w:p>
        </w:tc>
        <w:tc>
          <w:tcPr>
            <w:tcW w:w="1120" w:type="dxa"/>
          </w:tcPr>
          <w:p w14:paraId="370D3F05">
            <w:r>
              <w:rPr>
                <w:rFonts w:hint="eastAsia"/>
                <w:sz w:val="16"/>
              </w:rPr>
              <w:t>意见提出方</w:t>
            </w:r>
          </w:p>
        </w:tc>
        <w:tc>
          <w:tcPr>
            <w:tcW w:w="1120" w:type="dxa"/>
          </w:tcPr>
          <w:p w14:paraId="3C519F0B">
            <w:r>
              <w:rPr>
                <w:sz w:val="16"/>
              </w:rPr>
              <w:t>——</w:t>
            </w:r>
          </w:p>
        </w:tc>
        <w:tc>
          <w:tcPr>
            <w:tcW w:w="920" w:type="dxa"/>
          </w:tcPr>
          <w:p w14:paraId="6119A8ED">
            <w:r>
              <w:rPr>
                <w:rFonts w:hint="eastAsia"/>
                <w:sz w:val="16"/>
              </w:rPr>
              <w:t>建议立项</w:t>
            </w:r>
          </w:p>
        </w:tc>
        <w:tc>
          <w:tcPr>
            <w:tcW w:w="1120" w:type="dxa"/>
          </w:tcPr>
          <w:p w14:paraId="1C7A2E2B">
            <w:r>
              <w:rPr>
                <w:rFonts w:hint="eastAsia"/>
                <w:sz w:val="16"/>
              </w:rPr>
              <w:t>建议纳入科技强警专项</w:t>
            </w:r>
          </w:p>
        </w:tc>
      </w:tr>
    </w:tbl>
    <w:p w14:paraId="049B51D5"/>
    <w:sectPr>
      <w:footerReference r:id="rId8" w:type="default"/>
      <w:footerReference r:id="rId7" w:type="even"/>
      <w:footerReference r:id="rId9" w:type="first"/>
      <w:type w:val="nextPage"/>
      <w:pgSz w:w="16838" w:h="11906" w:orient="landscape"/>
      <w:pgMar w:top="1134" w:right="850" w:bottom="1134" w:left="850"/>
      <w:pgNumType w:fmt="decimal"/>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14="http://schemas.microsoft.com/office/word/2010/wordml" xmlns:w="http://schemas.openxmlformats.org/wordprocessingml/2006/main" xmlns:mc="http://schemas.openxmlformats.org/markup-compatibility/2006" mc:Ignorable="w14">
  <w:sdt>
    <w:sdtPr>
      <w:docPartObj>
        <w:docPartGallery w:val="Page Numbers (Bottom of Page)"/>
        <w:docPartUnique w:val="1"/>
      </w:docPartObj>
    </w:sdtPr>
    <w:sdtContent>
      <w:p w14:paraId="5785B258">
        <w:pPr>
          <w:framePr w:wrap="none" w:hAnchor="margin" w:vAnchor="text" w:xAlign="right" w:y="1"/>
        </w:pPr>
        <w:r>
          <w:fldChar w:fldCharType="begin"/>
        </w:r>
        <w:r>
          <w:instrText>PAGE</w:instrText>
        </w:r>
        <w:r>
          <w:fldChar w:fldCharType="separate"/>
        </w:r>
        <w:r>
          <w:t>1</w:t>
        </w:r>
        <w:r>
          <w:fldChar w:fldCharType="end"/>
        </w:r>
      </w:p>
    </w:sdtContent>
  </w:sdt>
  <w:p w14:paraId="13F57BBB"/>
</w:ftr>
</file>

<file path=word/footer2.xml><?xml version="1.0" encoding="utf-8"?>
<w:ftr xmlns:w14="http://schemas.microsoft.com/office/word/2010/wordml" xmlns:w="http://schemas.openxmlformats.org/wordprocessingml/2006/main" xmlns:mc="http://schemas.openxmlformats.org/markup-compatibility/2006" mc:Ignorable="w14">
  <w:sdt>
    <w:sdtPr>
      <w:docPartObj>
        <w:docPartGallery w:val="Page Numbers (Bottom of Page)"/>
        <w:docPartUnique w:val="1"/>
      </w:docPartObj>
    </w:sdtPr>
    <w:sdtContent>
      <w:p w14:paraId="0E875375">
        <w:pPr>
          <w:framePr w:wrap="none" w:hAnchor="margin" w:vAnchor="text" w:xAlign="right" w:y="1"/>
        </w:pPr>
        <w:r>
          <w:fldChar w:fldCharType="begin"/>
        </w:r>
        <w:r>
          <w:instrText>PAGE</w:instrText>
        </w:r>
        <w:r>
          <w:fldChar w:fldCharType="separate"/>
        </w:r>
        <w:r>
          <w:t>1</w:t>
        </w:r>
        <w:r>
          <w:fldChar w:fldCharType="end"/>
        </w:r>
      </w:p>
    </w:sdtContent>
  </w:sdt>
  <w:p w14:paraId="4AF70A90"/>
</w:ftr>
</file>

<file path=word/footer3.xml><?xml version="1.0" encoding="utf-8"?>
<w:ftr xmlns:w14="http://schemas.microsoft.com/office/word/2010/wordml" xmlns:w="http://schemas.openxmlformats.org/wordprocessingml/2006/main" xmlns:mc="http://schemas.openxmlformats.org/markup-compatibility/2006" mc:Ignorable="w14">
  <w:sdt>
    <w:sdtPr>
      <w:docPartObj>
        <w:docPartGallery w:val="Page Numbers (Bottom of Page)"/>
        <w:docPartUnique w:val="1"/>
      </w:docPartObj>
    </w:sdtPr>
    <w:sdtContent>
      <w:p w14:paraId="7F8AF2C2">
        <w:pPr>
          <w:framePr w:wrap="none" w:hAnchor="margin" w:vAnchor="text" w:xAlign="right" w:y="1"/>
        </w:pPr>
        <w:r>
          <w:fldChar w:fldCharType="begin"/>
        </w:r>
        <w:r>
          <w:instrText>PAGE</w:instrText>
        </w:r>
        <w:r>
          <w:fldChar w:fldCharType="separate"/>
        </w:r>
        <w:r>
          <w:t>1</w:t>
        </w:r>
        <w:r>
          <w:fldChar w:fldCharType="end"/>
        </w:r>
      </w:p>
    </w:sdtContent>
  </w:sdt>
  <w:p w14:paraId="381508DD"/>
</w:ftr>
</file>

<file path=word/footer4.xml><?xml version="1.0" encoding="utf-8"?>
<w:ftr xmlns:w14="http://schemas.microsoft.com/office/word/2010/wordml" xmlns:w="http://schemas.openxmlformats.org/wordprocessingml/2006/main" xmlns:mc="http://schemas.openxmlformats.org/markup-compatibility/2006" mc:Ignorable="w14">
  <w:sdt>
    <w:sdtPr>
      <w:docPartObj>
        <w:docPartGallery w:val="Page Numbers (Bottom of Page)"/>
        <w:docPartUnique w:val="1"/>
      </w:docPartObj>
    </w:sdtPr>
    <w:sdtContent>
      <w:p w14:paraId="338B76FD">
        <w:pPr>
          <w:framePr w:wrap="none" w:hAnchor="margin" w:vAnchor="text" w:xAlign="right" w:y="1"/>
        </w:pPr>
        <w:r>
          <w:fldChar w:fldCharType="begin"/>
        </w:r>
        <w:r>
          <w:instrText>PAGE</w:instrText>
        </w:r>
        <w:r>
          <w:fldChar w:fldCharType="separate"/>
        </w:r>
        <w:r>
          <w:t>1</w:t>
        </w:r>
        <w:r>
          <w:fldChar w:fldCharType="end"/>
        </w:r>
      </w:p>
    </w:sdtContent>
  </w:sdt>
  <w:p w14:paraId="7F3336D0"/>
</w:ftr>
</file>

<file path=word/footer5.xml><?xml version="1.0" encoding="utf-8"?>
<w:ftr xmlns:w14="http://schemas.microsoft.com/office/word/2010/wordml" xmlns:w="http://schemas.openxmlformats.org/wordprocessingml/2006/main" xmlns:mc="http://schemas.openxmlformats.org/markup-compatibility/2006" mc:Ignorable="w14">
  <w:sdt>
    <w:sdtPr>
      <w:docPartObj>
        <w:docPartGallery w:val="Page Numbers (Bottom of Page)"/>
        <w:docPartUnique w:val="1"/>
      </w:docPartObj>
    </w:sdtPr>
    <w:sdtContent>
      <w:p w14:paraId="5885B5A8">
        <w:pPr>
          <w:framePr w:wrap="none" w:hAnchor="margin" w:vAnchor="text" w:xAlign="right" w:y="1"/>
        </w:pPr>
        <w:r>
          <w:fldChar w:fldCharType="begin"/>
        </w:r>
        <w:r>
          <w:instrText>PAGE</w:instrText>
        </w:r>
        <w:r>
          <w:fldChar w:fldCharType="separate"/>
        </w:r>
        <w:r>
          <w:t>1</w:t>
        </w:r>
        <w:r>
          <w:fldChar w:fldCharType="end"/>
        </w:r>
      </w:p>
    </w:sdtContent>
  </w:sdt>
  <w:p w14:paraId="041515A7"/>
</w:ftr>
</file>

<file path=word/footer6.xml><?xml version="1.0" encoding="utf-8"?>
<w:ftr xmlns:w14="http://schemas.microsoft.com/office/word/2010/wordml" xmlns:w="http://schemas.openxmlformats.org/wordprocessingml/2006/main" xmlns:mc="http://schemas.openxmlformats.org/markup-compatibility/2006" mc:Ignorable="w14">
  <w:sdt>
    <w:sdtPr>
      <w:docPartObj>
        <w:docPartGallery w:val="Page Numbers (Bottom of Page)"/>
        <w:docPartUnique w:val="1"/>
      </w:docPartObj>
    </w:sdtPr>
    <w:sdtContent>
      <w:p w14:paraId="6186D48E">
        <w:pPr>
          <w:framePr w:wrap="none" w:hAnchor="margin" w:vAnchor="text" w:xAlign="right" w:y="1"/>
        </w:pPr>
        <w:r>
          <w:fldChar w:fldCharType="begin"/>
        </w:r>
        <w:r>
          <w:instrText>PAGE</w:instrText>
        </w:r>
        <w:r>
          <w:fldChar w:fldCharType="separate"/>
        </w:r>
        <w:r>
          <w:t>1</w:t>
        </w:r>
        <w:r>
          <w:fldChar w:fldCharType="end"/>
        </w:r>
      </w:p>
    </w:sdtContent>
  </w:sdt>
  <w:p w14:paraId="2D15148D"/>
</w:ftr>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rsids>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settings>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9" Type="http://schemas.openxmlformats.org/officeDocument/2006/relationships/footer" Target="footer6.xml" /><Relationship Id="rId5" Type="http://schemas.openxmlformats.org/officeDocument/2006/relationships/footer" Target="footer2.xml" /><Relationship Id="rId4" Type="http://schemas.openxmlformats.org/officeDocument/2006/relationships/footer" Target="footer1.xml" /><Relationship Id="rId8" Type="http://schemas.openxmlformats.org/officeDocument/2006/relationships/footer" Target="footer5.xml" /><Relationship Id="rId6" Type="http://schemas.openxmlformats.org/officeDocument/2006/relationships/footer" Target="footer3.xml" /><Relationship Id="rId3" Type="http://schemas.openxmlformats.org/officeDocument/2006/relationships/theme" Target="theme/theme1.xml" /><Relationship Id="rId2" Type="http://schemas.openxmlformats.org/officeDocument/2006/relationships/fontTable" Target="fontTable.xml" /><Relationship Id="rId1" Type="http://schemas.openxmlformats.org/officeDocument/2006/relationships/settings" Target="settings.xml" /><Relationship Id="rId7" Type="http://schemas.openxmlformats.org/officeDocument/2006/relationships/footer" Target="footer4.xml" /><Relationship Id="rId0" Type="http://schemas.openxmlformats.org/officeDocument/2006/relationships/styles" Target="styles.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2026-09-17T15:10:43Z</dcterms:created>
  <dcterms:modified xsi:type="dcterms:W3CDTF">2026-09-17T15:10:43Z</dcterms:modified>
</cp:coreProperties>
</file>