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footer7.xml" ContentType="application/vnd.openxmlformats-officedocument.wordprocessingml.footer+xml"/>
  <Override PartName="/word/footer4.xml" ContentType="application/vnd.openxmlformats-officedocument.wordprocessingml.footer+xml"/>
  <Override PartName="/word/footer8.xml" ContentType="application/vnd.openxmlformats-officedocument.wordprocessingml.footer+xml"/>
  <Override PartName="/word/document.xml" ContentType="application/vnd.openxmlformats-officedocument.wordprocessingml.document.main+xml"/>
  <Override PartName="/word/footer9.xml" ContentType="application/vnd.openxmlformats-officedocument.wordprocessingml.footer+xml"/>
  <Override PartName="/word/fontTable.xml" ContentType="application/vnd.openxmlformats-officedocument.wordprocessingml.fontTable+xml"/>
  <Override PartName="/word/footer5.xml" ContentType="application/vnd.openxmlformats-officedocument.wordprocessingml.footer+xml"/>
  <Override PartName="/word/theme/theme1.xml" ContentType="application/vnd.openxmlformats-officedocument.theme+xml"/>
  <Override PartName="/word/footer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4E001E2D">
      <w:pPr>
        <w:keepNext w:val="1"/>
        <w:keepLines w:val="1"/>
        <w:spacing w:before="100" w:beforeAutospacing="1" w:after="100" w:afterAutospacing="1"/>
        <w:outlineLvl w:val="0"/>
        <w:rPr>
          <w:kern w:val="44"/>
          <w:sz w:val="44"/>
          <w:szCs w:val="44"/>
        </w:rPr>
      </w:pPr>
      <w:r>
        <w:rPr>
          <w:rFonts w:hint="eastAsia"/>
          <w:b w:val="1"/>
          <w:sz w:val="44"/>
        </w:rPr>
        <w:t>以高效高质标准体系引领具身智能机器人公共安全应用的建议</w:t>
      </w:r>
    </w:p>
    <w:p w14:paraId="38B3BC43">
      <w:pPr>
        <w:keepNext w:val="1"/>
        <w:keepLines w:val="1"/>
        <w:spacing w:before="100" w:beforeAutospacing="1" w:after="100" w:afterAutospacing="1"/>
        <w:outlineLvl w:val="1"/>
        <w:rPr>
          <w:sz w:val="32"/>
          <w:szCs w:val="32"/>
        </w:rPr>
      </w:pPr>
      <w:r>
        <w:rPr>
          <w:rFonts w:hint="eastAsia"/>
          <w:b w:val="1"/>
          <w:sz w:val="32"/>
        </w:rPr>
        <w:t>意见收集表专家审稿意见</w:t>
      </w:r>
    </w:p>
    <w:p w14:paraId="3A79206B">
      <w:r>
        <w:rPr>
          <w:rFonts w:hint="eastAsia"/>
        </w:rPr>
        <w:t>（六领域专家组　2026年9月）</w:t>
      </w:r>
    </w:p>
    <w:p w14:paraId="68ADB3EF">
      <w:pPr>
        <w:keepNext w:val="1"/>
        <w:keepLines w:val="1"/>
        <w:spacing w:before="100" w:beforeAutospacing="1" w:after="100" w:afterAutospacing="1"/>
        <w:outlineLvl w:val="1"/>
        <w:rPr>
          <w:sz w:val="32"/>
          <w:szCs w:val="32"/>
        </w:rPr>
      </w:pPr>
      <w:r>
        <w:rPr>
          <w:rFonts w:hint="eastAsia"/>
          <w:b w:val="1"/>
          <w:sz w:val="32"/>
        </w:rPr>
        <w:t>一、审稿组织与说明</w:t>
      </w:r>
    </w:p>
    <w:p w14:paraId="2780129B">
      <w:r>
        <w:rPr>
          <w:rFonts w:hint="eastAsia"/>
        </w:rPr>
        <w:t>本次审稿由具身智能与机器人技术、人工智能与大模型安全、公共安全业务与执法规范化、无人系统与低空经济、标准化与合格评定、智慧城市与城市治理六个领域的专家组成联合审稿组，对已填写完成的意见收集表进行独立审阅与交叉会审。</w:t>
      </w:r>
    </w:p>
    <w:p w14:paraId="19D91A97">
      <w:pPr>
        <w:keepNext w:val="1"/>
        <w:keepLines w:val="1"/>
        <w:spacing w:before="100" w:beforeAutospacing="1" w:after="100" w:afterAutospacing="1"/>
        <w:outlineLvl w:val="2"/>
        <w:rPr>
          <w:sz w:val="32"/>
          <w:szCs w:val="32"/>
        </w:rPr>
      </w:pPr>
      <w:r>
        <w:rPr>
          <w:rFonts w:hint="eastAsia"/>
          <w:b w:val="1"/>
          <w:sz w:val="32"/>
        </w:rPr>
        <w:t>（一）审稿对象</w:t>
      </w:r>
    </w:p>
    <w:p w14:paraId="1C12F579">
      <w:r>
        <w:rPr>
          <w:rFonts w:hint="eastAsia"/>
        </w:rPr>
        <w:t>意见收集表“三、分维度征集条目”</w:t>
      </w:r>
      <w:r>
        <w:rPr>
          <w:rFonts w:hint="eastAsia"/>
        </w:rPr>
        <w:t>项下全部 18 条意见内容（标准体系 5 条、应用场景 4 条、技术路径 4 条、保障措施 5 条），以及附表 B《已发布、在研相关标准摸底清单》、附表 C《拟制定的标准清单》。</w:t>
      </w:r>
    </w:p>
    <w:p w14:paraId="69BBCDCE">
      <w:pPr>
        <w:keepNext w:val="1"/>
        <w:keepLines w:val="1"/>
        <w:spacing w:before="100" w:beforeAutospacing="1" w:after="100" w:afterAutospacing="1"/>
        <w:outlineLvl w:val="2"/>
        <w:rPr>
          <w:sz w:val="32"/>
          <w:szCs w:val="32"/>
        </w:rPr>
      </w:pPr>
      <w:r>
        <w:rPr>
          <w:rFonts w:hint="eastAsia"/>
          <w:b w:val="1"/>
          <w:sz w:val="32"/>
        </w:rPr>
        <w:t>（二）审稿维度与判据</w:t>
      </w:r>
    </w:p>
    <w:p w14:paraId="2AA4F267">
      <w:r>
        <w:rPr>
          <w:rFonts w:hint="eastAsia"/>
        </w:rPr>
        <w:t>审稿统一采用“深度—准确性—可操作性”</w:t>
      </w:r>
      <w:r>
        <w:rPr>
          <w:rFonts w:hint="eastAsia"/>
        </w:rPr>
        <w:t>三维度，并为每一维度设定可操作的判据，避免以主观印象代替评审结论。</w:t>
      </w:r>
    </w:p>
    <w:tbl>
      <w:tblPr>
        <w:tblW w:w="85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400"/>
        <w:gridCol w:w="3500"/>
        <w:gridCol w:w="3600"/>
      </w:tblGrid>
      <w:tr>
        <w:trPr>
          <w:tblHeader w:val="1"/>
        </w:trPr>
        <w:tc>
          <w:tcPr>
            <w:tcW w:w="1400" w:type="dxa"/>
          </w:tcPr>
          <w:p w14:paraId="5F166DA4">
            <w:pPr>
              <w:rPr>
                <w:b w:val="1"/>
                <w:bCs w:val="1"/>
              </w:rPr>
            </w:pPr>
            <w:r>
              <w:rPr>
                <w:rFonts w:hint="eastAsia"/>
                <w:b w:val="1"/>
              </w:rPr>
              <w:t>审稿维度</w:t>
            </w:r>
          </w:p>
        </w:tc>
        <w:tc>
          <w:tcPr>
            <w:tcW w:w="3500" w:type="dxa"/>
          </w:tcPr>
          <w:p w14:paraId="15F919DD">
            <w:pPr>
              <w:rPr>
                <w:b w:val="1"/>
                <w:bCs w:val="1"/>
              </w:rPr>
            </w:pPr>
            <w:r>
              <w:rPr>
                <w:rFonts w:hint="eastAsia"/>
                <w:b w:val="1"/>
              </w:rPr>
              <w:t>合格判据</w:t>
            </w:r>
          </w:p>
        </w:tc>
        <w:tc>
          <w:tcPr>
            <w:tcW w:w="3600" w:type="dxa"/>
          </w:tcPr>
          <w:p w14:paraId="25ECF14D">
            <w:pPr>
              <w:rPr>
                <w:b w:val="1"/>
                <w:bCs w:val="1"/>
              </w:rPr>
            </w:pPr>
            <w:r>
              <w:rPr>
                <w:rFonts w:hint="eastAsia"/>
                <w:b w:val="1"/>
              </w:rPr>
              <w:t>典型不合格表现</w:t>
            </w:r>
          </w:p>
        </w:tc>
      </w:tr>
      <w:tr>
        <w:trPr/>
        <w:tc>
          <w:tcPr>
            <w:tcW w:w="1400" w:type="dxa"/>
          </w:tcPr>
          <w:p w14:paraId="3CCB08C2">
            <w:r>
              <w:rPr>
                <w:rFonts w:hint="eastAsia"/>
              </w:rPr>
              <w:t>深度</w:t>
            </w:r>
          </w:p>
        </w:tc>
        <w:tc>
          <w:tcPr>
            <w:tcW w:w="3500" w:type="dxa"/>
          </w:tcPr>
          <w:p w14:paraId="05B705F3">
            <w:r>
              <w:rPr>
                <w:rFonts w:hint="eastAsia"/>
              </w:rPr>
              <w:t>触及问题的根本机制、因果关系与约束条件；给出分层、分级、分阶段的处置逻辑；有反面论证与代价分析</w:t>
            </w:r>
          </w:p>
        </w:tc>
        <w:tc>
          <w:tcPr>
            <w:tcW w:w="3600" w:type="dxa"/>
          </w:tcPr>
          <w:p w14:paraId="01DB9239">
            <w:r>
              <w:rPr>
                <w:rFonts w:hint="eastAsia"/>
              </w:rPr>
              <w:t>只罗列现象不析机理；结论停留在“应当加强”“需要重视”</w:t>
            </w:r>
            <w:r>
              <w:rPr>
                <w:rFonts w:hint="eastAsia"/>
              </w:rPr>
              <w:t>；只讲机遇不讲代价</w:t>
            </w:r>
          </w:p>
        </w:tc>
      </w:tr>
      <w:tr>
        <w:trPr/>
        <w:tc>
          <w:tcPr>
            <w:tcW w:w="1400" w:type="dxa"/>
          </w:tcPr>
          <w:p w14:paraId="376BDB50">
            <w:r>
              <w:rPr>
                <w:rFonts w:hint="eastAsia"/>
              </w:rPr>
              <w:t>准确性</w:t>
            </w:r>
          </w:p>
        </w:tc>
        <w:tc>
          <w:tcPr>
            <w:tcW w:w="3500" w:type="dxa"/>
          </w:tcPr>
          <w:p w14:paraId="61EE5F67">
            <w:r>
              <w:rPr>
                <w:rFonts w:hint="eastAsia"/>
              </w:rPr>
              <w:t>事实、数据、标准号、机构名称、政策表述可溯源；统计口径一致；引用对象的适用范围与所论问题匹配</w:t>
            </w:r>
          </w:p>
        </w:tc>
        <w:tc>
          <w:tcPr>
            <w:tcW w:w="3600" w:type="dxa"/>
          </w:tcPr>
          <w:p w14:paraId="212BFDB0">
            <w:r>
              <w:rPr>
                <w:rFonts w:hint="eastAsia"/>
              </w:rPr>
              <w:t>张冠李戴；标准号与适用对象错位；统计口径与时点不明；遗漏法定归口机构</w:t>
            </w:r>
          </w:p>
        </w:tc>
      </w:tr>
      <w:tr>
        <w:trPr/>
        <w:tc>
          <w:tcPr>
            <w:tcW w:w="1400" w:type="dxa"/>
          </w:tcPr>
          <w:p w14:paraId="755B45DB">
            <w:r>
              <w:rPr>
                <w:rFonts w:hint="eastAsia"/>
              </w:rPr>
              <w:t>可操作性</w:t>
            </w:r>
          </w:p>
        </w:tc>
        <w:tc>
          <w:tcPr>
            <w:tcW w:w="3500" w:type="dxa"/>
          </w:tcPr>
          <w:p w14:paraId="714FB36D">
            <w:r>
              <w:rPr>
                <w:rFonts w:hint="eastAsia"/>
              </w:rPr>
              <w:t>指明责任主体、时间节点、量化阈值、验收判据与资源来源；措施可被第三方复核</w:t>
            </w:r>
          </w:p>
        </w:tc>
        <w:tc>
          <w:tcPr>
            <w:tcW w:w="3600" w:type="dxa"/>
          </w:tcPr>
          <w:p w14:paraId="36ACCD5A">
            <w:r>
              <w:rPr>
                <w:rFonts w:hint="eastAsia"/>
              </w:rPr>
              <w:t>无主语、无时限、无阈值；措施无法据此编制任务书或立项论证材料</w:t>
            </w:r>
          </w:p>
        </w:tc>
      </w:tr>
    </w:tbl>
    <w:p w14:paraId="1B328CA2">
      <w:pPr>
        <w:keepNext w:val="1"/>
        <w:keepLines w:val="1"/>
        <w:spacing w:before="100" w:beforeAutospacing="1" w:after="100" w:afterAutospacing="1"/>
        <w:outlineLvl w:val="2"/>
        <w:rPr>
          <w:sz w:val="32"/>
          <w:szCs w:val="32"/>
        </w:rPr>
      </w:pPr>
      <w:r>
        <w:rPr>
          <w:rFonts w:hint="eastAsia"/>
          <w:b w:val="1"/>
          <w:sz w:val="32"/>
        </w:rPr>
        <w:t>（三）审稿方式与结论效力</w:t>
      </w:r>
    </w:p>
    <w:p w14:paraId="17ACF506">
      <w:r>
        <w:rPr>
          <w:rFonts w:hint="eastAsia"/>
        </w:rPr>
        <w:t>每位专家按主责领域对相关条目出具书面意见，再对全部条目进行交叉复核；分歧处经会审合并，形成本报告。本报告所载审阅意见已全部落实到意见收集表的修订稿中，共修订 18 条、新增建议 10 条，修改落实情况见本报告第五部分。</w:t>
      </w:r>
    </w:p>
    <w:p w14:paraId="00CF1938">
      <w:pPr>
        <w:keepNext w:val="1"/>
        <w:keepLines w:val="1"/>
        <w:spacing w:before="100" w:beforeAutospacing="1" w:after="100" w:afterAutospacing="1"/>
        <w:outlineLvl w:val="1"/>
        <w:rPr>
          <w:sz w:val="32"/>
          <w:szCs w:val="32"/>
        </w:rPr>
      </w:pPr>
      <w:r>
        <w:rPr>
          <w:rFonts w:hint="eastAsia"/>
          <w:b w:val="1"/>
          <w:sz w:val="32"/>
        </w:rPr>
        <w:t>二、专家构成与主责分工</w:t>
      </w:r>
    </w:p>
    <w:tbl>
      <w:tblPr>
        <w:tblW w:w="85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900"/>
        <w:gridCol w:w="1900"/>
        <w:gridCol w:w="3300"/>
        <w:gridCol w:w="2400"/>
      </w:tblGrid>
      <w:tr>
        <w:trPr>
          <w:tblHeader w:val="1"/>
        </w:trPr>
        <w:tc>
          <w:tcPr>
            <w:tcW w:w="900" w:type="dxa"/>
          </w:tcPr>
          <w:p w14:paraId="782F86FE">
            <w:pPr>
              <w:rPr>
                <w:b w:val="1"/>
                <w:bCs w:val="1"/>
              </w:rPr>
            </w:pPr>
            <w:r>
              <w:rPr>
                <w:rFonts w:hint="eastAsia"/>
                <w:b w:val="1"/>
              </w:rPr>
              <w:t>代号</w:t>
            </w:r>
          </w:p>
        </w:tc>
        <w:tc>
          <w:tcPr>
            <w:tcW w:w="1900" w:type="dxa"/>
          </w:tcPr>
          <w:p w14:paraId="2EDCF65B">
            <w:pPr>
              <w:rPr>
                <w:b w:val="1"/>
                <w:bCs w:val="1"/>
              </w:rPr>
            </w:pPr>
            <w:r>
              <w:rPr>
                <w:rFonts w:hint="eastAsia"/>
                <w:b w:val="1"/>
              </w:rPr>
              <w:t>专家领域</w:t>
            </w:r>
          </w:p>
        </w:tc>
        <w:tc>
          <w:tcPr>
            <w:tcW w:w="3300" w:type="dxa"/>
          </w:tcPr>
          <w:p w14:paraId="211D87D7">
            <w:pPr>
              <w:rPr>
                <w:b w:val="1"/>
                <w:bCs w:val="1"/>
              </w:rPr>
            </w:pPr>
            <w:r>
              <w:rPr>
                <w:rFonts w:hint="eastAsia"/>
                <w:b w:val="1"/>
              </w:rPr>
              <w:t>审稿关注焦点</w:t>
            </w:r>
          </w:p>
        </w:tc>
        <w:tc>
          <w:tcPr>
            <w:tcW w:w="2400" w:type="dxa"/>
          </w:tcPr>
          <w:p w14:paraId="57AC57C4">
            <w:pPr>
              <w:rPr>
                <w:b w:val="1"/>
                <w:bCs w:val="1"/>
              </w:rPr>
            </w:pPr>
            <w:r>
              <w:rPr>
                <w:rFonts w:hint="eastAsia"/>
                <w:b w:val="1"/>
              </w:rPr>
              <w:t>主责条目</w:t>
            </w:r>
          </w:p>
        </w:tc>
      </w:tr>
      <w:tr>
        <w:trPr/>
        <w:tc>
          <w:tcPr>
            <w:tcW w:w="900" w:type="dxa"/>
          </w:tcPr>
          <w:p w14:paraId="2824FC59">
            <w:r>
              <w:rPr>
                <w:rFonts w:hint="eastAsia"/>
              </w:rPr>
              <w:t>专家 A</w:t>
            </w:r>
          </w:p>
        </w:tc>
        <w:tc>
          <w:tcPr>
            <w:tcW w:w="1900" w:type="dxa"/>
          </w:tcPr>
          <w:p w14:paraId="15921E5B">
            <w:r>
              <w:rPr>
                <w:rFonts w:hint="eastAsia"/>
              </w:rPr>
              <w:t>具身智能与机器人技术</w:t>
            </w:r>
          </w:p>
        </w:tc>
        <w:tc>
          <w:tcPr>
            <w:tcW w:w="3300" w:type="dxa"/>
          </w:tcPr>
          <w:p w14:paraId="2CD7BBB5">
            <w:r>
              <w:rPr>
                <w:rFonts w:hint="eastAsia"/>
              </w:rPr>
              <w:t>本体与运动控制、感知与灵巧操作、可靠性与能源、技术成熟度判据、分级分等方法</w:t>
            </w:r>
          </w:p>
        </w:tc>
        <w:tc>
          <w:tcPr>
            <w:tcW w:w="2400" w:type="dxa"/>
          </w:tcPr>
          <w:p w14:paraId="35BEF47B">
            <w:r>
              <w:rPr>
                <w:rFonts w:hint="eastAsia"/>
              </w:rPr>
              <w:t>1-3、2-2、3-1</w:t>
            </w:r>
          </w:p>
        </w:tc>
      </w:tr>
      <w:tr>
        <w:trPr/>
        <w:tc>
          <w:tcPr>
            <w:tcW w:w="900" w:type="dxa"/>
          </w:tcPr>
          <w:p w14:paraId="09359CCF">
            <w:r>
              <w:rPr>
                <w:rFonts w:hint="eastAsia"/>
              </w:rPr>
              <w:t>专家 B</w:t>
            </w:r>
          </w:p>
        </w:tc>
        <w:tc>
          <w:tcPr>
            <w:tcW w:w="1900" w:type="dxa"/>
          </w:tcPr>
          <w:p w14:paraId="77E5394A">
            <w:r>
              <w:rPr>
                <w:rFonts w:hint="eastAsia"/>
              </w:rPr>
              <w:t>人工智能与大模型安全</w:t>
            </w:r>
          </w:p>
        </w:tc>
        <w:tc>
          <w:tcPr>
            <w:tcW w:w="3300" w:type="dxa"/>
          </w:tcPr>
          <w:p w14:paraId="37ADDF05">
            <w:r>
              <w:rPr>
                <w:rFonts w:hint="eastAsia"/>
              </w:rPr>
              <w:t>大模型可靠性与幻觉治理、对抗攻击、数据与模型治理、算法备案与安全评估</w:t>
            </w:r>
          </w:p>
        </w:tc>
        <w:tc>
          <w:tcPr>
            <w:tcW w:w="2400" w:type="dxa"/>
          </w:tcPr>
          <w:p w14:paraId="47B6F79A">
            <w:r>
              <w:rPr>
                <w:rFonts w:hint="eastAsia"/>
              </w:rPr>
              <w:t>3-1、4-3</w:t>
            </w:r>
          </w:p>
        </w:tc>
      </w:tr>
      <w:tr>
        <w:trPr/>
        <w:tc>
          <w:tcPr>
            <w:tcW w:w="900" w:type="dxa"/>
          </w:tcPr>
          <w:p w14:paraId="1B4F9F2D">
            <w:r>
              <w:rPr>
                <w:rFonts w:hint="eastAsia"/>
              </w:rPr>
              <w:t>专家 C</w:t>
            </w:r>
          </w:p>
        </w:tc>
        <w:tc>
          <w:tcPr>
            <w:tcW w:w="1900" w:type="dxa"/>
          </w:tcPr>
          <w:p w14:paraId="425EEE2A">
            <w:r>
              <w:rPr>
                <w:rFonts w:hint="eastAsia"/>
              </w:rPr>
              <w:t>公共安全业务与执法规范化</w:t>
            </w:r>
          </w:p>
        </w:tc>
        <w:tc>
          <w:tcPr>
            <w:tcW w:w="3300" w:type="dxa"/>
          </w:tcPr>
          <w:p w14:paraId="275BFA23">
            <w:r>
              <w:rPr>
                <w:rFonts w:hint="eastAsia"/>
              </w:rPr>
              <w:t>警种实战需求、执法授权与责任分担、证据规则、勤务组织与训练考核</w:t>
            </w:r>
          </w:p>
        </w:tc>
        <w:tc>
          <w:tcPr>
            <w:tcW w:w="2400" w:type="dxa"/>
          </w:tcPr>
          <w:p w14:paraId="2480528B">
            <w:r>
              <w:rPr>
                <w:rFonts w:hint="eastAsia"/>
              </w:rPr>
              <w:t>2-1、2-3、2-4、4-2</w:t>
            </w:r>
          </w:p>
        </w:tc>
      </w:tr>
      <w:tr>
        <w:trPr/>
        <w:tc>
          <w:tcPr>
            <w:tcW w:w="900" w:type="dxa"/>
          </w:tcPr>
          <w:p w14:paraId="7801B21F">
            <w:r>
              <w:rPr>
                <w:rFonts w:hint="eastAsia"/>
              </w:rPr>
              <w:t>专家 D</w:t>
            </w:r>
          </w:p>
        </w:tc>
        <w:tc>
          <w:tcPr>
            <w:tcW w:w="1900" w:type="dxa"/>
          </w:tcPr>
          <w:p w14:paraId="44A445B2">
            <w:r>
              <w:rPr>
                <w:rFonts w:hint="eastAsia"/>
              </w:rPr>
              <w:t>无人系统与低空经济</w:t>
            </w:r>
          </w:p>
        </w:tc>
        <w:tc>
          <w:tcPr>
            <w:tcW w:w="3300" w:type="dxa"/>
          </w:tcPr>
          <w:p w14:paraId="53D99640">
            <w:r>
              <w:rPr>
                <w:rFonts w:hint="eastAsia"/>
              </w:rPr>
              <w:t>空地协同、数据链与密码应用、装备定型与检测认证、异构协同</w:t>
            </w:r>
          </w:p>
        </w:tc>
        <w:tc>
          <w:tcPr>
            <w:tcW w:w="2400" w:type="dxa"/>
          </w:tcPr>
          <w:p w14:paraId="58B2AF54">
            <w:r>
              <w:rPr>
                <w:rFonts w:hint="eastAsia"/>
              </w:rPr>
              <w:t>2-2、3-2、3-3</w:t>
            </w:r>
          </w:p>
        </w:tc>
      </w:tr>
      <w:tr>
        <w:trPr/>
        <w:tc>
          <w:tcPr>
            <w:tcW w:w="900" w:type="dxa"/>
          </w:tcPr>
          <w:p w14:paraId="2F33E422">
            <w:r>
              <w:rPr>
                <w:rFonts w:hint="eastAsia"/>
              </w:rPr>
              <w:t>专家 E</w:t>
            </w:r>
          </w:p>
        </w:tc>
        <w:tc>
          <w:tcPr>
            <w:tcW w:w="1900" w:type="dxa"/>
          </w:tcPr>
          <w:p w14:paraId="5948D16D">
            <w:r>
              <w:rPr>
                <w:rFonts w:hint="eastAsia"/>
              </w:rPr>
              <w:t>标准化与合格评定</w:t>
            </w:r>
          </w:p>
        </w:tc>
        <w:tc>
          <w:tcPr>
            <w:tcW w:w="3300" w:type="dxa"/>
          </w:tcPr>
          <w:p w14:paraId="0627CCAF">
            <w:r>
              <w:rPr>
                <w:rFonts w:hint="eastAsia"/>
              </w:rPr>
              <w:t>标委会归口与分工、标准体系表与层级、检测认证制度、国际对标</w:t>
            </w:r>
          </w:p>
        </w:tc>
        <w:tc>
          <w:tcPr>
            <w:tcW w:w="2400" w:type="dxa"/>
          </w:tcPr>
          <w:p w14:paraId="04805B57">
            <w:r>
              <w:rPr>
                <w:rFonts w:hint="eastAsia"/>
              </w:rPr>
              <w:t>1-2、1-4、1-5、4-1</w:t>
            </w:r>
          </w:p>
        </w:tc>
      </w:tr>
      <w:tr>
        <w:trPr/>
        <w:tc>
          <w:tcPr>
            <w:tcW w:w="900" w:type="dxa"/>
          </w:tcPr>
          <w:p w14:paraId="5B01E8C3">
            <w:r>
              <w:rPr>
                <w:rFonts w:hint="eastAsia"/>
              </w:rPr>
              <w:t>专家 F</w:t>
            </w:r>
          </w:p>
        </w:tc>
        <w:tc>
          <w:tcPr>
            <w:tcW w:w="1900" w:type="dxa"/>
          </w:tcPr>
          <w:p w14:paraId="24DCCA6E">
            <w:r>
              <w:rPr>
                <w:rFonts w:hint="eastAsia"/>
              </w:rPr>
              <w:t>智慧城市与城市治理</w:t>
            </w:r>
          </w:p>
        </w:tc>
        <w:tc>
          <w:tcPr>
            <w:tcW w:w="3300" w:type="dxa"/>
          </w:tcPr>
          <w:p w14:paraId="32498080">
            <w:r>
              <w:rPr>
                <w:rFonts w:hint="eastAsia"/>
              </w:rPr>
              <w:t>跨部门协同、基础设施统筹、规模化推广节奏、全寿命周期成本</w:t>
            </w:r>
          </w:p>
        </w:tc>
        <w:tc>
          <w:tcPr>
            <w:tcW w:w="2400" w:type="dxa"/>
          </w:tcPr>
          <w:p w14:paraId="3BAEE7F4">
            <w:r>
              <w:rPr>
                <w:rFonts w:hint="eastAsia"/>
              </w:rPr>
              <w:t>3-4、4-4、4-5</w:t>
            </w:r>
          </w:p>
        </w:tc>
      </w:tr>
    </w:tbl>
    <w:p w14:paraId="7C567EEA">
      <w:pPr>
        <w:keepNext w:val="1"/>
        <w:keepLines w:val="1"/>
        <w:spacing w:before="100" w:beforeAutospacing="1" w:after="100" w:afterAutospacing="1"/>
        <w:outlineLvl w:val="1"/>
        <w:rPr>
          <w:sz w:val="32"/>
          <w:szCs w:val="32"/>
        </w:rPr>
      </w:pPr>
      <w:r>
        <w:rPr>
          <w:rFonts w:hint="eastAsia"/>
          <w:b w:val="1"/>
          <w:sz w:val="32"/>
        </w:rPr>
        <w:t>三、总体评价与共性问题</w:t>
      </w:r>
    </w:p>
    <w:p w14:paraId="7280BE4F">
      <w:pPr>
        <w:keepNext w:val="1"/>
        <w:keepLines w:val="1"/>
        <w:spacing w:before="100" w:beforeAutospacing="1" w:after="100" w:afterAutospacing="1"/>
        <w:outlineLvl w:val="2"/>
        <w:rPr>
          <w:sz w:val="32"/>
          <w:szCs w:val="32"/>
        </w:rPr>
      </w:pPr>
      <w:r>
        <w:rPr>
          <w:rFonts w:hint="eastAsia"/>
          <w:b w:val="1"/>
          <w:sz w:val="32"/>
        </w:rPr>
        <w:t>（一）总体判断</w:t>
      </w:r>
    </w:p>
    <w:p w14:paraId="094B9F20">
      <w:r>
        <w:rPr>
          <w:rFonts w:hint="eastAsia"/>
        </w:rPr>
        <w:t>现有稿件结构完整，四个维度覆盖到位，且提出了若干有见地的判断——增设“评价标准”</w:t>
      </w:r>
      <w:r>
        <w:rPr>
          <w:rFonts w:hint="eastAsia"/>
        </w:rPr>
        <w:t>层级、自主等级与勤务授权挂钩、实验室与实战“双轨验证”</w:t>
      </w:r>
      <w:r>
        <w:rPr>
          <w:rFonts w:hint="eastAsia"/>
        </w:rPr>
        <w:t>、四维效能评估、以标准倒逼端侧算力优化等，均属有价值的观点，</w:t>
      </w:r>
      <w:r>
        <w:rPr>
          <w:rFonts w:hint="eastAsia"/>
          <w:b w:val="1"/>
        </w:rPr>
        <w:t>不属于需要推倒重来的稿件</w:t>
      </w:r>
      <w:r>
        <w:rPr>
          <w:rFonts w:hint="eastAsia"/>
        </w:rPr>
        <w:t>。</w:t>
      </w:r>
    </w:p>
    <w:p w14:paraId="51C8CF78">
      <w:r>
        <w:rPr>
          <w:rFonts w:hint="eastAsia"/>
        </w:rPr>
        <w:t>但稿件整体处于</w:t>
      </w:r>
      <w:r>
        <w:rPr>
          <w:rFonts w:hint="eastAsia"/>
          <w:b w:val="1"/>
        </w:rPr>
        <w:t>“框架合格、内容不足”</w:t>
      </w:r>
      <w:r>
        <w:rPr>
          <w:rFonts w:hint="eastAsia"/>
        </w:rPr>
        <w:t>的状态：观点的正确性尚可，支撑观点的依据、阈值和抓手普遍缺位，主要表现为</w:t>
      </w:r>
      <w:r>
        <w:rPr>
          <w:rFonts w:hint="eastAsia"/>
          <w:b w:val="1"/>
        </w:rPr>
        <w:t>引证精度不够、量化依据缺失、责任主体与时限缺位</w:t>
      </w:r>
      <w:r>
        <w:rPr>
          <w:rFonts w:hint="eastAsia"/>
        </w:rPr>
        <w:t>，尚未达到可直接支撑标准项目立项论证与任务书编制的深度。经会审，共归纳出八项共性问题。</w:t>
      </w:r>
    </w:p>
    <w:p w14:paraId="0A2504C5">
      <w:pPr>
        <w:keepNext w:val="1"/>
        <w:keepLines w:val="1"/>
        <w:spacing w:before="100" w:beforeAutospacing="1" w:after="100" w:afterAutospacing="1"/>
        <w:outlineLvl w:val="2"/>
        <w:rPr>
          <w:sz w:val="32"/>
          <w:szCs w:val="32"/>
        </w:rPr>
      </w:pPr>
      <w:r>
        <w:rPr>
          <w:rFonts w:hint="eastAsia"/>
          <w:b w:val="1"/>
          <w:sz w:val="32"/>
        </w:rPr>
        <w:t>（二）共性问题一：引证对象错位（准确性问题）</w:t>
      </w:r>
    </w:p>
    <w:p w14:paraId="7E808D62">
      <w:r>
        <w:rPr>
          <w:rFonts w:hint="eastAsia"/>
        </w:rPr>
        <w:t>涉及 1-3、3-2、3-3 三条，共 3 处。</w:t>
      </w:r>
    </w:p>
    <w:p w14:paraId="6D8092F5">
      <w:r>
        <w:rPr>
          <w:rFonts w:hint="eastAsia"/>
        </w:rPr>
        <w:t>（1）条目 1-3 以“GB 45438-2025 生成内容标识”</w:t>
      </w:r>
      <w:r>
        <w:rPr>
          <w:rFonts w:hint="eastAsia"/>
        </w:rPr>
        <w:t>支撑“机身唯一标识＋算法／模型版本标识”</w:t>
      </w:r>
      <w:r>
        <w:rPr>
          <w:rFonts w:hint="eastAsia"/>
        </w:rPr>
        <w:t>，属引证错位。GB 45438-2025《网络安全技术 人工智能生成合成内容标识方法》为强制性国家标准（2025年2月28日发布、2025年9月1日实施，中央网信办归口、TC260 执行），规范的是</w:t>
      </w:r>
      <w:r>
        <w:rPr>
          <w:rFonts w:hint="eastAsia"/>
          <w:b w:val="1"/>
        </w:rPr>
        <w:t>人工智能生成合成内容</w:t>
      </w:r>
      <w:r>
        <w:rPr>
          <w:rFonts w:hint="eastAsia"/>
        </w:rPr>
        <w:t>（文本、图片、音频、视频、虚拟场景、交互界面）的显式与隐式标识，适用对象是</w:t>
      </w:r>
      <w:r>
        <w:rPr>
          <w:rFonts w:hint="eastAsia"/>
          <w:b w:val="1"/>
        </w:rPr>
        <w:t>生成合成服务提供者与内容传播服务提供者</w:t>
      </w:r>
      <w:r>
        <w:rPr>
          <w:rFonts w:hint="eastAsia"/>
        </w:rPr>
        <w:t>，与设备唯一标识不是同一范畴。设备标识的正确依据是 GB/T 41300-2022《民用无人机唯一产品识别码》（20 位 = 制造商代码 4 位＋产品型号代码 4 位＋序列号 12 位），配套《无人驾驶航空器飞行管理暂行条例》第九条及《民用无人驾驶航空器生产管理若干规定》的备案要求；GB 42590-2023 第 4.16.1 条亦以规范性引用方式指向该标准的第 5 章。</w:t>
      </w:r>
    </w:p>
    <w:p w14:paraId="794A42EA">
      <w:r>
        <w:rPr>
          <w:rFonts w:hint="eastAsia"/>
          <w:b w:val="1"/>
        </w:rPr>
        <w:t>修改价值</w:t>
      </w:r>
      <w:r>
        <w:rPr>
          <w:rFonts w:hint="eastAsia"/>
        </w:rPr>
        <w:t>：这一引用用错地方很可惜——GB 45438-2025 在</w:t>
      </w:r>
      <w:r>
        <w:rPr>
          <w:rFonts w:hint="eastAsia"/>
          <w:b w:val="1"/>
        </w:rPr>
        <w:t>另一个场景</w:t>
      </w:r>
      <w:r>
        <w:rPr>
          <w:rFonts w:hint="eastAsia"/>
        </w:rPr>
        <w:t>恰恰高度适用：机器人对外播报的合成语音、自动生成的警情分析文本、合成的图像或视频资料、交互界面提示，都落在该标准的适用范围内。修订稿已将两者分列为“设备标识”</w:t>
      </w:r>
      <w:r>
        <w:rPr>
          <w:rFonts w:hint="eastAsia"/>
        </w:rPr>
        <w:t>与“输出内容标识”</w:t>
      </w:r>
      <w:r>
        <w:rPr>
          <w:rFonts w:hint="eastAsia"/>
        </w:rPr>
        <w:t>两条要求。</w:t>
      </w:r>
    </w:p>
    <w:p w14:paraId="058FA577">
      <w:r>
        <w:rPr>
          <w:rFonts w:hint="eastAsia"/>
        </w:rPr>
        <w:t>（2）条目 3-2 建议“机器人软件层兼容 ROS 2 接口约定”</w:t>
      </w:r>
      <w:r>
        <w:rPr>
          <w:rFonts w:hint="eastAsia"/>
        </w:rPr>
        <w:t>，未评估开源组件进入公安专网体系的安全审查与供应链风险。ROS 2 及底层 DDS 属社区开源规范，不具备公安专网所需的自主可控与安全认证条件。</w:t>
      </w:r>
    </w:p>
    <w:p w14:paraId="2577D0C1">
      <w:r>
        <w:rPr>
          <w:rFonts w:hint="eastAsia"/>
        </w:rPr>
        <w:t>（3）条目 3-3 以“CCC 认证”</w:t>
      </w:r>
      <w:r>
        <w:rPr>
          <w:rFonts w:hint="eastAsia"/>
        </w:rPr>
        <w:t>类比警用装备准入，属制度错位。警用装备不走 CCC 认证路径，其准入执行的是装备定型与检测制度。以错误类比支撑论证，会削弱整条意见的可信度。</w:t>
      </w:r>
    </w:p>
    <w:p w14:paraId="6B4A2F1F">
      <w:pPr>
        <w:keepNext w:val="1"/>
        <w:keepLines w:val="1"/>
        <w:spacing w:before="100" w:beforeAutospacing="1" w:after="100" w:afterAutospacing="1"/>
        <w:outlineLvl w:val="2"/>
        <w:rPr>
          <w:sz w:val="32"/>
          <w:szCs w:val="32"/>
        </w:rPr>
      </w:pPr>
      <w:r>
        <w:rPr>
          <w:rFonts w:hint="eastAsia"/>
          <w:b w:val="1"/>
          <w:sz w:val="32"/>
        </w:rPr>
        <w:t>（三）共性问题二：遗漏本领域法定归口机构（准确性问题）</w:t>
      </w:r>
    </w:p>
    <w:p w14:paraId="2D07F3C2">
      <w:r>
        <w:rPr>
          <w:rFonts w:hint="eastAsia"/>
        </w:rPr>
        <w:t>涉及 1-2、4-1、1-5 三条。现有稿件把 MIIT/TC8 作为唯一对标单位，遗漏了本领域的完整归口体系：</w:t>
      </w:r>
    </w:p>
    <w:tbl>
      <w:tblPr>
        <w:tblW w:w="85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00"/>
        <w:gridCol w:w="2400"/>
        <w:gridCol w:w="2200"/>
        <w:gridCol w:w="2300"/>
      </w:tblGrid>
      <w:tr>
        <w:trPr>
          <w:tblHeader w:val="1"/>
        </w:trPr>
        <w:tc>
          <w:tcPr>
            <w:tcW w:w="1600" w:type="dxa"/>
          </w:tcPr>
          <w:p w14:paraId="5876684D">
            <w:pPr>
              <w:rPr>
                <w:b w:val="1"/>
                <w:bCs w:val="1"/>
              </w:rPr>
            </w:pPr>
            <w:r>
              <w:rPr>
                <w:rFonts w:hint="eastAsia"/>
                <w:b w:val="1"/>
              </w:rPr>
              <w:t>归口机构</w:t>
            </w:r>
          </w:p>
        </w:tc>
        <w:tc>
          <w:tcPr>
            <w:tcW w:w="2400" w:type="dxa"/>
          </w:tcPr>
          <w:p w14:paraId="5326CA2F">
            <w:pPr>
              <w:rPr>
                <w:b w:val="1"/>
                <w:bCs w:val="1"/>
              </w:rPr>
            </w:pPr>
            <w:r>
              <w:rPr>
                <w:rFonts w:hint="eastAsia"/>
                <w:b w:val="1"/>
              </w:rPr>
              <w:t>全称</w:t>
            </w:r>
          </w:p>
        </w:tc>
        <w:tc>
          <w:tcPr>
            <w:tcW w:w="2200" w:type="dxa"/>
          </w:tcPr>
          <w:p w14:paraId="632D02A3">
            <w:pPr>
              <w:rPr>
                <w:b w:val="1"/>
                <w:bCs w:val="1"/>
              </w:rPr>
            </w:pPr>
            <w:r>
              <w:rPr>
                <w:rFonts w:hint="eastAsia"/>
                <w:b w:val="1"/>
              </w:rPr>
              <w:t>秘书处承担单位</w:t>
            </w:r>
          </w:p>
        </w:tc>
        <w:tc>
          <w:tcPr>
            <w:tcW w:w="2300" w:type="dxa"/>
          </w:tcPr>
          <w:p w14:paraId="73015D37">
            <w:pPr>
              <w:rPr>
                <w:b w:val="1"/>
                <w:bCs w:val="1"/>
              </w:rPr>
            </w:pPr>
            <w:r>
              <w:rPr>
                <w:rFonts w:hint="eastAsia"/>
                <w:b w:val="1"/>
              </w:rPr>
              <w:t>与本议题的关系</w:t>
            </w:r>
          </w:p>
        </w:tc>
      </w:tr>
      <w:tr>
        <w:trPr/>
        <w:tc>
          <w:tcPr>
            <w:tcW w:w="1600" w:type="dxa"/>
          </w:tcPr>
          <w:p w14:paraId="64930101">
            <w:r>
              <w:t>SAC/TC561</w:t>
            </w:r>
          </w:p>
        </w:tc>
        <w:tc>
          <w:tcPr>
            <w:tcW w:w="2400" w:type="dxa"/>
          </w:tcPr>
          <w:p w14:paraId="4100BF78">
            <w:r>
              <w:rPr>
                <w:rFonts w:hint="eastAsia"/>
              </w:rPr>
              <w:t>全国警用装备标准化技术委员会</w:t>
            </w:r>
          </w:p>
        </w:tc>
        <w:tc>
          <w:tcPr>
            <w:tcW w:w="2200" w:type="dxa"/>
          </w:tcPr>
          <w:p w14:paraId="775DCFE9">
            <w:r>
              <w:rPr>
                <w:rFonts w:hint="eastAsia"/>
              </w:rPr>
              <w:t>公安部第一研究所</w:t>
            </w:r>
          </w:p>
        </w:tc>
        <w:tc>
          <w:tcPr>
            <w:tcW w:w="2300" w:type="dxa"/>
          </w:tcPr>
          <w:p w14:paraId="5DD8B5E9">
            <w:r>
              <w:rPr>
                <w:rFonts w:hint="eastAsia"/>
              </w:rPr>
              <w:t>归口范围明确涵盖“警用无人机和机器人”</w:t>
            </w:r>
            <w:r>
              <w:rPr>
                <w:rFonts w:hint="eastAsia"/>
              </w:rPr>
              <w:t>，是本体系的法定归口单位</w:t>
            </w:r>
          </w:p>
        </w:tc>
      </w:tr>
      <w:tr>
        <w:trPr/>
        <w:tc>
          <w:tcPr>
            <w:tcW w:w="1600" w:type="dxa"/>
          </w:tcPr>
          <w:p w14:paraId="477A602F">
            <w:r>
              <w:t>SAC/TC100</w:t>
            </w:r>
          </w:p>
        </w:tc>
        <w:tc>
          <w:tcPr>
            <w:tcW w:w="2400" w:type="dxa"/>
          </w:tcPr>
          <w:p w14:paraId="1B133BF6">
            <w:r>
              <w:rPr>
                <w:rFonts w:hint="eastAsia"/>
              </w:rPr>
              <w:t>全国安全防范报警系统标准化技术委员会</w:t>
            </w:r>
          </w:p>
        </w:tc>
        <w:tc>
          <w:tcPr>
            <w:tcW w:w="2200" w:type="dxa"/>
          </w:tcPr>
          <w:p w14:paraId="48C8AB19">
            <w:r>
              <w:rPr>
                <w:rFonts w:hint="eastAsia"/>
              </w:rPr>
              <w:t>公安部第一研究所</w:t>
            </w:r>
          </w:p>
        </w:tc>
        <w:tc>
          <w:tcPr>
            <w:tcW w:w="2300" w:type="dxa"/>
          </w:tcPr>
          <w:p w14:paraId="03CEEEEE">
            <w:r>
              <w:rPr>
                <w:rFonts w:hint="eastAsia"/>
              </w:rPr>
              <w:t>归口视频监控、出入口控制、防爆安检、安防工程、实体防护、人体生物特征识别应用</w:t>
            </w:r>
          </w:p>
        </w:tc>
      </w:tr>
      <w:tr>
        <w:trPr/>
        <w:tc>
          <w:tcPr>
            <w:tcW w:w="1600" w:type="dxa"/>
          </w:tcPr>
          <w:p w14:paraId="6F486FF6">
            <w:r>
              <w:t>SAC/TC100/SC2</w:t>
            </w:r>
          </w:p>
        </w:tc>
        <w:tc>
          <w:tcPr>
            <w:tcW w:w="2400" w:type="dxa"/>
          </w:tcPr>
          <w:p w14:paraId="0F331C9E">
            <w:r>
              <w:rPr>
                <w:rFonts w:hint="eastAsia"/>
              </w:rPr>
              <w:t>人体生物特征识别应用分技术委员会</w:t>
            </w:r>
          </w:p>
        </w:tc>
        <w:tc>
          <w:tcPr>
            <w:tcW w:w="2200" w:type="dxa"/>
          </w:tcPr>
          <w:p w14:paraId="3148E1B9">
            <w:r>
              <w:rPr>
                <w:rFonts w:hint="eastAsia"/>
              </w:rPr>
              <w:t>公安部第一研究所</w:t>
            </w:r>
          </w:p>
        </w:tc>
        <w:tc>
          <w:tcPr>
            <w:tcW w:w="2300" w:type="dxa"/>
          </w:tcPr>
          <w:p w14:paraId="1A4E1BB5">
            <w:r>
              <w:rPr>
                <w:rFonts w:hint="eastAsia"/>
              </w:rPr>
              <w:t>人脸、声纹、步态等多模态生物识别应用，与机器人感知能力直接相关</w:t>
            </w:r>
          </w:p>
        </w:tc>
      </w:tr>
      <w:tr>
        <w:trPr/>
        <w:tc>
          <w:tcPr>
            <w:tcW w:w="1600" w:type="dxa"/>
          </w:tcPr>
          <w:p w14:paraId="012C3B62">
            <w:r>
              <w:t>SAC/TC577</w:t>
            </w:r>
          </w:p>
        </w:tc>
        <w:tc>
          <w:tcPr>
            <w:tcW w:w="2400" w:type="dxa"/>
          </w:tcPr>
          <w:p w14:paraId="19932D81">
            <w:r>
              <w:rPr>
                <w:rFonts w:hint="eastAsia"/>
              </w:rPr>
              <w:t>全国爆炸物品公共安全管理标准化技术委员会</w:t>
            </w:r>
          </w:p>
        </w:tc>
        <w:tc>
          <w:tcPr>
            <w:tcW w:w="2200" w:type="dxa"/>
          </w:tcPr>
          <w:p w14:paraId="484BBD91">
            <w:r>
              <w:rPr>
                <w:rFonts w:hint="eastAsia"/>
              </w:rPr>
              <w:t>公安部第一研究所</w:t>
            </w:r>
          </w:p>
        </w:tc>
        <w:tc>
          <w:tcPr>
            <w:tcW w:w="2300" w:type="dxa"/>
          </w:tcPr>
          <w:p w14:paraId="1511862D">
            <w:r>
              <w:rPr>
                <w:rFonts w:hint="eastAsia"/>
              </w:rPr>
              <w:t>排爆处置场景的直接归口单位</w:t>
            </w:r>
          </w:p>
        </w:tc>
      </w:tr>
      <w:tr>
        <w:trPr/>
        <w:tc>
          <w:tcPr>
            <w:tcW w:w="1600" w:type="dxa"/>
          </w:tcPr>
          <w:p w14:paraId="25647FD5">
            <w:r>
              <w:rPr>
                <w:rFonts w:hint="eastAsia"/>
              </w:rPr>
              <w:t>公安部信标委</w:t>
            </w:r>
          </w:p>
        </w:tc>
        <w:tc>
          <w:tcPr>
            <w:tcW w:w="2400" w:type="dxa"/>
          </w:tcPr>
          <w:p w14:paraId="1BAC44DF">
            <w:r>
              <w:rPr>
                <w:rFonts w:hint="eastAsia"/>
              </w:rPr>
              <w:t>公安部计算机与信息处理标准化技术委员会</w:t>
            </w:r>
          </w:p>
        </w:tc>
        <w:tc>
          <w:tcPr>
            <w:tcW w:w="2200" w:type="dxa"/>
          </w:tcPr>
          <w:p w14:paraId="32B68D6D">
            <w:r>
              <w:rPr>
                <w:rFonts w:hint="eastAsia"/>
              </w:rPr>
              <w:t>公安部</w:t>
            </w:r>
          </w:p>
        </w:tc>
        <w:tc>
          <w:tcPr>
            <w:tcW w:w="2300" w:type="dxa"/>
          </w:tcPr>
          <w:p w14:paraId="1C83F08D">
            <w:r>
              <w:rPr>
                <w:rFonts w:hint="eastAsia"/>
              </w:rPr>
              <w:t>指挥信息系统、数据接口、警用地理信息，对应 3-2 的接口规范</w:t>
            </w:r>
          </w:p>
        </w:tc>
      </w:tr>
      <w:tr>
        <w:trPr/>
        <w:tc>
          <w:tcPr>
            <w:tcW w:w="1600" w:type="dxa"/>
          </w:tcPr>
          <w:p w14:paraId="2F729BE5">
            <w:r>
              <w:rPr>
                <w:rFonts w:hint="eastAsia"/>
              </w:rPr>
              <w:t>公安部通标委</w:t>
            </w:r>
          </w:p>
        </w:tc>
        <w:tc>
          <w:tcPr>
            <w:tcW w:w="2400" w:type="dxa"/>
          </w:tcPr>
          <w:p w14:paraId="69A5BCD2">
            <w:r>
              <w:rPr>
                <w:rFonts w:hint="eastAsia"/>
              </w:rPr>
              <w:t>公安部通信标准化技术委员会</w:t>
            </w:r>
          </w:p>
        </w:tc>
        <w:tc>
          <w:tcPr>
            <w:tcW w:w="2200" w:type="dxa"/>
          </w:tcPr>
          <w:p w14:paraId="00D8B2CF">
            <w:r>
              <w:rPr>
                <w:rFonts w:hint="eastAsia"/>
              </w:rPr>
              <w:t>公安部</w:t>
            </w:r>
          </w:p>
        </w:tc>
        <w:tc>
          <w:tcPr>
            <w:tcW w:w="2300" w:type="dxa"/>
          </w:tcPr>
          <w:p w14:paraId="643F5458">
            <w:r>
              <w:rPr>
                <w:rFonts w:hint="eastAsia"/>
              </w:rPr>
              <w:t>警用数字集群、移动警务、无线通信承载</w:t>
            </w:r>
          </w:p>
        </w:tc>
      </w:tr>
      <w:tr>
        <w:trPr/>
        <w:tc>
          <w:tcPr>
            <w:tcW w:w="1600" w:type="dxa"/>
          </w:tcPr>
          <w:p w14:paraId="4B9D269E">
            <w:r>
              <w:t>SAC/TC591</w:t>
            </w:r>
          </w:p>
        </w:tc>
        <w:tc>
          <w:tcPr>
            <w:tcW w:w="2400" w:type="dxa"/>
          </w:tcPr>
          <w:p w14:paraId="14CA1F01">
            <w:r>
              <w:rPr>
                <w:rFonts w:hint="eastAsia"/>
              </w:rPr>
              <w:t>全国机器人标准化技术委员会</w:t>
            </w:r>
          </w:p>
        </w:tc>
        <w:tc>
          <w:tcPr>
            <w:tcW w:w="2200" w:type="dxa"/>
          </w:tcPr>
          <w:p w14:paraId="34DAAE1C">
            <w:r>
              <w:rPr>
                <w:rFonts w:hint="eastAsia"/>
              </w:rPr>
              <w:t>北京机械工业自动化研究所有限公司</w:t>
            </w:r>
          </w:p>
        </w:tc>
        <w:tc>
          <w:tcPr>
            <w:tcW w:w="2300" w:type="dxa"/>
          </w:tcPr>
          <w:p w14:paraId="537E03B4">
            <w:r>
              <w:rPr>
                <w:rFonts w:hint="eastAsia"/>
              </w:rPr>
              <w:t>对口 ISO/TC299，2025 年 5 月已设立机器人检测分技术委员会，另有机器人算力系统工作组</w:t>
            </w:r>
          </w:p>
        </w:tc>
      </w:tr>
      <w:tr>
        <w:trPr/>
        <w:tc>
          <w:tcPr>
            <w:tcW w:w="1600" w:type="dxa"/>
          </w:tcPr>
          <w:p w14:paraId="24EAB30C">
            <w:r>
              <w:t>MIIT/TC8</w:t>
            </w:r>
          </w:p>
        </w:tc>
        <w:tc>
          <w:tcPr>
            <w:tcW w:w="2400" w:type="dxa"/>
          </w:tcPr>
          <w:p w14:paraId="5FF4D9A7">
            <w:r>
              <w:rPr>
                <w:rFonts w:hint="eastAsia"/>
              </w:rPr>
              <w:t>工信部人形机器人与具身智能标准化技术委员会</w:t>
            </w:r>
          </w:p>
        </w:tc>
        <w:tc>
          <w:tcPr>
            <w:tcW w:w="2200" w:type="dxa"/>
          </w:tcPr>
          <w:p w14:paraId="76EA9159">
            <w:r>
              <w:rPr>
                <w:rFonts w:hint="eastAsia"/>
              </w:rPr>
              <w:t>工信部</w:t>
            </w:r>
          </w:p>
        </w:tc>
        <w:tc>
          <w:tcPr>
            <w:tcW w:w="2300" w:type="dxa"/>
          </w:tcPr>
          <w:p w14:paraId="06F528CD">
            <w:r>
              <w:rPr>
                <w:rFonts w:hint="eastAsia"/>
              </w:rPr>
              <w:t>产业侧通用要求</w:t>
            </w:r>
          </w:p>
        </w:tc>
      </w:tr>
    </w:tbl>
    <w:p w14:paraId="033C64E2">
      <w:r>
        <w:rPr>
          <w:rFonts w:hint="eastAsia"/>
          <w:b w:val="1"/>
        </w:rPr>
        <w:t>为什么这很重要</w:t>
      </w:r>
      <w:r>
        <w:rPr>
          <w:rFonts w:hint="eastAsia"/>
        </w:rPr>
        <w:t>：条目 4-1 的核心建议是“明确组织协调与工作机制”</w:t>
      </w:r>
      <w:r>
        <w:rPr>
          <w:rFonts w:hint="eastAsia"/>
        </w:rPr>
        <w:t>，而机制设计的前提是弄清既有归口格局。稿件在未厘清 TC561、TC100、TC577、公安部信标委四家分工的情况下，直接给出“SAC/TC561 归口＋与 TC8 联络”</w:t>
      </w:r>
      <w:r>
        <w:rPr>
          <w:rFonts w:hint="eastAsia"/>
        </w:rPr>
        <w:t>的方案，属于方案骨架成立但论证不完整——</w:t>
      </w:r>
      <w:r>
        <w:rPr>
          <w:rFonts w:hint="eastAsia"/>
          <w:b w:val="1"/>
        </w:rPr>
        <w:t>既没有说清为什么是 TC561，也没有说清 TC561 与其余三家的边界</w:t>
      </w:r>
      <w:r>
        <w:rPr>
          <w:rFonts w:hint="eastAsia"/>
        </w:rPr>
        <w:t>，一旦进入实质讨论容易被质疑。</w:t>
      </w:r>
    </w:p>
    <w:p w14:paraId="55DCE2B7">
      <w:pPr>
        <w:keepNext w:val="1"/>
        <w:keepLines w:val="1"/>
        <w:spacing w:before="100" w:beforeAutospacing="1" w:after="100" w:afterAutospacing="1"/>
        <w:outlineLvl w:val="2"/>
        <w:rPr>
          <w:sz w:val="32"/>
          <w:szCs w:val="32"/>
        </w:rPr>
      </w:pPr>
      <w:r>
        <w:rPr>
          <w:rFonts w:hint="eastAsia"/>
          <w:b w:val="1"/>
          <w:sz w:val="32"/>
        </w:rPr>
        <w:t>（四）共性问题三：量化指标无来源、无口径（准确性问题）</w:t>
      </w:r>
    </w:p>
    <w:p w14:paraId="10134520">
      <w:r>
        <w:rPr>
          <w:rFonts w:hint="eastAsia"/>
        </w:rPr>
        <w:t>涉及 1-1、2-2 两条。</w:t>
      </w:r>
    </w:p>
    <w:p w14:paraId="0680FE16">
      <w:r>
        <w:rPr>
          <w:rFonts w:hint="eastAsia"/>
        </w:rPr>
        <w:t>（1）条目 1-1 的“全国人形机器人整机企业已超 140 家、出货约 1.44 万台（占全球 84.7%）”</w:t>
      </w:r>
      <w:r>
        <w:rPr>
          <w:rFonts w:hint="eastAsia"/>
        </w:rPr>
        <w:t>未标注来源机构、统计时点与统计口径（是否含轮式与复合式、是否含科研样机与试点机）。该组数据在多份产业报告间存在口径差异，在同一段落内混用不同来源的数据，会使“产业成熟度到达临界点”</w:t>
      </w:r>
      <w:r>
        <w:rPr>
          <w:rFonts w:hint="eastAsia"/>
        </w:rPr>
        <w:t>这一判断失去支撑力。</w:t>
      </w:r>
    </w:p>
    <w:p w14:paraId="41914E4A">
      <w:r>
        <w:rPr>
          <w:rFonts w:hint="eastAsia"/>
        </w:rPr>
        <w:t>（2）条目 2-2 集中列出的“识别准确率≥95%、误报率≤2 次/小时·路、时延≤2 秒、续航≥8 小时、MTBF≥2000 小时、IP54、-20℃～+50℃”</w:t>
      </w:r>
      <w:r>
        <w:rPr>
          <w:rFonts w:hint="eastAsia"/>
        </w:rPr>
        <w:t>六项指标，全部未说明取值来自推导、行业实测还是既有标准。其中两处问题较突出：</w:t>
      </w:r>
    </w:p>
    <w:p w14:paraId="084E33AF">
      <w:pPr>
        <w:numPr>
          <w:ilvl w:val="0"/>
          <w:numId w:val="1"/>
        </w:numPr>
      </w:pPr>
      <w:r>
        <w:rPr>
          <w:rFonts w:hint="eastAsia"/>
        </w:rPr>
        <w:t>“误报率≤2 次/小时·路”</w:t>
      </w:r>
      <w:r>
        <w:rPr>
          <w:rFonts w:hint="eastAsia"/>
        </w:rPr>
        <w:t>的分母口径不明——“每路视频流”</w:t>
      </w:r>
      <w:r>
        <w:rPr>
          <w:rFonts w:hint="eastAsia"/>
        </w:rPr>
        <w:t>与“每台·每班次”</w:t>
      </w:r>
      <w:r>
        <w:rPr>
          <w:rFonts w:hint="eastAsia"/>
        </w:rPr>
        <w:t>是不同量纲，按前者要求，多目机器人（8 目）每小时容许 16 次误报，指标形同虚设；不明确口径则指标不可检验。</w:t>
      </w:r>
    </w:p>
    <w:p w14:paraId="4558723F">
      <w:pPr>
        <w:numPr>
          <w:ilvl w:val="0"/>
          <w:numId w:val="1"/>
        </w:numPr>
      </w:pPr>
      <w:r>
        <w:t>“IP54”</w:t>
      </w:r>
      <w:r>
        <w:rPr>
          <w:rFonts w:hint="eastAsia"/>
        </w:rPr>
        <w:t>低于警用室外装备的通行做法。IP54 仅防溅水，不具备防喷水能力，无法支撑雨雪、涉水场景；建议按使用环境分区设定，室外装备参考要求不低于 IP65，具体值须与既有警用装备标准核对后确定。</w:t>
      </w:r>
    </w:p>
    <w:p w14:paraId="7502EB98">
      <w:pPr>
        <w:keepNext w:val="1"/>
        <w:keepLines w:val="1"/>
        <w:spacing w:before="100" w:beforeAutospacing="1" w:after="100" w:afterAutospacing="1"/>
        <w:outlineLvl w:val="2"/>
        <w:rPr>
          <w:sz w:val="32"/>
          <w:szCs w:val="32"/>
        </w:rPr>
      </w:pPr>
      <w:r>
        <w:rPr>
          <w:rFonts w:hint="eastAsia"/>
          <w:b w:val="1"/>
          <w:sz w:val="32"/>
        </w:rPr>
        <w:t>（五）共性问题四：缺少反面论证与代价测算（深度问题）</w:t>
      </w:r>
    </w:p>
    <w:p w14:paraId="7B2374D4">
      <w:r>
        <w:rPr>
          <w:rFonts w:hint="eastAsia"/>
        </w:rPr>
        <w:t>涉及 1-1、1-4、2-4、4-5 四条。全篇以“重要性—必要性—紧迫性”</w:t>
      </w:r>
      <w:r>
        <w:rPr>
          <w:rFonts w:hint="eastAsia"/>
        </w:rPr>
        <w:t>的正面论证展开，没有回答"</w:t>
      </w:r>
      <w:r>
        <w:rPr>
          <w:rFonts w:hint="eastAsia"/>
          <w:b w:val="1"/>
        </w:rPr>
        <w:t>不建标准会损失什么、损失多少</w:t>
      </w:r>
      <w:r>
        <w:rPr>
          <w:rFonts w:hint="eastAsia"/>
        </w:rPr>
        <w:t>"这一反向问题。缺少可核查的反例，例如：装备接口不统一导致已采购设备无法接入现有情指体系而需二次改造的比例与费用；验收缺少量化判据导致“能用不能用、好用不好用”</w:t>
      </w:r>
      <w:r>
        <w:rPr>
          <w:rFonts w:hint="eastAsia"/>
        </w:rPr>
        <w:t>无法判定，实践中形成“验收即闲置”</w:t>
      </w:r>
      <w:r>
        <w:rPr>
          <w:rFonts w:hint="eastAsia"/>
        </w:rPr>
        <w:t>的情况。没有代价测算，“紧迫性”</w:t>
      </w:r>
      <w:r>
        <w:rPr>
          <w:rFonts w:hint="eastAsia"/>
        </w:rPr>
        <w:t>就只是形容词。</w:t>
      </w:r>
    </w:p>
    <w:p w14:paraId="0566C1E5">
      <w:r>
        <w:rPr>
          <w:rFonts w:hint="eastAsia"/>
        </w:rPr>
        <w:t>条目 1-4 还缺少风险侧假设：三阶段时间安排默认了“标准进度可以自主掌控”</w:t>
      </w:r>
      <w:r>
        <w:rPr>
          <w:rFonts w:hint="eastAsia"/>
        </w:rPr>
        <w:t>，未讨论</w:t>
      </w:r>
      <w:r>
        <w:rPr>
          <w:rFonts w:hint="eastAsia"/>
          <w:b w:val="1"/>
        </w:rPr>
        <w:t>产业迭代快于标准周期</w:t>
      </w:r>
      <w:r>
        <w:rPr>
          <w:rFonts w:hint="eastAsia"/>
        </w:rPr>
        <w:t>时怎么办——这是本领域最现实的约束（大模型迭代周期约 6—12 个月，标准法定制修订程序通常需 18—24 个月）。</w:t>
      </w:r>
    </w:p>
    <w:p w14:paraId="71ED6F97">
      <w:pPr>
        <w:keepNext w:val="1"/>
        <w:keepLines w:val="1"/>
        <w:spacing w:before="100" w:beforeAutospacing="1" w:after="100" w:afterAutospacing="1"/>
        <w:outlineLvl w:val="2"/>
        <w:rPr>
          <w:sz w:val="32"/>
          <w:szCs w:val="32"/>
        </w:rPr>
      </w:pPr>
      <w:r>
        <w:rPr>
          <w:rFonts w:hint="eastAsia"/>
          <w:b w:val="1"/>
          <w:sz w:val="32"/>
        </w:rPr>
        <w:t>（六）共性问题五：责任主体与时限普遍缺位（可操作性问题）</w:t>
      </w:r>
    </w:p>
    <w:p w14:paraId="16B6631F">
      <w:r>
        <w:rPr>
          <w:rFonts w:hint="eastAsia"/>
        </w:rPr>
        <w:t>涉及全部 18 条。经统计，18 条意见共出现“建议”“推动”</w:t>
      </w:r>
      <w:r>
        <w:rPr>
          <w:rFonts w:hint="eastAsia"/>
        </w:rPr>
        <w:t>“加强”“应当”</w:t>
      </w:r>
      <w:r>
        <w:rPr>
          <w:rFonts w:hint="eastAsia"/>
        </w:rPr>
        <w:t>等无主语表述数十处，</w:t>
      </w:r>
      <w:r>
        <w:rPr>
          <w:rFonts w:hint="eastAsia"/>
          <w:b w:val="1"/>
        </w:rPr>
        <w:t>几乎没有一条同时具备“谁做、何时做完、以什么为验收判据”</w:t>
      </w:r>
      <w:r>
        <w:rPr>
          <w:rFonts w:hint="eastAsia"/>
          <w:b w:val="1"/>
        </w:rPr>
        <w:t>三要素</w:t>
      </w:r>
      <w:r>
        <w:rPr>
          <w:rFonts w:hint="eastAsia"/>
        </w:rPr>
        <w:t>。举三例：</w:t>
      </w:r>
    </w:p>
    <w:p w14:paraId="5086CF23">
      <w:r>
        <w:rPr>
          <w:rFonts w:hint="eastAsia"/>
        </w:rPr>
        <w:t>— 1-4“标准立项与检测能力建设、检测机构指定同步部署”</w:t>
      </w:r>
      <w:r>
        <w:rPr>
          <w:rFonts w:hint="eastAsia"/>
        </w:rPr>
        <w:t>——谁出钱建能力？建在哪里？周期多长？依据什么判合格？</w:t>
      </w:r>
    </w:p>
    <w:p w14:paraId="29BAD448">
      <w:r>
        <w:rPr>
          <w:rFonts w:hint="eastAsia"/>
        </w:rPr>
        <w:t>— 3-3“依托北京亦庄、深圳等机器人产业集群共建公共安全机器人测试场”</w:t>
      </w:r>
      <w:r>
        <w:rPr>
          <w:rFonts w:hint="eastAsia"/>
        </w:rPr>
        <w:t>——选址依据、投资来源、运行主体、是否重复投资，均未涉及。</w:t>
      </w:r>
    </w:p>
    <w:p w14:paraId="6666282D">
      <w:r>
        <w:rPr>
          <w:rFonts w:hint="eastAsia"/>
        </w:rPr>
        <w:t>— 4-5“经费、培训、维护网络同步到位后再扩面”</w:t>
      </w:r>
      <w:r>
        <w:rPr>
          <w:rFonts w:hint="eastAsia"/>
        </w:rPr>
        <w:t>——“同步到位”</w:t>
      </w:r>
      <w:r>
        <w:rPr>
          <w:rFonts w:hint="eastAsia"/>
        </w:rPr>
        <w:t>由谁认定？达不成的后果是什么？</w:t>
      </w:r>
    </w:p>
    <w:p w14:paraId="15C85AF0">
      <w:r>
        <w:rPr>
          <w:rFonts w:hint="eastAsia"/>
        </w:rPr>
        <w:t>这不是文风问题。意见收集表的用途是“作为标准体系框架完善和标准项目立项的重要依据”</w:t>
      </w:r>
      <w:r>
        <w:rPr>
          <w:rFonts w:hint="eastAsia"/>
        </w:rPr>
        <w:t>，缺三要素的意见无法进入立项论证流程。</w:t>
      </w:r>
    </w:p>
    <w:p w14:paraId="01B104BC">
      <w:pPr>
        <w:keepNext w:val="1"/>
        <w:keepLines w:val="1"/>
        <w:spacing w:before="100" w:beforeAutospacing="1" w:after="100" w:afterAutospacing="1"/>
        <w:outlineLvl w:val="2"/>
        <w:rPr>
          <w:sz w:val="32"/>
          <w:szCs w:val="32"/>
        </w:rPr>
      </w:pPr>
      <w:r>
        <w:rPr>
          <w:rFonts w:hint="eastAsia"/>
          <w:b w:val="1"/>
          <w:sz w:val="32"/>
        </w:rPr>
        <w:t>（七）共性问题六：回避了执法授权这一前置问题（深度问题）</w:t>
      </w:r>
    </w:p>
    <w:p w14:paraId="547D416C">
      <w:r>
        <w:rPr>
          <w:rFonts w:hint="eastAsia"/>
        </w:rPr>
        <w:t>涉及 4-2、2-3 两条。条目 4-2 提出“标准只做技术落地，不做法律创制”</w:t>
      </w:r>
      <w:r>
        <w:rPr>
          <w:rFonts w:hint="eastAsia"/>
        </w:rPr>
        <w:t>，这一表述本身稳妥，但稿件</w:t>
      </w:r>
      <w:r>
        <w:rPr>
          <w:rFonts w:hint="eastAsia"/>
          <w:b w:val="1"/>
        </w:rPr>
        <w:t>用它代替了对授权路径的正面回答</w:t>
      </w:r>
      <w:r>
        <w:rPr>
          <w:rFonts w:hint="eastAsia"/>
        </w:rPr>
        <w:t>，导致两个问题悬空：</w:t>
      </w:r>
    </w:p>
    <w:p w14:paraId="13FCA0FD">
      <w:r>
        <w:rPr>
          <w:rFonts w:hint="eastAsia"/>
        </w:rPr>
        <w:t>— 机器人不属于《人民警察使用警械和武器条例》所列警械，其非接触处置行为（阻挡、喷射标识等）的法律性质如何界定？</w:t>
      </w:r>
    </w:p>
    <w:p w14:paraId="4002EF52">
      <w:r>
        <w:rPr>
          <w:rFonts w:hint="eastAsia"/>
        </w:rPr>
        <w:t>— 机器人致害后责任如何分担——国家赔偿、民警个人责任、厂商产品责任三者的边界在哪里？</w:t>
      </w:r>
    </w:p>
    <w:p w14:paraId="7A70F8D3">
      <w:r>
        <w:rPr>
          <w:rFonts w:hint="eastAsia"/>
        </w:rPr>
        <w:t>2-3 虽然提出“权责边界”</w:t>
      </w:r>
      <w:r>
        <w:rPr>
          <w:rFonts w:hint="eastAsia"/>
        </w:rPr>
        <w:t>和“决定权归人”</w:t>
      </w:r>
      <w:r>
        <w:rPr>
          <w:rFonts w:hint="eastAsia"/>
        </w:rPr>
        <w:t>，但因为没有回答上述两个问题，</w:t>
      </w:r>
      <w:r>
        <w:rPr>
          <w:rFonts w:hint="eastAsia"/>
          <w:b w:val="1"/>
        </w:rPr>
        <w:t>建议停留在原则层面，无法转化为可写进管理标准的条款</w:t>
      </w:r>
      <w:r>
        <w:rPr>
          <w:rFonts w:hint="eastAsia"/>
        </w:rPr>
        <w:t>。实务中，这正是基层单位“不敢用”</w:t>
      </w:r>
      <w:r>
        <w:rPr>
          <w:rFonts w:hint="eastAsia"/>
        </w:rPr>
        <w:t>的核心顾虑。</w:t>
      </w:r>
    </w:p>
    <w:p w14:paraId="56AA0E26">
      <w:pPr>
        <w:keepNext w:val="1"/>
        <w:keepLines w:val="1"/>
        <w:spacing w:before="100" w:beforeAutospacing="1" w:after="100" w:afterAutospacing="1"/>
        <w:outlineLvl w:val="2"/>
        <w:rPr>
          <w:sz w:val="32"/>
          <w:szCs w:val="32"/>
        </w:rPr>
      </w:pPr>
      <w:r>
        <w:rPr>
          <w:rFonts w:hint="eastAsia"/>
          <w:b w:val="1"/>
          <w:sz w:val="32"/>
        </w:rPr>
        <w:t>（八）共性问题七：未纳入新近生效的刚性规范（准确性问题）</w:t>
      </w:r>
    </w:p>
    <w:p w14:paraId="22232FCA">
      <w:r>
        <w:rPr>
          <w:rFonts w:hint="eastAsia"/>
        </w:rPr>
        <w:t>涉及 4-3。条目 4-3 系统讨论了人脸、声纹、步态等生物识别信息，但</w:t>
      </w:r>
      <w:r>
        <w:rPr>
          <w:rFonts w:hint="eastAsia"/>
          <w:b w:val="1"/>
        </w:rPr>
        <w:t>未引用 2025 年 6 月 1 日起施行的《人脸识别技术应用安全管理办法》</w:t>
      </w:r>
      <w:r>
        <w:rPr>
          <w:rFonts w:hint="eastAsia"/>
        </w:rPr>
        <w:t>（国家互联网信息办公室、公安部令第 19 号，2025 年 3 月 13 日公布）。该办法是本领域刚性最强的规范，与机器人巡逻场景直接冲突和衔接的条款至少六处：</w:t>
      </w:r>
    </w:p>
    <w:tbl>
      <w:tblPr>
        <w:tblW w:w="85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400"/>
        <w:gridCol w:w="3500"/>
        <w:gridCol w:w="3600"/>
      </w:tblGrid>
      <w:tr>
        <w:trPr>
          <w:tblHeader w:val="1"/>
        </w:trPr>
        <w:tc>
          <w:tcPr>
            <w:tcW w:w="1400" w:type="dxa"/>
          </w:tcPr>
          <w:p w14:paraId="55DA3E55">
            <w:pPr>
              <w:rPr>
                <w:b w:val="1"/>
                <w:bCs w:val="1"/>
              </w:rPr>
            </w:pPr>
            <w:r>
              <w:rPr>
                <w:rFonts w:hint="eastAsia"/>
                <w:b w:val="1"/>
              </w:rPr>
              <w:t>办法条款</w:t>
            </w:r>
          </w:p>
        </w:tc>
        <w:tc>
          <w:tcPr>
            <w:tcW w:w="3500" w:type="dxa"/>
          </w:tcPr>
          <w:p w14:paraId="5C0290A7">
            <w:pPr>
              <w:rPr>
                <w:b w:val="1"/>
                <w:bCs w:val="1"/>
              </w:rPr>
            </w:pPr>
            <w:r>
              <w:rPr>
                <w:rFonts w:hint="eastAsia"/>
                <w:b w:val="1"/>
              </w:rPr>
              <w:t>要求</w:t>
            </w:r>
          </w:p>
        </w:tc>
        <w:tc>
          <w:tcPr>
            <w:tcW w:w="3600" w:type="dxa"/>
          </w:tcPr>
          <w:p w14:paraId="2865212A">
            <w:pPr>
              <w:rPr>
                <w:b w:val="1"/>
                <w:bCs w:val="1"/>
              </w:rPr>
            </w:pPr>
            <w:r>
              <w:rPr>
                <w:rFonts w:hint="eastAsia"/>
                <w:b w:val="1"/>
              </w:rPr>
              <w:t>对机器人的直接影响</w:t>
            </w:r>
          </w:p>
        </w:tc>
      </w:tr>
      <w:tr>
        <w:trPr/>
        <w:tc>
          <w:tcPr>
            <w:tcW w:w="1400" w:type="dxa"/>
          </w:tcPr>
          <w:p w14:paraId="59869609">
            <w:r>
              <w:rPr>
                <w:rFonts w:hint="eastAsia"/>
              </w:rPr>
              <w:t>第五条、第六条</w:t>
            </w:r>
          </w:p>
        </w:tc>
        <w:tc>
          <w:tcPr>
            <w:tcW w:w="3500" w:type="dxa"/>
          </w:tcPr>
          <w:p w14:paraId="470E8CAB">
            <w:r>
              <w:rPr>
                <w:rFonts w:hint="eastAsia"/>
              </w:rPr>
              <w:t>显著方式告知；基于同意的须取得单独同意</w:t>
            </w:r>
          </w:p>
        </w:tc>
        <w:tc>
          <w:tcPr>
            <w:tcW w:w="3600" w:type="dxa"/>
          </w:tcPr>
          <w:p w14:paraId="3A13C0B4">
            <w:r>
              <w:rPr>
                <w:rFonts w:hint="eastAsia"/>
              </w:rPr>
              <w:t>机器人移动采集场景下如何“显著告知”</w:t>
            </w:r>
            <w:r>
              <w:rPr>
                <w:rFonts w:hint="eastAsia"/>
              </w:rPr>
              <w:t>，需在标准中给出可操作形式</w:t>
            </w:r>
          </w:p>
        </w:tc>
      </w:tr>
      <w:tr>
        <w:trPr/>
        <w:tc>
          <w:tcPr>
            <w:tcW w:w="1400" w:type="dxa"/>
          </w:tcPr>
          <w:p w14:paraId="6CA32C6D">
            <w:r>
              <w:rPr>
                <w:rFonts w:hint="eastAsia"/>
              </w:rPr>
              <w:t>第八条</w:t>
            </w:r>
          </w:p>
        </w:tc>
        <w:tc>
          <w:tcPr>
            <w:tcW w:w="3500" w:type="dxa"/>
          </w:tcPr>
          <w:p w14:paraId="58944603">
            <w:r>
              <w:rPr>
                <w:rFonts w:hint="eastAsia"/>
              </w:rPr>
              <w:t>人脸信息应存储于人脸识别设备内，不得通过互联网对外传输</w:t>
            </w:r>
          </w:p>
        </w:tc>
        <w:tc>
          <w:tcPr>
            <w:tcW w:w="3600" w:type="dxa"/>
          </w:tcPr>
          <w:p w14:paraId="2AB5C4F4">
            <w:r>
              <w:rPr>
                <w:rFonts w:hint="eastAsia"/>
              </w:rPr>
              <w:t>直接约束机器人“端侧存储 vs 云端汇聚”</w:t>
            </w:r>
            <w:r>
              <w:rPr>
                <w:rFonts w:hint="eastAsia"/>
              </w:rPr>
              <w:t>的架构选择</w:t>
            </w:r>
          </w:p>
        </w:tc>
      </w:tr>
      <w:tr>
        <w:trPr/>
        <w:tc>
          <w:tcPr>
            <w:tcW w:w="1400" w:type="dxa"/>
          </w:tcPr>
          <w:p w14:paraId="5D65695B">
            <w:r>
              <w:rPr>
                <w:rFonts w:hint="eastAsia"/>
              </w:rPr>
              <w:t>第九条</w:t>
            </w:r>
          </w:p>
        </w:tc>
        <w:tc>
          <w:tcPr>
            <w:tcW w:w="3500" w:type="dxa"/>
          </w:tcPr>
          <w:p w14:paraId="16486AAA">
            <w:r>
              <w:rPr>
                <w:rFonts w:hint="eastAsia"/>
              </w:rPr>
              <w:t>事前进行个人信息保护影响评估，报告与处理记录至少保存 3 年</w:t>
            </w:r>
          </w:p>
        </w:tc>
        <w:tc>
          <w:tcPr>
            <w:tcW w:w="3600" w:type="dxa"/>
          </w:tcPr>
          <w:p w14:paraId="61F45BFE">
            <w:r>
              <w:rPr>
                <w:rFonts w:hint="eastAsia"/>
              </w:rPr>
              <w:t>应转为列装前置条件</w:t>
            </w:r>
          </w:p>
        </w:tc>
      </w:tr>
      <w:tr>
        <w:trPr/>
        <w:tc>
          <w:tcPr>
            <w:tcW w:w="1400" w:type="dxa"/>
          </w:tcPr>
          <w:p w14:paraId="14A71303">
            <w:r>
              <w:rPr>
                <w:rFonts w:hint="eastAsia"/>
              </w:rPr>
              <w:t>第十条</w:t>
            </w:r>
          </w:p>
        </w:tc>
        <w:tc>
          <w:tcPr>
            <w:tcW w:w="3500" w:type="dxa"/>
          </w:tcPr>
          <w:p w14:paraId="5A4EADBD">
            <w:r>
              <w:rPr>
                <w:rFonts w:hint="eastAsia"/>
              </w:rPr>
              <w:t>存在其他非人脸方式时，不得作为唯一验证方式</w:t>
            </w:r>
          </w:p>
        </w:tc>
        <w:tc>
          <w:tcPr>
            <w:tcW w:w="3600" w:type="dxa"/>
          </w:tcPr>
          <w:p w14:paraId="186310C7">
            <w:r>
              <w:rPr>
                <w:rFonts w:hint="eastAsia"/>
              </w:rPr>
              <w:t>约束“刷脸开门”</w:t>
            </w:r>
            <w:r>
              <w:rPr>
                <w:rFonts w:hint="eastAsia"/>
              </w:rPr>
              <w:t>“刷脸核验”</w:t>
            </w:r>
            <w:r>
              <w:rPr>
                <w:rFonts w:hint="eastAsia"/>
              </w:rPr>
              <w:t>类应用</w:t>
            </w:r>
          </w:p>
        </w:tc>
      </w:tr>
      <w:tr>
        <w:trPr/>
        <w:tc>
          <w:tcPr>
            <w:tcW w:w="1400" w:type="dxa"/>
          </w:tcPr>
          <w:p w14:paraId="6BE33F4A">
            <w:r>
              <w:rPr>
                <w:rFonts w:hint="eastAsia"/>
              </w:rPr>
              <w:t>第十三条</w:t>
            </w:r>
          </w:p>
        </w:tc>
        <w:tc>
          <w:tcPr>
            <w:tcW w:w="3500" w:type="dxa"/>
          </w:tcPr>
          <w:p w14:paraId="2B94D103">
            <w:r>
              <w:rPr>
                <w:rFonts w:hint="eastAsia"/>
              </w:rPr>
              <w:t>公共场所安装须为维护公共安全所必需，设显著提示标识；私密空间禁止安装</w:t>
            </w:r>
          </w:p>
        </w:tc>
        <w:tc>
          <w:tcPr>
            <w:tcW w:w="3600" w:type="dxa"/>
          </w:tcPr>
          <w:p w14:paraId="60CF7468">
            <w:r>
              <w:rPr>
                <w:rFonts w:hint="eastAsia"/>
              </w:rPr>
              <w:t>约束采集区域划定与标识设置</w:t>
            </w:r>
          </w:p>
        </w:tc>
      </w:tr>
      <w:tr>
        <w:trPr/>
        <w:tc>
          <w:tcPr>
            <w:tcW w:w="1400" w:type="dxa"/>
          </w:tcPr>
          <w:p w14:paraId="4CB6AC25">
            <w:r>
              <w:rPr>
                <w:rFonts w:hint="eastAsia"/>
              </w:rPr>
              <w:t>第十五条</w:t>
            </w:r>
          </w:p>
        </w:tc>
        <w:tc>
          <w:tcPr>
            <w:tcW w:w="3500" w:type="dxa"/>
          </w:tcPr>
          <w:p w14:paraId="5E631B4A">
            <w:r>
              <w:rPr>
                <w:rFonts w:hint="eastAsia"/>
              </w:rPr>
              <w:t>存储量达 10 万人之日起 30 个工作日内备案</w:t>
            </w:r>
          </w:p>
        </w:tc>
        <w:tc>
          <w:tcPr>
            <w:tcW w:w="3600" w:type="dxa"/>
          </w:tcPr>
          <w:p w14:paraId="756308A0">
            <w:r>
              <w:rPr>
                <w:rFonts w:hint="eastAsia"/>
              </w:rPr>
              <w:t>大型活动安保等场景易触发</w:t>
            </w:r>
          </w:p>
        </w:tc>
      </w:tr>
    </w:tbl>
    <w:p w14:paraId="72554F5D">
      <w:r>
        <w:rPr>
          <w:rFonts w:hint="eastAsia"/>
        </w:rPr>
        <w:t>遗漏该办法，使 4-3 从“看起来全面”</w:t>
      </w:r>
      <w:r>
        <w:rPr>
          <w:rFonts w:hint="eastAsia"/>
        </w:rPr>
        <w:t>变成“关键条款缺失”</w:t>
      </w:r>
      <w:r>
        <w:rPr>
          <w:rFonts w:hint="eastAsia"/>
        </w:rPr>
        <w:t>，是本次审稿中单项扣分最重的一处。</w:t>
      </w:r>
    </w:p>
    <w:p w14:paraId="40CB4DE8">
      <w:pPr>
        <w:keepNext w:val="1"/>
        <w:keepLines w:val="1"/>
        <w:spacing w:before="100" w:beforeAutospacing="1" w:after="100" w:afterAutospacing="1"/>
        <w:outlineLvl w:val="2"/>
        <w:rPr>
          <w:sz w:val="32"/>
          <w:szCs w:val="32"/>
        </w:rPr>
      </w:pPr>
      <w:r>
        <w:rPr>
          <w:rFonts w:hint="eastAsia"/>
          <w:b w:val="1"/>
          <w:sz w:val="32"/>
        </w:rPr>
        <w:t>（九）共性问题八：国际对标完全空白（深度与准确性问题）</w:t>
      </w:r>
    </w:p>
    <w:p w14:paraId="7325FD3B">
      <w:r>
        <w:rPr>
          <w:rFonts w:hint="eastAsia"/>
        </w:rPr>
        <w:t>涉及 1-5、3-1、4-4 三条。全篇未出现任何国际标准对标，也未提出标准“走出去”</w:t>
      </w:r>
      <w:r>
        <w:rPr>
          <w:rFonts w:hint="eastAsia"/>
        </w:rPr>
        <w:t>的路径。至少五组对标关系应当纳入：</w:t>
      </w:r>
    </w:p>
    <w:tbl>
      <w:tblPr>
        <w:tblW w:w="85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900"/>
        <w:gridCol w:w="3000"/>
        <w:gridCol w:w="3600"/>
      </w:tblGrid>
      <w:tr>
        <w:trPr>
          <w:tblHeader w:val="1"/>
        </w:trPr>
        <w:tc>
          <w:tcPr>
            <w:tcW w:w="1900" w:type="dxa"/>
          </w:tcPr>
          <w:p w14:paraId="03DAC54F">
            <w:pPr>
              <w:rPr>
                <w:b w:val="1"/>
                <w:bCs w:val="1"/>
              </w:rPr>
            </w:pPr>
            <w:r>
              <w:rPr>
                <w:rFonts w:hint="eastAsia"/>
                <w:b w:val="1"/>
              </w:rPr>
              <w:t>国际标准／组织</w:t>
            </w:r>
          </w:p>
        </w:tc>
        <w:tc>
          <w:tcPr>
            <w:tcW w:w="3000" w:type="dxa"/>
          </w:tcPr>
          <w:p w14:paraId="04FA3949">
            <w:pPr>
              <w:rPr>
                <w:b w:val="1"/>
                <w:bCs w:val="1"/>
              </w:rPr>
            </w:pPr>
            <w:r>
              <w:rPr>
                <w:rFonts w:hint="eastAsia"/>
                <w:b w:val="1"/>
              </w:rPr>
              <w:t>内容</w:t>
            </w:r>
          </w:p>
        </w:tc>
        <w:tc>
          <w:tcPr>
            <w:tcW w:w="3600" w:type="dxa"/>
          </w:tcPr>
          <w:p w14:paraId="5803B8A6">
            <w:pPr>
              <w:rPr>
                <w:b w:val="1"/>
                <w:bCs w:val="1"/>
              </w:rPr>
            </w:pPr>
            <w:r>
              <w:rPr>
                <w:rFonts w:hint="eastAsia"/>
                <w:b w:val="1"/>
              </w:rPr>
              <w:t>与本议题的对应关系</w:t>
            </w:r>
          </w:p>
        </w:tc>
      </w:tr>
      <w:tr>
        <w:trPr/>
        <w:tc>
          <w:tcPr>
            <w:tcW w:w="1900" w:type="dxa"/>
          </w:tcPr>
          <w:p w14:paraId="252E7C82">
            <w:r>
              <w:rPr>
                <w:rFonts w:hint="eastAsia"/>
              </w:rPr>
              <w:t>ISO/TC299 与 SAC/TC591</w:t>
            </w:r>
          </w:p>
        </w:tc>
        <w:tc>
          <w:tcPr>
            <w:tcW w:w="3000" w:type="dxa"/>
          </w:tcPr>
          <w:p w14:paraId="7A866617">
            <w:r>
              <w:rPr>
                <w:rFonts w:hint="eastAsia"/>
              </w:rPr>
              <w:t>机器人与机器人装备</w:t>
            </w:r>
          </w:p>
        </w:tc>
        <w:tc>
          <w:tcPr>
            <w:tcW w:w="3600" w:type="dxa"/>
          </w:tcPr>
          <w:p w14:paraId="0B35EACB">
            <w:r>
              <w:rPr>
                <w:rFonts w:hint="eastAsia"/>
              </w:rPr>
              <w:t>SAC/TC591 为其国内对口单位，可直接对接</w:t>
            </w:r>
          </w:p>
        </w:tc>
      </w:tr>
      <w:tr>
        <w:trPr/>
        <w:tc>
          <w:tcPr>
            <w:tcW w:w="1900" w:type="dxa"/>
          </w:tcPr>
          <w:p w14:paraId="1E82A2BC">
            <w:r>
              <w:rPr>
                <w:rFonts w:hint="eastAsia"/>
              </w:rPr>
              <w:t>ISO 10218-1／10218-2（2025 版）</w:t>
            </w:r>
          </w:p>
        </w:tc>
        <w:tc>
          <w:tcPr>
            <w:tcW w:w="3000" w:type="dxa"/>
          </w:tcPr>
          <w:p w14:paraId="2E915A36">
            <w:r>
              <w:rPr>
                <w:rFonts w:hint="eastAsia"/>
              </w:rPr>
              <w:t>工业机器人安全</w:t>
            </w:r>
          </w:p>
        </w:tc>
        <w:tc>
          <w:tcPr>
            <w:tcW w:w="3600" w:type="dxa"/>
          </w:tcPr>
          <w:p w14:paraId="28EC298C">
            <w:r>
              <w:rPr>
                <w:rFonts w:hint="eastAsia"/>
              </w:rPr>
              <w:t>安全设计与集成要求的可移植来源</w:t>
            </w:r>
          </w:p>
        </w:tc>
      </w:tr>
      <w:tr>
        <w:trPr/>
        <w:tc>
          <w:tcPr>
            <w:tcW w:w="1900" w:type="dxa"/>
          </w:tcPr>
          <w:p w14:paraId="0F02A74C">
            <w:r>
              <w:rPr>
                <w:rFonts w:hint="eastAsia"/>
              </w:rPr>
              <w:t>ISO/TS 15066（已并入 ISO 10218-2:2025）</w:t>
            </w:r>
          </w:p>
        </w:tc>
        <w:tc>
          <w:tcPr>
            <w:tcW w:w="3000" w:type="dxa"/>
          </w:tcPr>
          <w:p w14:paraId="5882ACF3">
            <w:r>
              <w:rPr>
                <w:rFonts w:hint="eastAsia"/>
              </w:rPr>
              <w:t>协作机器人</w:t>
            </w:r>
          </w:p>
        </w:tc>
        <w:tc>
          <w:tcPr>
            <w:tcW w:w="3600" w:type="dxa"/>
          </w:tcPr>
          <w:p w14:paraId="534B79A5">
            <w:r>
              <w:rPr>
                <w:rFonts w:hint="eastAsia"/>
              </w:rPr>
              <w:t>人机协同场景的核心依据</w:t>
            </w:r>
          </w:p>
        </w:tc>
      </w:tr>
      <w:tr>
        <w:trPr/>
        <w:tc>
          <w:tcPr>
            <w:tcW w:w="1900" w:type="dxa"/>
          </w:tcPr>
          <w:p w14:paraId="55D57B03">
            <w:r>
              <w:t>ISO/IEC 42001:2023</w:t>
            </w:r>
          </w:p>
        </w:tc>
        <w:tc>
          <w:tcPr>
            <w:tcW w:w="3000" w:type="dxa"/>
          </w:tcPr>
          <w:p w14:paraId="0A176216">
            <w:r>
              <w:rPr>
                <w:rFonts w:hint="eastAsia"/>
              </w:rPr>
              <w:t>人工智能管理体系</w:t>
            </w:r>
          </w:p>
        </w:tc>
        <w:tc>
          <w:tcPr>
            <w:tcW w:w="3600" w:type="dxa"/>
          </w:tcPr>
          <w:p w14:paraId="511412DB">
            <w:r>
              <w:rPr>
                <w:rFonts w:hint="eastAsia"/>
              </w:rPr>
              <w:t>组织层面 AI 治理，可作管理标准的框架范本</w:t>
            </w:r>
          </w:p>
        </w:tc>
      </w:tr>
      <w:tr>
        <w:trPr/>
        <w:tc>
          <w:tcPr>
            <w:tcW w:w="1900" w:type="dxa"/>
          </w:tcPr>
          <w:p w14:paraId="2CDAD1F2">
            <w:r>
              <w:rPr>
                <w:rFonts w:hint="eastAsia"/>
              </w:rPr>
              <w:t>IEC 62443 系列</w:t>
            </w:r>
          </w:p>
        </w:tc>
        <w:tc>
          <w:tcPr>
            <w:tcW w:w="3000" w:type="dxa"/>
          </w:tcPr>
          <w:p w14:paraId="273C34A1">
            <w:r>
              <w:rPr>
                <w:rFonts w:hint="eastAsia"/>
              </w:rPr>
              <w:t>工业网络与系统信息安全</w:t>
            </w:r>
          </w:p>
        </w:tc>
        <w:tc>
          <w:tcPr>
            <w:tcW w:w="3600" w:type="dxa"/>
          </w:tcPr>
          <w:p w14:paraId="21499805">
            <w:r>
              <w:rPr>
                <w:rFonts w:hint="eastAsia"/>
              </w:rPr>
              <w:t>装备本体网络安全要求的参考来源</w:t>
            </w:r>
          </w:p>
        </w:tc>
      </w:tr>
    </w:tbl>
    <w:p w14:paraId="1A672DF5">
      <w:r>
        <w:rPr>
          <w:rFonts w:hint="eastAsia"/>
        </w:rPr>
        <w:t>“十五五”</w:t>
      </w:r>
      <w:r>
        <w:rPr>
          <w:rFonts w:hint="eastAsia"/>
        </w:rPr>
        <w:t>规划要求“深度参与国际标准制定、提升在国际科技治理中的话语权”</w:t>
      </w:r>
      <w:r>
        <w:rPr>
          <w:rFonts w:hint="eastAsia"/>
        </w:rPr>
        <w:t>。本领域已经形成“警用无人驾驶航空器”</w:t>
      </w:r>
      <w:r>
        <w:rPr>
          <w:rFonts w:hint="eastAsia"/>
        </w:rPr>
        <w:t>这一相对成熟的标准实践，具备向国际标准输出的基础，稿件完全未涉及，是一项明显的空白。</w:t>
      </w:r>
    </w:p>
    <w:p w14:paraId="3BAC05F9">
      <w:pPr>
        <w:sectPr>
          <w:footerReference r:id="rId5" w:type="default"/>
          <w:footerReference r:id="rId6" w:type="even"/>
          <w:footerReference r:id="rId7" w:type="first"/>
          <w:type/>
          <w:pgSz w:w="11906" w:h="16838" w:orient="portrait"/>
          <w:pgMar w:top="1440" w:right="1700" w:bottom="1440" w:left="1700"/>
          <w:pgNumType w:fmt="decimal" w:start="1"/>
        </w:sectPr>
      </w:pPr>
    </w:p>
    <w:p w14:paraId="4B87BD6D">
      <w:pPr>
        <w:keepNext w:val="1"/>
        <w:keepLines w:val="1"/>
        <w:spacing w:before="100" w:beforeAutospacing="1" w:after="100" w:afterAutospacing="1"/>
        <w:outlineLvl w:val="1"/>
        <w:rPr>
          <w:sz w:val="32"/>
          <w:szCs w:val="32"/>
        </w:rPr>
      </w:pPr>
      <w:r>
        <w:rPr>
          <w:rFonts w:hint="eastAsia"/>
          <w:b w:val="1"/>
          <w:sz w:val="32"/>
        </w:rPr>
        <w:t>四、逐条审阅意见</w:t>
      </w:r>
    </w:p>
    <w:p w14:paraId="3D141F4B">
      <w:pPr>
        <w:keepNext w:val="1"/>
        <w:keepLines w:val="1"/>
        <w:spacing w:before="100" w:beforeAutospacing="1" w:after="100" w:afterAutospacing="1"/>
        <w:outlineLvl w:val="2"/>
        <w:rPr>
          <w:sz w:val="32"/>
          <w:szCs w:val="32"/>
        </w:rPr>
      </w:pPr>
      <w:r>
        <w:rPr>
          <w:rFonts w:hint="eastAsia"/>
          <w:b w:val="1"/>
          <w:sz w:val="32"/>
        </w:rPr>
        <w:t>（一）维度一　标准体系</w:t>
      </w:r>
    </w:p>
    <w:tbl>
      <w:tblPr>
        <w:tblW w:w="1514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520"/>
        <w:gridCol w:w="1720"/>
        <w:gridCol w:w="6000"/>
        <w:gridCol w:w="5900"/>
      </w:tblGrid>
      <w:tr>
        <w:trPr>
          <w:tblHeader w:val="1"/>
        </w:trPr>
        <w:tc>
          <w:tcPr>
            <w:tcW w:w="1520" w:type="dxa"/>
          </w:tcPr>
          <w:p w14:paraId="2431BF45">
            <w:pPr>
              <w:rPr>
                <w:b w:val="1"/>
                <w:bCs w:val="1"/>
              </w:rPr>
            </w:pPr>
            <w:r>
              <w:rPr>
                <w:rFonts w:hint="eastAsia"/>
                <w:b w:val="1"/>
                <w:sz w:val="18"/>
              </w:rPr>
              <w:t>条目</w:t>
            </w:r>
          </w:p>
        </w:tc>
        <w:tc>
          <w:tcPr>
            <w:tcW w:w="1720" w:type="dxa"/>
          </w:tcPr>
          <w:p w14:paraId="5359AFC6">
            <w:pPr>
              <w:rPr>
                <w:b w:val="1"/>
                <w:bCs w:val="1"/>
              </w:rPr>
            </w:pPr>
            <w:r>
              <w:rPr>
                <w:rFonts w:hint="eastAsia"/>
                <w:b w:val="1"/>
                <w:sz w:val="18"/>
              </w:rPr>
              <w:t>定性结论</w:t>
            </w:r>
          </w:p>
        </w:tc>
        <w:tc>
          <w:tcPr>
            <w:tcW w:w="6000" w:type="dxa"/>
          </w:tcPr>
          <w:p w14:paraId="10BBE4ED">
            <w:pPr>
              <w:rPr>
                <w:b w:val="1"/>
                <w:bCs w:val="1"/>
              </w:rPr>
            </w:pPr>
            <w:r>
              <w:rPr>
                <w:rFonts w:hint="eastAsia"/>
                <w:b w:val="1"/>
                <w:sz w:val="18"/>
              </w:rPr>
              <w:t>主要不足（深度／准确性／可操作性）</w:t>
            </w:r>
          </w:p>
        </w:tc>
        <w:tc>
          <w:tcPr>
            <w:tcW w:w="5900" w:type="dxa"/>
          </w:tcPr>
          <w:p w14:paraId="5F940614">
            <w:pPr>
              <w:rPr>
                <w:b w:val="1"/>
                <w:bCs w:val="1"/>
              </w:rPr>
            </w:pPr>
            <w:r>
              <w:rPr>
                <w:rFonts w:hint="eastAsia"/>
                <w:b w:val="1"/>
                <w:sz w:val="18"/>
              </w:rPr>
              <w:t>修改要点</w:t>
            </w:r>
          </w:p>
        </w:tc>
      </w:tr>
      <w:tr>
        <w:trPr/>
        <w:tc>
          <w:tcPr>
            <w:tcW w:w="1520" w:type="dxa"/>
          </w:tcPr>
          <w:p w14:paraId="59C9BD8A">
            <w:r>
              <w:rPr>
                <w:rFonts w:hint="eastAsia"/>
                <w:sz w:val="18"/>
              </w:rPr>
              <w:t>1-1 背景、必要性与紧迫性</w:t>
            </w:r>
          </w:p>
        </w:tc>
        <w:tc>
          <w:tcPr>
            <w:tcW w:w="1720" w:type="dxa"/>
          </w:tcPr>
          <w:p w14:paraId="1FF7E065">
            <w:r>
              <w:rPr>
                <w:rFonts w:hint="eastAsia"/>
                <w:sz w:val="18"/>
              </w:rPr>
              <w:t>论证方向正确，依据待核，缺代价测算</w:t>
            </w:r>
          </w:p>
        </w:tc>
        <w:tc>
          <w:tcPr>
            <w:tcW w:w="6000" w:type="dxa"/>
          </w:tcPr>
          <w:p w14:paraId="75EAA081">
            <w:r>
              <w:rPr>
                <w:rFonts w:hint="eastAsia"/>
                <w:sz w:val="18"/>
              </w:rPr>
              <w:t>①准确性：整机企业数、出货量、“占全球84.7%”</w:t>
            </w:r>
            <w:r>
              <w:rPr>
                <w:rFonts w:hint="eastAsia"/>
                <w:sz w:val="18"/>
              </w:rPr>
              <w:t>未标来源、时点与口径，且同段混用不同来源数据。②准确性：政府工作报告与“十五五”</w:t>
            </w:r>
            <w:r>
              <w:rPr>
                <w:rFonts w:hint="eastAsia"/>
                <w:sz w:val="18"/>
              </w:rPr>
              <w:t>规划纲要的引用可再精确，“十五五”</w:t>
            </w:r>
            <w:r>
              <w:rPr>
                <w:rFonts w:hint="eastAsia"/>
                <w:sz w:val="18"/>
              </w:rPr>
              <w:t>纲要原文为“推动量子科技、生物制造、氢能和核聚变能、脑机接口、具身智能、第六代移动通信等成为新的经济增长点”</w:t>
            </w:r>
            <w:r>
              <w:rPr>
                <w:rFonts w:hint="eastAsia"/>
                <w:sz w:val="18"/>
              </w:rPr>
              <w:t>，并含“构建未来产业全链条培育体系”</w:t>
            </w:r>
            <w:r>
              <w:rPr>
                <w:rFonts w:hint="eastAsia"/>
                <w:sz w:val="18"/>
              </w:rPr>
              <w:t>“探索多元技术路线、典型应用场景”</w:t>
            </w:r>
            <w:r>
              <w:rPr>
                <w:rFonts w:hint="eastAsia"/>
                <w:sz w:val="18"/>
              </w:rPr>
              <w:t>两句，均可直接支撑论证。③深度：只讲机遇不讲代价，无“不建标准的损失”</w:t>
            </w:r>
            <w:r>
              <w:rPr>
                <w:rFonts w:hint="eastAsia"/>
                <w:sz w:val="18"/>
              </w:rPr>
              <w:t>的反面论证。④可操作性：无责任主体与时限</w:t>
            </w:r>
          </w:p>
        </w:tc>
        <w:tc>
          <w:tcPr>
            <w:tcW w:w="5900" w:type="dxa"/>
          </w:tcPr>
          <w:p w14:paraId="2DB9B309">
            <w:r>
              <w:rPr>
                <w:rFonts w:hint="eastAsia"/>
                <w:sz w:val="18"/>
              </w:rPr>
              <w:t>①数据标注机构、时点、口径，口径不统一者改用区间并注明出处；②补“十五五”</w:t>
            </w:r>
            <w:r>
              <w:rPr>
                <w:rFonts w:hint="eastAsia"/>
                <w:sz w:val="18"/>
              </w:rPr>
              <w:t>纲要原文引述及可核查的量化预期（如到2030年产业规模预期、产业链国产化提升目标）；③补代价分析：接口不通导致二次改造、无验收判据导致验收即闲置两类损失，并建议在标准研制中同步开展存量装备接口适配普查形成量化底数；④提出“由归口标委会在6个月内形成并公开《标准缺口清单》”</w:t>
            </w:r>
          </w:p>
        </w:tc>
      </w:tr>
      <w:tr>
        <w:trPr/>
        <w:tc>
          <w:tcPr>
            <w:tcW w:w="1520" w:type="dxa"/>
          </w:tcPr>
          <w:p w14:paraId="08342AE2">
            <w:r>
              <w:rPr>
                <w:rFonts w:hint="eastAsia"/>
                <w:sz w:val="18"/>
              </w:rPr>
              <w:t>1-2 整体思路与关键内容</w:t>
            </w:r>
          </w:p>
        </w:tc>
        <w:tc>
          <w:tcPr>
            <w:tcW w:w="1720" w:type="dxa"/>
          </w:tcPr>
          <w:p w14:paraId="28309DC5">
            <w:r>
              <w:rPr>
                <w:rFonts w:hint="eastAsia"/>
                <w:sz w:val="18"/>
              </w:rPr>
              <w:t>三大主线成立，归口分工论证不完整</w:t>
            </w:r>
          </w:p>
        </w:tc>
        <w:tc>
          <w:tcPr>
            <w:tcW w:w="6000" w:type="dxa"/>
          </w:tcPr>
          <w:p w14:paraId="4CB0AB38">
            <w:r>
              <w:rPr>
                <w:rFonts w:hint="eastAsia"/>
                <w:sz w:val="18"/>
              </w:rPr>
              <w:t>①准确性：只把MIIT/TC8作对口单位，遗漏SAC/TC561（归口范围已含警用机器人）、SAC/TC100、SAC/TC577、公安部信标委等法定归口机构，导致“分工”</w:t>
            </w:r>
            <w:r>
              <w:rPr>
                <w:rFonts w:hint="eastAsia"/>
                <w:sz w:val="18"/>
              </w:rPr>
              <w:t>缺少对象。②准确性：与TC591现行体系架构（基础通用、零部件、整机、系统集成、行业应用五大领域）的映射关系未说明，存在同名不同义风险。③深度：五项原则只罗列，未给判据（何谓“开放兼容”</w:t>
            </w:r>
            <w:r>
              <w:rPr>
                <w:rFonts w:hint="eastAsia"/>
                <w:sz w:val="18"/>
              </w:rPr>
              <w:t>、如何判定“自主可控”</w:t>
            </w:r>
            <w:r>
              <w:rPr>
                <w:rFonts w:hint="eastAsia"/>
                <w:sz w:val="18"/>
              </w:rPr>
              <w:t>）。④可操作性：引用映射表由谁编制、何时完成未明确</w:t>
            </w:r>
          </w:p>
        </w:tc>
        <w:tc>
          <w:tcPr>
            <w:tcW w:w="5900" w:type="dxa"/>
          </w:tcPr>
          <w:p w14:paraId="24392BAC">
            <w:r>
              <w:rPr>
                <w:rFonts w:hint="eastAsia"/>
                <w:sz w:val="18"/>
              </w:rPr>
              <w:t>①补全归口体系与“谁归口、谁制定、其余引用”</w:t>
            </w:r>
            <w:r>
              <w:rPr>
                <w:rFonts w:hint="eastAsia"/>
                <w:sz w:val="18"/>
              </w:rPr>
              <w:t>分工原则，与TC8、TC591建立联络与互认通道；②给出与TC591五大领域的映射表及“引用／裁剪／新增”</w:t>
            </w:r>
            <w:r>
              <w:rPr>
                <w:rFonts w:hint="eastAsia"/>
                <w:sz w:val="18"/>
              </w:rPr>
              <w:t>三类处理方式；③为五项原则各配一句可判据表述；④明确引用映射表的编制主体（归口标委会）与时限（6个月内），并逐条注明引用方式</w:t>
            </w:r>
          </w:p>
        </w:tc>
      </w:tr>
      <w:tr>
        <w:trPr/>
        <w:tc>
          <w:tcPr>
            <w:tcW w:w="1520" w:type="dxa"/>
          </w:tcPr>
          <w:p w14:paraId="00BB9494">
            <w:r>
              <w:rPr>
                <w:rFonts w:hint="eastAsia"/>
                <w:sz w:val="18"/>
              </w:rPr>
              <w:t>1-3 标准体系框架与层级</w:t>
            </w:r>
          </w:p>
        </w:tc>
        <w:tc>
          <w:tcPr>
            <w:tcW w:w="1720" w:type="dxa"/>
          </w:tcPr>
          <w:p w14:paraId="4259692F">
            <w:r>
              <w:rPr>
                <w:rFonts w:hint="eastAsia"/>
                <w:sz w:val="18"/>
              </w:rPr>
              <w:t>增设评价层方向正确，两处引证需纠正</w:t>
            </w:r>
          </w:p>
        </w:tc>
        <w:tc>
          <w:tcPr>
            <w:tcW w:w="6000" w:type="dxa"/>
          </w:tcPr>
          <w:p w14:paraId="5C0614E5">
            <w:r>
              <w:rPr>
                <w:rFonts w:hint="eastAsia"/>
                <w:sz w:val="18"/>
              </w:rPr>
              <w:t>①准确性：以GB 45438-2025支撑“机身唯一标识”</w:t>
            </w:r>
            <w:r>
              <w:rPr>
                <w:rFonts w:hint="eastAsia"/>
                <w:sz w:val="18"/>
              </w:rPr>
              <w:t>，属引证错位——该强制国标规范的是AI生成合成内容的显式／隐式标识，适用对象为生成合成与内容传播服务提供者，与设备标识不同范畴；设备标识应引GB/T 41300-2022及《无人驾驶航空器飞行管理暂行条例》第九条。②深度：双维分级只给概念，未给等级数与矩阵定义，也未说明与SAE J3016的关系与差异。③深度：未处理“评价层”</w:t>
            </w:r>
            <w:r>
              <w:rPr>
                <w:rFonts w:hint="eastAsia"/>
                <w:sz w:val="18"/>
              </w:rPr>
              <w:t>与技术层中试验方法的边界，存在重复制定风险</w:t>
            </w:r>
          </w:p>
        </w:tc>
        <w:tc>
          <w:tcPr>
            <w:tcW w:w="5900" w:type="dxa"/>
          </w:tcPr>
          <w:p w14:paraId="109C675F">
            <w:r>
              <w:rPr>
                <w:rFonts w:hint="eastAsia"/>
                <w:sz w:val="18"/>
              </w:rPr>
              <w:t>①分列“设备唯一标识”</w:t>
            </w:r>
            <w:r>
              <w:rPr>
                <w:rFonts w:hint="eastAsia"/>
                <w:sz w:val="18"/>
              </w:rPr>
              <w:t>（引GB/T 41300-2022）与“输出内容标识”</w:t>
            </w:r>
            <w:r>
              <w:rPr>
                <w:rFonts w:hint="eastAsia"/>
                <w:sz w:val="18"/>
              </w:rPr>
              <w:t>（引GB 45438-2025）两条要求，并说明后者适用于机器人播报的合成语音、生成的文本与图像；②明确“自主等级L1—L5×风险等级R1—R4”</w:t>
            </w:r>
            <w:r>
              <w:rPr>
                <w:rFonts w:hint="eastAsia"/>
                <w:sz w:val="18"/>
              </w:rPr>
              <w:t>矩阵及各等级的操作主体、接管要求与授权范围；③明确技术层管“要求”</w:t>
            </w:r>
            <w:r>
              <w:rPr>
                <w:rFonts w:hint="eastAsia"/>
                <w:sz w:val="18"/>
              </w:rPr>
              <w:t>、评价层管“方法与判定规则”</w:t>
            </w:r>
            <w:r>
              <w:rPr>
                <w:rFonts w:hint="eastAsia"/>
                <w:sz w:val="18"/>
              </w:rPr>
              <w:t>的边界，并衔接YD/T 6770-2026与TC591机器人检测分技委；④技术方向增列“多智能体协同”“数据与模型”</w:t>
            </w:r>
            <w:r>
              <w:rPr>
                <w:rFonts w:hint="eastAsia"/>
                <w:sz w:val="18"/>
              </w:rPr>
              <w:t>两个方向</w:t>
            </w:r>
          </w:p>
        </w:tc>
      </w:tr>
      <w:tr>
        <w:trPr/>
        <w:tc>
          <w:tcPr>
            <w:tcW w:w="1520" w:type="dxa"/>
          </w:tcPr>
          <w:p w14:paraId="376FA8C6">
            <w:r>
              <w:rPr>
                <w:rFonts w:hint="eastAsia"/>
                <w:sz w:val="18"/>
              </w:rPr>
              <w:t>1-4 推进步骤与节奏</w:t>
            </w:r>
          </w:p>
        </w:tc>
        <w:tc>
          <w:tcPr>
            <w:tcW w:w="1720" w:type="dxa"/>
          </w:tcPr>
          <w:p w14:paraId="132D926F">
            <w:r>
              <w:rPr>
                <w:rFonts w:hint="eastAsia"/>
                <w:sz w:val="18"/>
              </w:rPr>
              <w:t>三阶段可行，缺起算点、依据与风险假设</w:t>
            </w:r>
          </w:p>
        </w:tc>
        <w:tc>
          <w:tcPr>
            <w:tcW w:w="6000" w:type="dxa"/>
          </w:tcPr>
          <w:p w14:paraId="47C70B47">
            <w:r>
              <w:rPr>
                <w:rFonts w:hint="eastAsia"/>
                <w:sz w:val="18"/>
              </w:rPr>
              <w:t>①准确性：三阶段未明确起算时点，在正式文件中无法执行。②深度：急用先行直接指定三类场景，未给选择依据与可复核的排序方法。③深度：无风险侧假设——未讨论产业迭代（大模型约6—12个月）快于标准法定程序（通常18—24个月）时的过渡安排。④可操作性：检测能力建设未说谁出钱、建在哪、周期多长、如何判合格</w:t>
            </w:r>
          </w:p>
        </w:tc>
        <w:tc>
          <w:tcPr>
            <w:tcW w:w="5900" w:type="dxa"/>
          </w:tcPr>
          <w:p w14:paraId="6FBFED32">
            <w:r>
              <w:rPr>
                <w:rFonts w:hint="eastAsia"/>
                <w:sz w:val="18"/>
              </w:rPr>
              <w:t>①三阶段明确以2026年为起算点并给出各阶段标志性成果；②急用场景选择改为“人员风险替代度×技术成熟度×需求迫切度×标准空白度”</w:t>
            </w:r>
            <w:r>
              <w:rPr>
                <w:rFonts w:hint="eastAsia"/>
                <w:sz w:val="18"/>
              </w:rPr>
              <w:t>四因子打分排序，三类场景作为初筛结果呈现；③补“框架标准＋技术规范”</w:t>
            </w:r>
            <w:r>
              <w:rPr>
                <w:rFonts w:hint="eastAsia"/>
                <w:sz w:val="18"/>
              </w:rPr>
              <w:t>双轨机制（技术规范以指导性技术文件6个月内发布）与无标准期的过渡安排；④标准立项须同步上报检测能力建设方案（机构、设备、人员、经费来源、能力验证周期）</w:t>
            </w:r>
          </w:p>
        </w:tc>
      </w:tr>
      <w:tr>
        <w:trPr/>
        <w:tc>
          <w:tcPr>
            <w:tcW w:w="1520" w:type="dxa"/>
          </w:tcPr>
          <w:p w14:paraId="5B14849F">
            <w:r>
              <w:rPr>
                <w:rFonts w:hint="eastAsia"/>
                <w:sz w:val="18"/>
              </w:rPr>
              <w:t>1-5 标准清单</w:t>
            </w:r>
          </w:p>
        </w:tc>
        <w:tc>
          <w:tcPr>
            <w:tcW w:w="1720" w:type="dxa"/>
          </w:tcPr>
          <w:p w14:paraId="36E2F781">
            <w:r>
              <w:rPr>
                <w:rFonts w:hint="eastAsia"/>
                <w:sz w:val="18"/>
              </w:rPr>
              <w:t>清单可用但偏薄，缺冲突分析与国际对标</w:t>
            </w:r>
          </w:p>
        </w:tc>
        <w:tc>
          <w:tcPr>
            <w:tcW w:w="6000" w:type="dxa"/>
          </w:tcPr>
          <w:p w14:paraId="10300519">
            <w:r>
              <w:rPr>
                <w:rFonts w:hint="eastAsia"/>
                <w:sz w:val="18"/>
              </w:rPr>
              <w:t>①准确性：所列标准未注明适用边界，如GB 42590-2023适用对象为民用无人机，其条款不能直接等同适用。②深度：未做交叉与冲突分析——GA/T 1411系列与GB 42590-2023在适用对象与强制力上的关系未说明；机器人标准若直接引用民用条款，可能与警用部分口径分歧。③深度：无国际对标，未列ISO/TC299、ISO 10218、ISO/TS 15066、ISO/IEC 42001、IEC 62443等。④可操作性：未指明谁负责跟踪在研标准、以何种频率更新</w:t>
            </w:r>
          </w:p>
        </w:tc>
        <w:tc>
          <w:tcPr>
            <w:tcW w:w="5900" w:type="dxa"/>
          </w:tcPr>
          <w:p w14:paraId="089E6F66">
            <w:r>
              <w:rPr>
                <w:rFonts w:hint="eastAsia"/>
                <w:sz w:val="18"/>
              </w:rPr>
              <w:t>①逐项标注适用边界与引用方式（规范性引用／资料性参考／不适用及理由）；②补交叉冲突分析，并建议对GA/T 1411系列开展一次适用性复审，评估将机器人纳入其调整范围或另立系列的利弊；③补国际对标章节与标准国际化路径；④拟立项清单由5项扩充至覆盖基础、技术、管理、评价四层（见附表C修订版），并明确跟踪在研标准的责任单位与更新频率</w:t>
            </w:r>
          </w:p>
        </w:tc>
      </w:tr>
    </w:tbl>
    <w:p w14:paraId="4D49C89F">
      <w:pPr>
        <w:keepNext w:val="1"/>
        <w:keepLines w:val="1"/>
        <w:spacing w:before="100" w:beforeAutospacing="1" w:after="100" w:afterAutospacing="1"/>
        <w:outlineLvl w:val="2"/>
        <w:rPr>
          <w:sz w:val="32"/>
          <w:szCs w:val="32"/>
        </w:rPr>
      </w:pPr>
      <w:r>
        <w:rPr>
          <w:rFonts w:hint="eastAsia"/>
          <w:b w:val="1"/>
          <w:sz w:val="32"/>
        </w:rPr>
        <w:t>（二）维度二　应用场景</w:t>
      </w:r>
    </w:p>
    <w:tbl>
      <w:tblPr>
        <w:tblW w:w="1514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520"/>
        <w:gridCol w:w="1720"/>
        <w:gridCol w:w="6000"/>
        <w:gridCol w:w="5900"/>
      </w:tblGrid>
      <w:tr>
        <w:trPr>
          <w:tblHeader w:val="1"/>
        </w:trPr>
        <w:tc>
          <w:tcPr>
            <w:tcW w:w="1520" w:type="dxa"/>
          </w:tcPr>
          <w:p w14:paraId="4AB5A59D">
            <w:pPr>
              <w:rPr>
                <w:b w:val="1"/>
                <w:bCs w:val="1"/>
              </w:rPr>
            </w:pPr>
            <w:r>
              <w:rPr>
                <w:rFonts w:hint="eastAsia"/>
                <w:b w:val="1"/>
                <w:sz w:val="18"/>
              </w:rPr>
              <w:t>条目</w:t>
            </w:r>
          </w:p>
        </w:tc>
        <w:tc>
          <w:tcPr>
            <w:tcW w:w="1720" w:type="dxa"/>
          </w:tcPr>
          <w:p w14:paraId="1F62D5F4">
            <w:pPr>
              <w:rPr>
                <w:b w:val="1"/>
                <w:bCs w:val="1"/>
              </w:rPr>
            </w:pPr>
            <w:r>
              <w:rPr>
                <w:rFonts w:hint="eastAsia"/>
                <w:b w:val="1"/>
                <w:sz w:val="18"/>
              </w:rPr>
              <w:t>定性结论</w:t>
            </w:r>
          </w:p>
        </w:tc>
        <w:tc>
          <w:tcPr>
            <w:tcW w:w="6000" w:type="dxa"/>
          </w:tcPr>
          <w:p w14:paraId="59302AD9">
            <w:pPr>
              <w:rPr>
                <w:b w:val="1"/>
                <w:bCs w:val="1"/>
              </w:rPr>
            </w:pPr>
            <w:r>
              <w:rPr>
                <w:rFonts w:hint="eastAsia"/>
                <w:b w:val="1"/>
                <w:sz w:val="18"/>
              </w:rPr>
              <w:t>主要不足（深度／准确性／可操作性）</w:t>
            </w:r>
          </w:p>
        </w:tc>
        <w:tc>
          <w:tcPr>
            <w:tcW w:w="5900" w:type="dxa"/>
          </w:tcPr>
          <w:p w14:paraId="13C93A7E">
            <w:pPr>
              <w:rPr>
                <w:b w:val="1"/>
                <w:bCs w:val="1"/>
              </w:rPr>
            </w:pPr>
            <w:r>
              <w:rPr>
                <w:rFonts w:hint="eastAsia"/>
                <w:b w:val="1"/>
                <w:sz w:val="18"/>
              </w:rPr>
              <w:t>修改要点</w:t>
            </w:r>
          </w:p>
        </w:tc>
      </w:tr>
      <w:tr>
        <w:trPr/>
        <w:tc>
          <w:tcPr>
            <w:tcW w:w="1520" w:type="dxa"/>
          </w:tcPr>
          <w:p w14:paraId="54901B57">
            <w:r>
              <w:rPr>
                <w:rFonts w:hint="eastAsia"/>
                <w:sz w:val="18"/>
              </w:rPr>
              <w:t>2-1 场景识别与优先级</w:t>
            </w:r>
          </w:p>
        </w:tc>
        <w:tc>
          <w:tcPr>
            <w:tcW w:w="1720" w:type="dxa"/>
          </w:tcPr>
          <w:p w14:paraId="31BF7D18">
            <w:r>
              <w:rPr>
                <w:rFonts w:hint="eastAsia"/>
                <w:sz w:val="18"/>
              </w:rPr>
              <w:t>排序框架合理，依据不足且候选场景不全</w:t>
            </w:r>
          </w:p>
        </w:tc>
        <w:tc>
          <w:tcPr>
            <w:tcW w:w="6000" w:type="dxa"/>
          </w:tcPr>
          <w:p w14:paraId="20FF07ED">
            <w:r>
              <w:rPr>
                <w:rFonts w:hint="eastAsia"/>
                <w:sz w:val="18"/>
              </w:rPr>
              <w:t>①深度：“人员风险高、人力占用大、技术可行度高”</w:t>
            </w:r>
            <w:r>
              <w:rPr>
                <w:rFonts w:hint="eastAsia"/>
                <w:sz w:val="18"/>
              </w:rPr>
              <w:t>三标准无权重、无打分方法，“技术可行度高”</w:t>
            </w:r>
            <w:r>
              <w:rPr>
                <w:rFonts w:hint="eastAsia"/>
                <w:sz w:val="18"/>
              </w:rPr>
              <w:t>如何判定未说明，无法复核。②准确性：场景清单遗漏边海防口岸检查、轨道交通枢纽、危化园区、水域救援等公共安全重点场景。③可操作性：《应用场景目录》未明确发布主体、编制流程、与装备列装目录的衔接方式，也未设退出条件，“成熟一个纳入一个”</w:t>
            </w:r>
            <w:r>
              <w:rPr>
                <w:rFonts w:hint="eastAsia"/>
                <w:sz w:val="18"/>
              </w:rPr>
              <w:t>只说了进没说退</w:t>
            </w:r>
          </w:p>
        </w:tc>
        <w:tc>
          <w:tcPr>
            <w:tcW w:w="5900" w:type="dxa"/>
          </w:tcPr>
          <w:p w14:paraId="7BDC6EF1">
            <w:r>
              <w:rPr>
                <w:rFonts w:hint="eastAsia"/>
                <w:sz w:val="18"/>
              </w:rPr>
              <w:t>①改为四因子评分矩阵（人员风险替代度、人力占用强度、技术成熟度按TRL评定、标准空白度），各0—5分加权求和；②补入遗漏的候选场景，并将水域救援等“高风险、低成熟”</w:t>
            </w:r>
            <w:r>
              <w:rPr>
                <w:rFonts w:hint="eastAsia"/>
                <w:sz w:val="18"/>
              </w:rPr>
              <w:t>场景列入观察名单；③明确目录发布主体、编制流程、与列装目录衔接方式，并补“失效退出”</w:t>
            </w:r>
            <w:r>
              <w:rPr>
                <w:rFonts w:hint="eastAsia"/>
                <w:sz w:val="18"/>
              </w:rPr>
              <w:t>条件；④排爆场景与SAC/TC577既有标准衔接</w:t>
            </w:r>
          </w:p>
        </w:tc>
      </w:tr>
      <w:tr>
        <w:trPr/>
        <w:tc>
          <w:tcPr>
            <w:tcW w:w="1520" w:type="dxa"/>
          </w:tcPr>
          <w:p w14:paraId="585FE9F8">
            <w:r>
              <w:rPr>
                <w:rFonts w:hint="eastAsia"/>
                <w:sz w:val="18"/>
              </w:rPr>
              <w:t>2-2 功能性能要求与指标</w:t>
            </w:r>
          </w:p>
        </w:tc>
        <w:tc>
          <w:tcPr>
            <w:tcW w:w="1720" w:type="dxa"/>
          </w:tcPr>
          <w:p w14:paraId="343D830A">
            <w:r>
              <w:rPr>
                <w:rFonts w:hint="eastAsia"/>
                <w:sz w:val="18"/>
              </w:rPr>
              <w:t>指标方向对，取值无依据、两处不可检验</w:t>
            </w:r>
          </w:p>
        </w:tc>
        <w:tc>
          <w:tcPr>
            <w:tcW w:w="6000" w:type="dxa"/>
          </w:tcPr>
          <w:p w14:paraId="474C57DD">
            <w:r>
              <w:rPr>
                <w:rFonts w:hint="eastAsia"/>
                <w:sz w:val="18"/>
              </w:rPr>
              <w:t>①准确性：全部指标未说明来源（推导值／行业实测／既有标准），无法进入标准文本。②准确性：“误报率≤2次/小时·路”</w:t>
            </w:r>
            <w:r>
              <w:rPr>
                <w:rFonts w:hint="eastAsia"/>
                <w:sz w:val="18"/>
              </w:rPr>
              <w:t>分母口径不明，多目机器人按此折算每小时可容许十余次误报，指标形同虚设。③准确性：“IP54”</w:t>
            </w:r>
            <w:r>
              <w:rPr>
                <w:rFonts w:hint="eastAsia"/>
                <w:sz w:val="18"/>
              </w:rPr>
              <w:t>低于警用室外装备通行做法，不具备防喷水能力，无法支撑雨雪涉水场景。④深度：漏项较多——无人机比上限、交互负荷、能耗与噪声、数据质量均缺失。⑤可操作性：双轨验证未给判据，“实验室通过、实战不通过”</w:t>
            </w:r>
            <w:r>
              <w:rPr>
                <w:rFonts w:hint="eastAsia"/>
                <w:sz w:val="18"/>
              </w:rPr>
              <w:t>如何处理未规定</w:t>
            </w:r>
          </w:p>
        </w:tc>
        <w:tc>
          <w:tcPr>
            <w:tcW w:w="5900" w:type="dxa"/>
          </w:tcPr>
          <w:p w14:paraId="587B79BE">
            <w:r>
              <w:rPr>
                <w:rFonts w:hint="eastAsia"/>
                <w:sz w:val="18"/>
              </w:rPr>
              <w:t>①提出“三步定值法”</w:t>
            </w:r>
            <w:r>
              <w:rPr>
                <w:rFonts w:hint="eastAsia"/>
                <w:sz w:val="18"/>
              </w:rPr>
              <w:t>：行业实测基线（不少于3家厂商、每类不少于5台、累计不少于1000小时）→既有标准可引用值→试点校核定值，并在文本中注明来源与适用条件；②明确误报率分母口径（建议按“每台·每班次”</w:t>
            </w:r>
            <w:r>
              <w:rPr>
                <w:rFonts w:hint="eastAsia"/>
                <w:sz w:val="18"/>
              </w:rPr>
              <w:t>）；③环境与防护等级按使用环境分区设定，室外参考不低于IP65，具体值核对既有警用装备标准后确定；④补无人机比上限、交互负荷、能耗与噪声、数据质量四类指标；⑤双轨验证给出通过判据与复测次数上限、不通过处置规则；⑥自主等级逐级明确接管时限（建议≤500ms）与失效降级策略</w:t>
            </w:r>
          </w:p>
        </w:tc>
      </w:tr>
      <w:tr>
        <w:trPr/>
        <w:tc>
          <w:tcPr>
            <w:tcW w:w="1520" w:type="dxa"/>
          </w:tcPr>
          <w:p w14:paraId="3B02FF39">
            <w:r>
              <w:rPr>
                <w:rFonts w:hint="eastAsia"/>
                <w:sz w:val="18"/>
              </w:rPr>
              <w:t>2-3 人机协同与勤务模式</w:t>
            </w:r>
          </w:p>
        </w:tc>
        <w:tc>
          <w:tcPr>
            <w:tcW w:w="1720" w:type="dxa"/>
          </w:tcPr>
          <w:p w14:paraId="3F86E67F">
            <w:r>
              <w:rPr>
                <w:rFonts w:hint="eastAsia"/>
                <w:sz w:val="18"/>
              </w:rPr>
              <w:t>权责表述稳妥，缺接管量化指标与责任分担</w:t>
            </w:r>
          </w:p>
        </w:tc>
        <w:tc>
          <w:tcPr>
            <w:tcW w:w="6000" w:type="dxa"/>
          </w:tcPr>
          <w:p w14:paraId="3B4C2A10">
            <w:r>
              <w:rPr>
                <w:rFonts w:hint="eastAsia"/>
                <w:sz w:val="18"/>
              </w:rPr>
              <w:t>①可操作性：“秒级人工接管”</w:t>
            </w:r>
            <w:r>
              <w:rPr>
                <w:rFonts w:hint="eastAsia"/>
                <w:sz w:val="18"/>
              </w:rPr>
              <w:t>无具体阈值，无法验收；“通信中断进入安全态”</w:t>
            </w:r>
            <w:r>
              <w:rPr>
                <w:rFonts w:hint="eastAsia"/>
                <w:sz w:val="18"/>
              </w:rPr>
              <w:t>未给安全态定义、切换判据与恢复条件。②深度：勤务编组“1名民警＋2台机器人＋1架无人机”</w:t>
            </w:r>
            <w:r>
              <w:rPr>
                <w:rFonts w:hint="eastAsia"/>
                <w:sz w:val="18"/>
              </w:rPr>
              <w:t>无依据、无出处。③深度：只写“决定权归人”</w:t>
            </w:r>
            <w:r>
              <w:rPr>
                <w:rFonts w:hint="eastAsia"/>
                <w:sz w:val="18"/>
              </w:rPr>
              <w:t>，未回答机器人致害后的责任分担（国家赔偿／民警个人／厂商产品责任）。④准确性：未涉及与110接处警流程的对接，存在形成体系外“第二指挥链”</w:t>
            </w:r>
            <w:r>
              <w:rPr>
                <w:rFonts w:hint="eastAsia"/>
                <w:sz w:val="18"/>
              </w:rPr>
              <w:t>的风险。⑤可操作性：未规定人机比上限与复训周期</w:t>
            </w:r>
          </w:p>
        </w:tc>
        <w:tc>
          <w:tcPr>
            <w:tcW w:w="5900" w:type="dxa"/>
          </w:tcPr>
          <w:p w14:paraId="55034749">
            <w:r>
              <w:rPr>
                <w:rFonts w:hint="eastAsia"/>
                <w:sz w:val="18"/>
              </w:rPr>
              <w:t>①接管响应时限明确为建议值（≤500ms），安全态的定义、切换判据、恢复条件与验证方法写入标准；②编组改为“由试点实测确定，标准给出编成选取方法与参考区间”</w:t>
            </w:r>
            <w:r>
              <w:rPr>
                <w:rFonts w:hint="eastAsia"/>
                <w:sz w:val="18"/>
              </w:rPr>
              <w:t>；③补责任分担规则：按自主等级分档界定责任主体，强制决策链留痕（感知输入—模型版本—决策输出—人工确认—执行结果）可回溯，留痕期不少于3年，配套产品责任与科技保险；④明确机器人警情的派单规则、审批环节与处置闭环；⑤明确复训周期与资质有效期，持证上岗</w:t>
            </w:r>
          </w:p>
        </w:tc>
      </w:tr>
      <w:tr>
        <w:trPr/>
        <w:tc>
          <w:tcPr>
            <w:tcW w:w="1520" w:type="dxa"/>
          </w:tcPr>
          <w:p w14:paraId="1E49AE62">
            <w:r>
              <w:rPr>
                <w:rFonts w:hint="eastAsia"/>
                <w:sz w:val="18"/>
              </w:rPr>
              <w:t>2-4 场景落地突出问题</w:t>
            </w:r>
          </w:p>
        </w:tc>
        <w:tc>
          <w:tcPr>
            <w:tcW w:w="1720" w:type="dxa"/>
          </w:tcPr>
          <w:p w14:paraId="14C7A09E">
            <w:r>
              <w:rPr>
                <w:rFonts w:hint="eastAsia"/>
                <w:sz w:val="18"/>
              </w:rPr>
              <w:t>问题识别到位，对策偏原则、协调机制缺失</w:t>
            </w:r>
          </w:p>
        </w:tc>
        <w:tc>
          <w:tcPr>
            <w:tcW w:w="6000" w:type="dxa"/>
          </w:tcPr>
          <w:p w14:paraId="5AD40CB0">
            <w:r>
              <w:rPr>
                <w:rFonts w:hint="eastAsia"/>
                <w:sz w:val="18"/>
              </w:rPr>
              <w:t>①深度：问题清单未按发生频次与后果排序，无法支撑优先级判断。②深度：“大模型幻觉”</w:t>
            </w:r>
            <w:r>
              <w:rPr>
                <w:rFonts w:hint="eastAsia"/>
                <w:sz w:val="18"/>
              </w:rPr>
              <w:t>未给具体失效场景与可量化对策，“安全围栏”</w:t>
            </w:r>
            <w:r>
              <w:rPr>
                <w:rFonts w:hint="eastAsia"/>
                <w:sz w:val="18"/>
              </w:rPr>
              <w:t>未分级。③深度：“模块化设计与通用接口”</w:t>
            </w:r>
            <w:r>
              <w:rPr>
                <w:rFonts w:hint="eastAsia"/>
                <w:sz w:val="18"/>
              </w:rPr>
              <w:t>未给模块划分建议。④可操作性：跨部门事项只写“提请部级层面协调明确”</w:t>
            </w:r>
            <w:r>
              <w:rPr>
                <w:rFonts w:hint="eastAsia"/>
                <w:sz w:val="18"/>
              </w:rPr>
              <w:t>，未给提请方式、参与部门、会商频次与产出</w:t>
            </w:r>
          </w:p>
        </w:tc>
        <w:tc>
          <w:tcPr>
            <w:tcW w:w="5900" w:type="dxa"/>
          </w:tcPr>
          <w:p w14:paraId="693402AF">
            <w:r>
              <w:rPr>
                <w:rFonts w:hint="eastAsia"/>
                <w:sz w:val="18"/>
              </w:rPr>
              <w:t>①问题按发生频次与后果重排；②安全围栏分三级——低风险动作自主执行、中风险须人工确认、高风险（强制、拦截、告警升级）强制人工确认并双人在场；③明确机械、电气、通信、软件四类接口的标准化模块划分；④跨部门协调给出具体机制（见新增建议8），明确提请路径与年度会商制度</w:t>
            </w:r>
          </w:p>
        </w:tc>
      </w:tr>
    </w:tbl>
    <w:p w14:paraId="520D5A36">
      <w:pPr>
        <w:keepNext w:val="1"/>
        <w:keepLines w:val="1"/>
        <w:spacing w:before="100" w:beforeAutospacing="1" w:after="100" w:afterAutospacing="1"/>
        <w:outlineLvl w:val="2"/>
        <w:rPr>
          <w:sz w:val="32"/>
          <w:szCs w:val="32"/>
        </w:rPr>
      </w:pPr>
      <w:r>
        <w:rPr>
          <w:rFonts w:hint="eastAsia"/>
          <w:b w:val="1"/>
          <w:sz w:val="32"/>
        </w:rPr>
        <w:t>（三）维度三　技术路径</w:t>
      </w:r>
    </w:p>
    <w:tbl>
      <w:tblPr>
        <w:tblW w:w="1514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520"/>
        <w:gridCol w:w="1720"/>
        <w:gridCol w:w="6000"/>
        <w:gridCol w:w="5900"/>
      </w:tblGrid>
      <w:tr>
        <w:trPr>
          <w:tblHeader w:val="1"/>
        </w:trPr>
        <w:tc>
          <w:tcPr>
            <w:tcW w:w="1520" w:type="dxa"/>
          </w:tcPr>
          <w:p w14:paraId="2B62B848">
            <w:pPr>
              <w:rPr>
                <w:b w:val="1"/>
                <w:bCs w:val="1"/>
              </w:rPr>
            </w:pPr>
            <w:r>
              <w:rPr>
                <w:rFonts w:hint="eastAsia"/>
                <w:b w:val="1"/>
                <w:sz w:val="18"/>
              </w:rPr>
              <w:t>条目</w:t>
            </w:r>
          </w:p>
        </w:tc>
        <w:tc>
          <w:tcPr>
            <w:tcW w:w="1720" w:type="dxa"/>
          </w:tcPr>
          <w:p w14:paraId="643892C3">
            <w:pPr>
              <w:rPr>
                <w:b w:val="1"/>
                <w:bCs w:val="1"/>
              </w:rPr>
            </w:pPr>
            <w:r>
              <w:rPr>
                <w:rFonts w:hint="eastAsia"/>
                <w:b w:val="1"/>
                <w:sz w:val="18"/>
              </w:rPr>
              <w:t>定性结论</w:t>
            </w:r>
          </w:p>
        </w:tc>
        <w:tc>
          <w:tcPr>
            <w:tcW w:w="6000" w:type="dxa"/>
          </w:tcPr>
          <w:p w14:paraId="27CAD9E2">
            <w:pPr>
              <w:rPr>
                <w:b w:val="1"/>
                <w:bCs w:val="1"/>
              </w:rPr>
            </w:pPr>
            <w:r>
              <w:rPr>
                <w:rFonts w:hint="eastAsia"/>
                <w:b w:val="1"/>
                <w:sz w:val="18"/>
              </w:rPr>
              <w:t>主要不足（深度／准确性／可操作性）</w:t>
            </w:r>
          </w:p>
        </w:tc>
        <w:tc>
          <w:tcPr>
            <w:tcW w:w="5900" w:type="dxa"/>
          </w:tcPr>
          <w:p w14:paraId="70BD2527">
            <w:pPr>
              <w:rPr>
                <w:b w:val="1"/>
                <w:bCs w:val="1"/>
              </w:rPr>
            </w:pPr>
            <w:r>
              <w:rPr>
                <w:rFonts w:hint="eastAsia"/>
                <w:b w:val="1"/>
                <w:sz w:val="18"/>
              </w:rPr>
              <w:t>修改要点</w:t>
            </w:r>
          </w:p>
        </w:tc>
      </w:tr>
      <w:tr>
        <w:trPr/>
        <w:tc>
          <w:tcPr>
            <w:tcW w:w="1520" w:type="dxa"/>
          </w:tcPr>
          <w:p w14:paraId="10AE540F">
            <w:r>
              <w:rPr>
                <w:rFonts w:hint="eastAsia"/>
                <w:sz w:val="18"/>
              </w:rPr>
              <w:t>3-1 关键技术方向与攻关重点</w:t>
            </w:r>
          </w:p>
        </w:tc>
        <w:tc>
          <w:tcPr>
            <w:tcW w:w="1720" w:type="dxa"/>
          </w:tcPr>
          <w:p w14:paraId="09FD5724">
            <w:r>
              <w:rPr>
                <w:rFonts w:hint="eastAsia"/>
                <w:sz w:val="18"/>
              </w:rPr>
              <w:t>方向判断准确，缺成熟度依据与“数据”</w:t>
            </w:r>
            <w:r>
              <w:rPr>
                <w:rFonts w:hint="eastAsia"/>
                <w:sz w:val="18"/>
              </w:rPr>
              <w:t>主线</w:t>
            </w:r>
          </w:p>
        </w:tc>
        <w:tc>
          <w:tcPr>
            <w:tcW w:w="6000" w:type="dxa"/>
          </w:tcPr>
          <w:p w14:paraId="027B58EA">
            <w:r>
              <w:rPr>
                <w:rFonts w:hint="eastAsia"/>
                <w:sz w:val="18"/>
              </w:rPr>
              <w:t>①可操作性：攻关优先序直接给出，无成熟度评估方法与依据，无法复核也无法据以分配资源。②深度：完全未涉及“数据”</w:t>
            </w:r>
            <w:r>
              <w:rPr>
                <w:rFonts w:hint="eastAsia"/>
                <w:sz w:val="18"/>
              </w:rPr>
              <w:t>这一核心要素——数据采集规范、标注质量、数据集验收判据、仿真数据与真实数据配比、sim2real迁移效果验证均缺失；而数据采集已被MIIT/TC8列为急需标准。③深度：未涉及能源与补能基础设施（电池安全、自动换电接口、充电设施统筹）。④可操作性：“断网持续作业能力”“模型可回滚”</w:t>
            </w:r>
            <w:r>
              <w:rPr>
                <w:rFonts w:hint="eastAsia"/>
                <w:sz w:val="18"/>
              </w:rPr>
              <w:t>均无量化要求</w:t>
            </w:r>
          </w:p>
        </w:tc>
        <w:tc>
          <w:tcPr>
            <w:tcW w:w="5900" w:type="dxa"/>
          </w:tcPr>
          <w:p w14:paraId="15DC2705">
            <w:r>
              <w:rPr>
                <w:rFonts w:hint="eastAsia"/>
                <w:sz w:val="18"/>
              </w:rPr>
              <w:t>①以TRL等级＋瓶颈程度双维评估给出优先序，标明各技术当前与目标TRL等级及时间窗；②增列“数据与模型”</w:t>
            </w:r>
            <w:r>
              <w:rPr>
                <w:rFonts w:hint="eastAsia"/>
                <w:sz w:val="18"/>
              </w:rPr>
              <w:t>主线（采集、标注、数据集质量、仿真与真实配比、模型版本管理）；③增列“能源与补能”</w:t>
            </w:r>
            <w:r>
              <w:rPr>
                <w:rFonts w:hint="eastAsia"/>
                <w:sz w:val="18"/>
              </w:rPr>
              <w:t>主线；④断网持续作业给出参考值（建议不少于30分钟并说明适用场景），模型回滚明确时限与验证方式；⑤大模型专项衔接在编的《人工智能 具身智能大模型系统技术要求》与GB/T 45654-2025</w:t>
            </w:r>
          </w:p>
        </w:tc>
      </w:tr>
      <w:tr>
        <w:trPr/>
        <w:tc>
          <w:tcPr>
            <w:tcW w:w="1520" w:type="dxa"/>
          </w:tcPr>
          <w:p w14:paraId="725E256C">
            <w:r>
              <w:rPr>
                <w:rFonts w:hint="eastAsia"/>
                <w:sz w:val="18"/>
              </w:rPr>
              <w:t>3-2 技术架构与接口规范</w:t>
            </w:r>
          </w:p>
        </w:tc>
        <w:tc>
          <w:tcPr>
            <w:tcW w:w="1720" w:type="dxa"/>
          </w:tcPr>
          <w:p w14:paraId="0D8502C5">
            <w:r>
              <w:rPr>
                <w:rFonts w:hint="eastAsia"/>
                <w:sz w:val="18"/>
              </w:rPr>
              <w:t>四类北向接口有价值，ROS 2建议与安全要求需修正</w:t>
            </w:r>
          </w:p>
        </w:tc>
        <w:tc>
          <w:tcPr>
            <w:tcW w:w="6000" w:type="dxa"/>
          </w:tcPr>
          <w:p w14:paraId="1CE187B8">
            <w:r>
              <w:rPr>
                <w:rFonts w:hint="eastAsia"/>
                <w:sz w:val="18"/>
              </w:rPr>
              <w:t>①准确性：“兼容ROS 2接口约定”</w:t>
            </w:r>
            <w:r>
              <w:rPr>
                <w:rFonts w:hint="eastAsia"/>
                <w:sz w:val="18"/>
              </w:rPr>
              <w:t>未评估开源中间件进入公安专网的安全审查与供应链风险，ROS 2/DDS不具备自主可控条件。②准确性：GB/T 28181未标版本，应为GB/T 28181-2022。③深度：缺模型与算力接口（模型下发、版本管理、OTA）与时间同步要求（多机协同的时序一致性）。④深度：安全要求未涉及国家商用密码应用要求与等保定级。⑤可操作性：“一机多平台注册”</w:t>
            </w:r>
            <w:r>
              <w:rPr>
                <w:rFonts w:hint="eastAsia"/>
                <w:sz w:val="18"/>
              </w:rPr>
              <w:t>未明确设备的统一编码与登记主体</w:t>
            </w:r>
          </w:p>
        </w:tc>
        <w:tc>
          <w:tcPr>
            <w:tcW w:w="5900" w:type="dxa"/>
          </w:tcPr>
          <w:p w14:paraId="197F2328">
            <w:r>
              <w:rPr>
                <w:rFonts w:hint="eastAsia"/>
                <w:sz w:val="18"/>
              </w:rPr>
              <w:t>①改为“约定必要的接口语义与数据模型，不指定具体实现”</w:t>
            </w:r>
            <w:r>
              <w:rPr>
                <w:rFonts w:hint="eastAsia"/>
                <w:sz w:val="18"/>
              </w:rPr>
              <w:t>，并另制开源与第三方组件安全评估准入清单（见新增建议7）；②标准号统一到GB/T 28181-2022；③补模型与算力接口、时间同步（建议支持北斗／PTP授时）及其量化要求；④安全要求补商用密码应用要求（参照信息系统密码应用基本要求类国家标准及GM/T系列）、等保定级与关键信息基础设施认定情形；⑤明确设备统一编码、登记主体、变更与注销流程</w:t>
            </w:r>
          </w:p>
        </w:tc>
      </w:tr>
      <w:tr>
        <w:trPr/>
        <w:tc>
          <w:tcPr>
            <w:tcW w:w="1520" w:type="dxa"/>
          </w:tcPr>
          <w:p w14:paraId="7DF15AC0">
            <w:r>
              <w:rPr>
                <w:rFonts w:hint="eastAsia"/>
                <w:sz w:val="18"/>
              </w:rPr>
              <w:t>3-3 试验验证与检验认证</w:t>
            </w:r>
          </w:p>
        </w:tc>
        <w:tc>
          <w:tcPr>
            <w:tcW w:w="1720" w:type="dxa"/>
          </w:tcPr>
          <w:p w14:paraId="233B9DBD">
            <w:r>
              <w:rPr>
                <w:rFonts w:hint="eastAsia"/>
                <w:sz w:val="18"/>
              </w:rPr>
              <w:t>三级测试体系成立，认证类比错误、基础设施太泛</w:t>
            </w:r>
          </w:p>
        </w:tc>
        <w:tc>
          <w:tcPr>
            <w:tcW w:w="6000" w:type="dxa"/>
          </w:tcPr>
          <w:p w14:paraId="4A5CF904">
            <w:r>
              <w:rPr>
                <w:rFonts w:hint="eastAsia"/>
                <w:sz w:val="18"/>
              </w:rPr>
              <w:t>①准确性：以“CCC认证”</w:t>
            </w:r>
            <w:r>
              <w:rPr>
                <w:rFonts w:hint="eastAsia"/>
                <w:sz w:val="18"/>
              </w:rPr>
              <w:t>类比警用装备准入属制度错位，警用装备走装备定型与检测制度而非CCC。②深度：未涉及测试数据集与场景库的建设标准、对抗测试（红队）的组织方式与强度分级。③可操作性：测试场“依托北京亦庄、深圳等集群共建”</w:t>
            </w:r>
            <w:r>
              <w:rPr>
                <w:rFonts w:hint="eastAsia"/>
                <w:sz w:val="18"/>
              </w:rPr>
              <w:t>未给选址依据、投资来源、运行主体，存在多地重复投资风险；测试周期与成本无估算要求。④深度：检测尺度一致性只提“比对机制”</w:t>
            </w:r>
            <w:r>
              <w:rPr>
                <w:rFonts w:hint="eastAsia"/>
                <w:sz w:val="18"/>
              </w:rPr>
              <w:t>，未给频次与判定</w:t>
            </w:r>
          </w:p>
        </w:tc>
        <w:tc>
          <w:tcPr>
            <w:tcW w:w="5900" w:type="dxa"/>
          </w:tcPr>
          <w:p w14:paraId="649108FF">
            <w:r>
              <w:rPr>
                <w:rFonts w:hint="eastAsia"/>
                <w:sz w:val="18"/>
              </w:rPr>
              <w:t>①认证模式改为参照现行警用装备定型与检测制度，实行“产品定型检测＋场景准入”</w:t>
            </w:r>
            <w:r>
              <w:rPr>
                <w:rFonts w:hint="eastAsia"/>
                <w:sz w:val="18"/>
              </w:rPr>
              <w:t>双证管理；②补测试数据集与场景库建设标准、对抗测试红队组织方式与强度分级；③测试基地改为“在现有集群中择优认定2—3个，明确认定条件、投资来源、运行主体与考核办法”</w:t>
            </w:r>
            <w:r>
              <w:rPr>
                <w:rFonts w:hint="eastAsia"/>
                <w:sz w:val="18"/>
              </w:rPr>
              <w:t>，避免重复投资；④明确检测机构CMA/CNAS资质与指定认可要求、报告可溯源、机构间年度比对；⑤补测试周期与成本估算要求，供立项预算编制参考</w:t>
            </w:r>
          </w:p>
        </w:tc>
      </w:tr>
      <w:tr>
        <w:trPr/>
        <w:tc>
          <w:tcPr>
            <w:tcW w:w="1520" w:type="dxa"/>
          </w:tcPr>
          <w:p w14:paraId="58B855D7">
            <w:r>
              <w:rPr>
                <w:rFonts w:hint="eastAsia"/>
                <w:sz w:val="18"/>
              </w:rPr>
              <w:t>3-4 与信息化体系衔接</w:t>
            </w:r>
          </w:p>
        </w:tc>
        <w:tc>
          <w:tcPr>
            <w:tcW w:w="1720" w:type="dxa"/>
          </w:tcPr>
          <w:p w14:paraId="27282EA9">
            <w:r>
              <w:rPr>
                <w:rFonts w:hint="eastAsia"/>
                <w:sz w:val="18"/>
              </w:rPr>
              <w:t>融合路径清晰，缺存量装备衔接与设施权属</w:t>
            </w:r>
          </w:p>
        </w:tc>
        <w:tc>
          <w:tcPr>
            <w:tcW w:w="6000" w:type="dxa"/>
          </w:tcPr>
          <w:p w14:paraId="56171F41">
            <w:r>
              <w:rPr>
                <w:rFonts w:hint="eastAsia"/>
                <w:sz w:val="18"/>
              </w:rPr>
              <w:t>①深度：未涉及存量装备衔接——已采购机器人的接口适配情况未普查，存在“标准出台即形成存量包袱”</w:t>
            </w:r>
            <w:r>
              <w:rPr>
                <w:rFonts w:hint="eastAsia"/>
                <w:sz w:val="18"/>
              </w:rPr>
              <w:t>的风险。②深度：未提与“雪亮工程”“天网”</w:t>
            </w:r>
            <w:r>
              <w:rPr>
                <w:rFonts w:hint="eastAsia"/>
                <w:sz w:val="18"/>
              </w:rPr>
              <w:t>等既有感知体系的关系，也未明确时空底座归属。③可操作性：“一机多平台注册”</w:t>
            </w:r>
            <w:r>
              <w:rPr>
                <w:rFonts w:hint="eastAsia"/>
                <w:sz w:val="18"/>
              </w:rPr>
              <w:t>未明确登记主体与注销流程。④可操作性：与低空经济基础设施统筹未涉设施权属、投资分担与运维责任</w:t>
            </w:r>
          </w:p>
        </w:tc>
        <w:tc>
          <w:tcPr>
            <w:tcW w:w="5900" w:type="dxa"/>
          </w:tcPr>
          <w:p w14:paraId="01036F0D">
            <w:r>
              <w:rPr>
                <w:rFonts w:hint="eastAsia"/>
                <w:sz w:val="18"/>
              </w:rPr>
              <w:t>①补存量装备普查：明确软件升级可适配、需硬件改造、无法适配三类清单及处置办法；②明确与既有感知体系的关系及时空底座归属；③明确设备登记主体、变更与注销流程；④与低空基础设施及市政设施统筹时明确权属、投资分担与运维责任，防止重复建设</w:t>
            </w:r>
          </w:p>
        </w:tc>
      </w:tr>
    </w:tbl>
    <w:p w14:paraId="7A3AF676">
      <w:pPr>
        <w:keepNext w:val="1"/>
        <w:keepLines w:val="1"/>
        <w:spacing w:before="100" w:beforeAutospacing="1" w:after="100" w:afterAutospacing="1"/>
        <w:outlineLvl w:val="2"/>
        <w:rPr>
          <w:sz w:val="32"/>
          <w:szCs w:val="32"/>
        </w:rPr>
      </w:pPr>
      <w:r>
        <w:rPr>
          <w:rFonts w:hint="eastAsia"/>
          <w:b w:val="1"/>
          <w:sz w:val="32"/>
        </w:rPr>
        <w:t>（四）维度四　保障措施</w:t>
      </w:r>
    </w:p>
    <w:tbl>
      <w:tblPr>
        <w:tblW w:w="1514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520"/>
        <w:gridCol w:w="1720"/>
        <w:gridCol w:w="6000"/>
        <w:gridCol w:w="5900"/>
      </w:tblGrid>
      <w:tr>
        <w:trPr>
          <w:tblHeader w:val="1"/>
        </w:trPr>
        <w:tc>
          <w:tcPr>
            <w:tcW w:w="1520" w:type="dxa"/>
          </w:tcPr>
          <w:p w14:paraId="431AA4B0">
            <w:pPr>
              <w:rPr>
                <w:b w:val="1"/>
                <w:bCs w:val="1"/>
              </w:rPr>
            </w:pPr>
            <w:r>
              <w:rPr>
                <w:rFonts w:hint="eastAsia"/>
                <w:b w:val="1"/>
                <w:sz w:val="18"/>
              </w:rPr>
              <w:t>条目</w:t>
            </w:r>
          </w:p>
        </w:tc>
        <w:tc>
          <w:tcPr>
            <w:tcW w:w="1720" w:type="dxa"/>
          </w:tcPr>
          <w:p w14:paraId="15E1D8E9">
            <w:pPr>
              <w:rPr>
                <w:b w:val="1"/>
                <w:bCs w:val="1"/>
              </w:rPr>
            </w:pPr>
            <w:r>
              <w:rPr>
                <w:rFonts w:hint="eastAsia"/>
                <w:b w:val="1"/>
                <w:sz w:val="18"/>
              </w:rPr>
              <w:t>定性结论</w:t>
            </w:r>
          </w:p>
        </w:tc>
        <w:tc>
          <w:tcPr>
            <w:tcW w:w="6000" w:type="dxa"/>
          </w:tcPr>
          <w:p w14:paraId="579F2D36">
            <w:pPr>
              <w:rPr>
                <w:b w:val="1"/>
                <w:bCs w:val="1"/>
              </w:rPr>
            </w:pPr>
            <w:r>
              <w:rPr>
                <w:rFonts w:hint="eastAsia"/>
                <w:b w:val="1"/>
                <w:sz w:val="18"/>
              </w:rPr>
              <w:t>主要不足（深度／准确性／可操作性）</w:t>
            </w:r>
          </w:p>
        </w:tc>
        <w:tc>
          <w:tcPr>
            <w:tcW w:w="5900" w:type="dxa"/>
          </w:tcPr>
          <w:p w14:paraId="184E3841">
            <w:pPr>
              <w:rPr>
                <w:b w:val="1"/>
                <w:bCs w:val="1"/>
              </w:rPr>
            </w:pPr>
            <w:r>
              <w:rPr>
                <w:rFonts w:hint="eastAsia"/>
                <w:b w:val="1"/>
                <w:sz w:val="18"/>
              </w:rPr>
              <w:t>修改要点</w:t>
            </w:r>
          </w:p>
        </w:tc>
      </w:tr>
      <w:tr>
        <w:trPr/>
        <w:tc>
          <w:tcPr>
            <w:tcW w:w="1520" w:type="dxa"/>
          </w:tcPr>
          <w:p w14:paraId="7CE83068">
            <w:r>
              <w:rPr>
                <w:rFonts w:hint="eastAsia"/>
                <w:sz w:val="18"/>
              </w:rPr>
              <w:t>4-1 组织协调与工作机制</w:t>
            </w:r>
          </w:p>
        </w:tc>
        <w:tc>
          <w:tcPr>
            <w:tcW w:w="1720" w:type="dxa"/>
          </w:tcPr>
          <w:p w14:paraId="3EDA7B35">
            <w:r>
              <w:rPr>
                <w:rFonts w:hint="eastAsia"/>
                <w:sz w:val="18"/>
              </w:rPr>
              <w:t>闭环思路好，委员结构建议与惯例不符</w:t>
            </w:r>
          </w:p>
        </w:tc>
        <w:tc>
          <w:tcPr>
            <w:tcW w:w="6000" w:type="dxa"/>
          </w:tcPr>
          <w:p w14:paraId="18780726">
            <w:r>
              <w:rPr>
                <w:rFonts w:hint="eastAsia"/>
                <w:sz w:val="18"/>
              </w:rPr>
              <w:t>①准确性：“企业委员占比可参考TC8做法（超过50%）”</w:t>
            </w:r>
            <w:r>
              <w:rPr>
                <w:rFonts w:hint="eastAsia"/>
                <w:sz w:val="18"/>
              </w:rPr>
              <w:t>与警用装备标准化工作既有惯例不符——警标委历届委员构成中管理使用部门、科研院所及检测机构占57%、生产企业占43%，公共安全标准应保障公共利益属性，不宜简单比照产业标委会。②深度：未说明为何由SAC/TC561归口（未与TC100、TC577、公安部信标委作边界比较），论证不完整。③可操作性：白皮书的编制主体、发布时间、内容框架未明确</w:t>
            </w:r>
          </w:p>
        </w:tc>
        <w:tc>
          <w:tcPr>
            <w:tcW w:w="5900" w:type="dxa"/>
          </w:tcPr>
          <w:p w14:paraId="0575FE7A">
            <w:r>
              <w:rPr>
                <w:rFonts w:hint="eastAsia"/>
                <w:sz w:val="18"/>
              </w:rPr>
              <w:t>①委员结构改为“管理与使用部门、科研院所及检测机构占比不低于50%，企业委员占比适度”</w:t>
            </w:r>
            <w:r>
              <w:rPr>
                <w:rFonts w:hint="eastAsia"/>
                <w:sz w:val="18"/>
              </w:rPr>
              <w:t>，并说明理由；②补齐归口比较与分工依据（见共性问题二）；③明确白皮书编制主体、年度发布时间与内容框架；④明确“标准研制—试点验证—装备列装”</w:t>
            </w:r>
            <w:r>
              <w:rPr>
                <w:rFonts w:hint="eastAsia"/>
                <w:sz w:val="18"/>
              </w:rPr>
              <w:t>闭环各环节的责任单位与时限</w:t>
            </w:r>
          </w:p>
        </w:tc>
      </w:tr>
      <w:tr>
        <w:trPr/>
        <w:tc>
          <w:tcPr>
            <w:tcW w:w="1520" w:type="dxa"/>
          </w:tcPr>
          <w:p w14:paraId="19837E02">
            <w:r>
              <w:rPr>
                <w:rFonts w:hint="eastAsia"/>
                <w:sz w:val="18"/>
              </w:rPr>
              <w:t>4-2 政策制度与法规衔接</w:t>
            </w:r>
          </w:p>
        </w:tc>
        <w:tc>
          <w:tcPr>
            <w:tcW w:w="1720" w:type="dxa"/>
          </w:tcPr>
          <w:p w14:paraId="229152A7">
            <w:r>
              <w:rPr>
                <w:rFonts w:hint="eastAsia"/>
                <w:sz w:val="18"/>
              </w:rPr>
              <w:t>表述稳妥但回避授权路径，修订周期承诺不现实</w:t>
            </w:r>
          </w:p>
        </w:tc>
        <w:tc>
          <w:tcPr>
            <w:tcW w:w="6000" w:type="dxa"/>
          </w:tcPr>
          <w:p w14:paraId="578C9DCE">
            <w:r>
              <w:rPr>
                <w:rFonts w:hint="eastAsia"/>
                <w:sz w:val="18"/>
              </w:rPr>
              <w:t>①深度：“标准只做技术落地，不做法律创制”</w:t>
            </w:r>
            <w:r>
              <w:rPr>
                <w:rFonts w:hint="eastAsia"/>
                <w:sz w:val="18"/>
              </w:rPr>
              <w:t>被用来代替对授权路径的正面回答，致2-3的权责建议无从落地；未提出推动部令或法规修订的具体路径。②准确性：“快速修订通道（响应周期不超过12个月）”</w:t>
            </w:r>
            <w:r>
              <w:rPr>
                <w:rFonts w:hint="eastAsia"/>
                <w:sz w:val="18"/>
              </w:rPr>
              <w:t>不现实——标准法定制修订程序通常需18—24个月。③深度：未提无标准期的合规试用路径，存在“无标不敢用”</w:t>
            </w:r>
            <w:r>
              <w:rPr>
                <w:rFonts w:hint="eastAsia"/>
                <w:sz w:val="18"/>
              </w:rPr>
              <w:t>与“无标乱用”</w:t>
            </w:r>
            <w:r>
              <w:rPr>
                <w:rFonts w:hint="eastAsia"/>
                <w:sz w:val="18"/>
              </w:rPr>
              <w:t>两个极端。④可操作性：标准实施监督未明确监督主体与不执行的后果</w:t>
            </w:r>
          </w:p>
        </w:tc>
        <w:tc>
          <w:tcPr>
            <w:tcW w:w="5900" w:type="dxa"/>
          </w:tcPr>
          <w:p w14:paraId="75AA2EE5">
            <w:r>
              <w:rPr>
                <w:rFonts w:hint="eastAsia"/>
                <w:sz w:val="18"/>
              </w:rPr>
              <w:t>①区分“标准”</w:t>
            </w:r>
            <w:r>
              <w:rPr>
                <w:rFonts w:hint="eastAsia"/>
                <w:sz w:val="18"/>
              </w:rPr>
              <w:t>与“规章”</w:t>
            </w:r>
            <w:r>
              <w:rPr>
                <w:rFonts w:hint="eastAsia"/>
                <w:sz w:val="18"/>
              </w:rPr>
              <w:t>职责，另提部门规章层级的专门规定（见新增建议2、3）；②修订按法定程序表述，快速迭代对象改由指导性技术文件6个月内跟进，并明确其效力与过渡安排；③补沙盒／试点豁免机制（见新增建议4）；④明确标准实施监督主体、检查方式与不执行的后果，激励措施补纳入科技强警专项考核</w:t>
            </w:r>
          </w:p>
        </w:tc>
      </w:tr>
      <w:tr>
        <w:trPr/>
        <w:tc>
          <w:tcPr>
            <w:tcW w:w="1520" w:type="dxa"/>
          </w:tcPr>
          <w:p w14:paraId="5005AFCC">
            <w:r>
              <w:rPr>
                <w:rFonts w:hint="eastAsia"/>
                <w:sz w:val="18"/>
              </w:rPr>
              <w:t>4-3 数据安全与伦理合规</w:t>
            </w:r>
          </w:p>
        </w:tc>
        <w:tc>
          <w:tcPr>
            <w:tcW w:w="1720" w:type="dxa"/>
          </w:tcPr>
          <w:p w14:paraId="70271EF1">
            <w:r>
              <w:rPr>
                <w:rFonts w:hint="eastAsia"/>
                <w:sz w:val="18"/>
              </w:rPr>
              <w:t>覆盖面广但漏最刚性规范，机制缺失</w:t>
            </w:r>
          </w:p>
        </w:tc>
        <w:tc>
          <w:tcPr>
            <w:tcW w:w="6000" w:type="dxa"/>
          </w:tcPr>
          <w:p w14:paraId="00784B6E">
            <w:r>
              <w:rPr>
                <w:rFonts w:hint="eastAsia"/>
                <w:sz w:val="18"/>
              </w:rPr>
              <w:t>①准确性：未引用2025年6月1日施行的《人脸识别技术应用安全管理办法》，遗漏单独同意、影响评估、设备内存储、10万人备案、公共场所安装条件、私密空间禁止安装等六项刚性条款。②深度：数据仅作“安全对象”</w:t>
            </w:r>
            <w:r>
              <w:rPr>
                <w:rFonts w:hint="eastAsia"/>
                <w:sz w:val="18"/>
              </w:rPr>
              <w:t>处理，未涉及算法备案与安全评估义务。③深度：“伦理规范”</w:t>
            </w:r>
            <w:r>
              <w:rPr>
                <w:rFonts w:hint="eastAsia"/>
                <w:sz w:val="18"/>
              </w:rPr>
              <w:t>只提概念，未给审查机制、评估主体与程序。④可操作性：证据资格只提“保证诉讼可用”</w:t>
            </w:r>
            <w:r>
              <w:rPr>
                <w:rFonts w:hint="eastAsia"/>
                <w:sz w:val="18"/>
              </w:rPr>
              <w:t>，未给取证固定规范与完整性校验要求</w:t>
            </w:r>
          </w:p>
        </w:tc>
        <w:tc>
          <w:tcPr>
            <w:tcW w:w="5900" w:type="dxa"/>
          </w:tcPr>
          <w:p w14:paraId="5CA120FD">
            <w:r>
              <w:rPr>
                <w:rFonts w:hint="eastAsia"/>
                <w:sz w:val="18"/>
              </w:rPr>
              <w:t>①补《人脸识别技术应用安全管理办法》全套要求并转为可检验条款，同时说明其第二条对研发与算法训练活动的适用例外；②补算法备案与安全评估（具有舆论属性或社会动员能力的算法）；③建立伦理审查与算法影响评估制度（见新增建议9）；④补视听资料取证固定规范与完整性校验要求，明确证据资格条件</w:t>
            </w:r>
          </w:p>
        </w:tc>
      </w:tr>
      <w:tr>
        <w:trPr/>
        <w:tc>
          <w:tcPr>
            <w:tcW w:w="1520" w:type="dxa"/>
          </w:tcPr>
          <w:p w14:paraId="38DFD9E5">
            <w:r>
              <w:rPr>
                <w:rFonts w:hint="eastAsia"/>
                <w:sz w:val="18"/>
              </w:rPr>
              <w:t>4-4 人才经费与产业协同</w:t>
            </w:r>
          </w:p>
        </w:tc>
        <w:tc>
          <w:tcPr>
            <w:tcW w:w="1720" w:type="dxa"/>
          </w:tcPr>
          <w:p w14:paraId="1C3DFE8C">
            <w:r>
              <w:rPr>
                <w:rFonts w:hint="eastAsia"/>
                <w:sz w:val="18"/>
              </w:rPr>
              <w:t>四条方向均可，判定方法与合规政策缺失</w:t>
            </w:r>
          </w:p>
        </w:tc>
        <w:tc>
          <w:tcPr>
            <w:tcW w:w="6000" w:type="dxa"/>
          </w:tcPr>
          <w:p w14:paraId="05531932">
            <w:r>
              <w:rPr>
                <w:rFonts w:hint="eastAsia"/>
                <w:sz w:val="18"/>
              </w:rPr>
              <w:t>①可操作性：“国产化比例参考要求”</w:t>
            </w:r>
            <w:r>
              <w:rPr>
                <w:rFonts w:hint="eastAsia"/>
                <w:sz w:val="18"/>
              </w:rPr>
              <w:t>未给判定方法（按价值量／按关键件数量／以何方检测为准），无法执行也无法考核。②深度：未涉及标准必要专利（SEP）处置政策，专利密集领域若不明晰许可原则，标准发布后易引发许可纠纷并阻碍列装。③深度：未涉及开源组件合规与准入，与3-2的ROS 2建议形成呼应缺口。④可操作性：产业协同未明确数据与知识产权归属，企业因权属不清不敢参与</w:t>
            </w:r>
          </w:p>
        </w:tc>
        <w:tc>
          <w:tcPr>
            <w:tcW w:w="5900" w:type="dxa"/>
          </w:tcPr>
          <w:p w14:paraId="41A1C385">
            <w:r>
              <w:rPr>
                <w:rFonts w:hint="eastAsia"/>
                <w:sz w:val="18"/>
              </w:rPr>
              <w:t>①国产化要求给出判定方法（建议按价值量为主、关键件数量为辅，以第三方检测为准）并与“十五五”</w:t>
            </w:r>
            <w:r>
              <w:rPr>
                <w:rFonts w:hint="eastAsia"/>
                <w:sz w:val="18"/>
              </w:rPr>
              <w:t>产业链国产化目标衔接；②增列标准必要专利政策：披露义务、许可承诺与FRAND原则，写入标准制修订程序文件；③增列开源组件安全评估与准入清单（见新增建议7）；④明确场景开放中数据与知识产权的归属规则；⑤补检测能力建设经费渠道</w:t>
            </w:r>
          </w:p>
        </w:tc>
      </w:tr>
      <w:tr>
        <w:trPr/>
        <w:tc>
          <w:tcPr>
            <w:tcW w:w="1520" w:type="dxa"/>
          </w:tcPr>
          <w:p w14:paraId="5D33749D">
            <w:r>
              <w:rPr>
                <w:rFonts w:hint="eastAsia"/>
                <w:sz w:val="18"/>
              </w:rPr>
              <w:t>4-5 试点示范与效果评估</w:t>
            </w:r>
          </w:p>
        </w:tc>
        <w:tc>
          <w:tcPr>
            <w:tcW w:w="1720" w:type="dxa"/>
          </w:tcPr>
          <w:p w14:paraId="64BD5D40">
            <w:r>
              <w:rPr>
                <w:rFonts w:hint="eastAsia"/>
                <w:sz w:val="18"/>
              </w:rPr>
              <w:t>评估维度有创意，缺基线、成本口径与退出机制</w:t>
            </w:r>
          </w:p>
        </w:tc>
        <w:tc>
          <w:tcPr>
            <w:tcW w:w="6000" w:type="dxa"/>
          </w:tcPr>
          <w:p w14:paraId="340C21A1">
            <w:r>
              <w:rPr>
                <w:rFonts w:hint="eastAsia"/>
                <w:sz w:val="18"/>
              </w:rPr>
              <w:t>①可操作性：无基线数据要求——不采集试点前的人力量、响应时长、风险暴露事件历史数据，“提升幅度”</w:t>
            </w:r>
            <w:r>
              <w:rPr>
                <w:rFonts w:hint="eastAsia"/>
                <w:sz w:val="18"/>
              </w:rPr>
              <w:t>无法计算。②深度：四维评估中的“全寿命周期成本”</w:t>
            </w:r>
            <w:r>
              <w:rPr>
                <w:rFonts w:hint="eastAsia"/>
                <w:sz w:val="18"/>
              </w:rPr>
              <w:t>未给口径（是否含能源、维护、备件、培训、退役处置），易形成“低价中标、高价运维”</w:t>
            </w:r>
            <w:r>
              <w:rPr>
                <w:rFonts w:hint="eastAsia"/>
                <w:sz w:val="18"/>
              </w:rPr>
              <w:t>。③深度：无退出机制，未规定试点不达标时的止损规则、装备处置与责任界定，形成“只上不下”</w:t>
            </w:r>
            <w:r>
              <w:rPr>
                <w:rFonts w:hint="eastAsia"/>
                <w:sz w:val="18"/>
              </w:rPr>
              <w:t>。④可操作性：试点城市选取无门槛条件，易选到基础不具备的地区</w:t>
            </w:r>
          </w:p>
        </w:tc>
        <w:tc>
          <w:tcPr>
            <w:tcW w:w="5900" w:type="dxa"/>
          </w:tcPr>
          <w:p w14:paraId="470C1CFA">
            <w:r>
              <w:rPr>
                <w:rFonts w:hint="eastAsia"/>
                <w:sz w:val="18"/>
              </w:rPr>
              <w:t>①补基线要求：试点启动前采集不少于12个月的基线数据；②统一全寿命周期成本口径（采购＋能源＋维护＋备件＋培训＋退役处置，按五年折现）；③补退出机制：不达标的止损规则、装备处置办法与责任界定；④补试点选取门槛（装备基础、经费渠道、管理团队、网络与算力条件）；⑤评估结果与后续采购额度挂钩，效能不达标暂停扩面</w:t>
            </w:r>
          </w:p>
        </w:tc>
      </w:tr>
    </w:tbl>
    <w:p w14:paraId="19D8835F">
      <w:pPr>
        <w:keepNext w:val="1"/>
        <w:keepLines w:val="1"/>
        <w:spacing w:before="100" w:beforeAutospacing="1" w:after="100" w:afterAutospacing="1"/>
        <w:outlineLvl w:val="1"/>
        <w:rPr>
          <w:sz w:val="32"/>
          <w:szCs w:val="32"/>
        </w:rPr>
      </w:pPr>
      <w:r>
        <w:rPr>
          <w:rFonts w:hint="eastAsia"/>
          <w:b w:val="1"/>
          <w:sz w:val="32"/>
        </w:rPr>
        <w:t>五、新增建议</w:t>
      </w:r>
    </w:p>
    <w:p w14:paraId="4A7D72B7">
      <w:r>
        <w:rPr>
          <w:rFonts w:hint="eastAsia"/>
        </w:rPr>
        <w:t>在修订现有 18 条意见的基础上，专家组针对“标准体系构建、技术落地、跨部门协同、规模化应用”</w:t>
      </w:r>
      <w:r>
        <w:rPr>
          <w:rFonts w:hint="eastAsia"/>
        </w:rPr>
        <w:t>四条主线，提出以下 10 条新增建议。每条均按“问题指向—理由依据—具体措施—责任主体与时限”</w:t>
      </w:r>
      <w:r>
        <w:rPr>
          <w:rFonts w:hint="eastAsia"/>
        </w:rPr>
        <w:t>四要素撰写，可直接用于立项论证与任务书编制。</w:t>
      </w:r>
    </w:p>
    <w:tbl>
      <w:tblPr>
        <w:tblW w:w="1514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00"/>
        <w:gridCol w:w="1920"/>
        <w:gridCol w:w="3700"/>
        <w:gridCol w:w="5300"/>
        <w:gridCol w:w="3420"/>
      </w:tblGrid>
      <w:tr>
        <w:trPr>
          <w:tblHeader w:val="1"/>
        </w:trPr>
        <w:tc>
          <w:tcPr>
            <w:tcW w:w="800" w:type="dxa"/>
          </w:tcPr>
          <w:p w14:paraId="5119C0F1">
            <w:pPr>
              <w:rPr>
                <w:b w:val="1"/>
                <w:bCs w:val="1"/>
              </w:rPr>
            </w:pPr>
            <w:r>
              <w:rPr>
                <w:rFonts w:hint="eastAsia"/>
                <w:b w:val="1"/>
                <w:sz w:val="18"/>
              </w:rPr>
              <w:t>编号</w:t>
            </w:r>
          </w:p>
        </w:tc>
        <w:tc>
          <w:tcPr>
            <w:tcW w:w="1920" w:type="dxa"/>
          </w:tcPr>
          <w:p w14:paraId="1BA16CAB">
            <w:pPr>
              <w:rPr>
                <w:b w:val="1"/>
                <w:bCs w:val="1"/>
              </w:rPr>
            </w:pPr>
            <w:r>
              <w:rPr>
                <w:rFonts w:hint="eastAsia"/>
                <w:b w:val="1"/>
                <w:sz w:val="18"/>
              </w:rPr>
              <w:t>建议名称</w:t>
            </w:r>
          </w:p>
        </w:tc>
        <w:tc>
          <w:tcPr>
            <w:tcW w:w="3700" w:type="dxa"/>
          </w:tcPr>
          <w:p w14:paraId="4FDB73FD">
            <w:pPr>
              <w:rPr>
                <w:b w:val="1"/>
                <w:bCs w:val="1"/>
              </w:rPr>
            </w:pPr>
            <w:r>
              <w:rPr>
                <w:rFonts w:hint="eastAsia"/>
                <w:b w:val="1"/>
                <w:sz w:val="18"/>
              </w:rPr>
              <w:t>问题指向与理由依据</w:t>
            </w:r>
          </w:p>
        </w:tc>
        <w:tc>
          <w:tcPr>
            <w:tcW w:w="5300" w:type="dxa"/>
          </w:tcPr>
          <w:p w14:paraId="037A4244">
            <w:pPr>
              <w:rPr>
                <w:b w:val="1"/>
                <w:bCs w:val="1"/>
              </w:rPr>
            </w:pPr>
            <w:r>
              <w:rPr>
                <w:rFonts w:hint="eastAsia"/>
                <w:b w:val="1"/>
                <w:sz w:val="18"/>
              </w:rPr>
              <w:t>具体措施与改进方向</w:t>
            </w:r>
          </w:p>
        </w:tc>
        <w:tc>
          <w:tcPr>
            <w:tcW w:w="3420" w:type="dxa"/>
          </w:tcPr>
          <w:p w14:paraId="76927053">
            <w:pPr>
              <w:rPr>
                <w:b w:val="1"/>
                <w:bCs w:val="1"/>
              </w:rPr>
            </w:pPr>
            <w:r>
              <w:rPr>
                <w:rFonts w:hint="eastAsia"/>
                <w:b w:val="1"/>
                <w:sz w:val="18"/>
              </w:rPr>
              <w:t>建议责任主体与时限</w:t>
            </w:r>
          </w:p>
        </w:tc>
      </w:tr>
      <w:tr>
        <w:trPr/>
        <w:tc>
          <w:tcPr>
            <w:tcW w:w="800" w:type="dxa"/>
          </w:tcPr>
          <w:p w14:paraId="01BDEDAE">
            <w:r>
              <w:rPr>
                <w:rFonts w:hint="eastAsia"/>
                <w:sz w:val="18"/>
              </w:rPr>
              <w:t>新增1</w:t>
            </w:r>
          </w:p>
        </w:tc>
        <w:tc>
          <w:tcPr>
            <w:tcW w:w="1920" w:type="dxa"/>
          </w:tcPr>
          <w:p w14:paraId="6359770E">
            <w:r>
              <w:rPr>
                <w:rFonts w:hint="eastAsia"/>
                <w:sz w:val="18"/>
              </w:rPr>
              <w:t>建立公共安全具身智能机器人“标准符合性目录”</w:t>
            </w:r>
            <w:r>
              <w:rPr>
                <w:rFonts w:hint="eastAsia"/>
                <w:sz w:val="18"/>
              </w:rPr>
              <w:t>并与装备列装、采购准入联动</w:t>
            </w:r>
          </w:p>
        </w:tc>
        <w:tc>
          <w:tcPr>
            <w:tcW w:w="3700" w:type="dxa"/>
          </w:tcPr>
          <w:p w14:paraId="0F79E7FF">
            <w:r>
              <w:rPr>
                <w:rFonts w:hint="eastAsia"/>
                <w:sz w:val="18"/>
              </w:rPr>
              <w:t>问题指向：装备选型“无标可依、无标可选”</w:t>
            </w:r>
            <w:r>
              <w:rPr>
                <w:rFonts w:hint="eastAsia"/>
                <w:sz w:val="18"/>
              </w:rPr>
              <w:t>直接推高采购风险，且标准与采购两张皮，标准完善了装备照样按旧规矩买。理由依据：警用装备已有列装目录与定型检测制度基础；GB/T 41300-2022 与《民用无人驾驶航空器生产管理若干规定》的备案模式已提供可复制的实现路径</w:t>
            </w:r>
          </w:p>
        </w:tc>
        <w:tc>
          <w:tcPr>
            <w:tcW w:w="5300" w:type="dxa"/>
          </w:tcPr>
          <w:p w14:paraId="3172CDB3">
            <w:r>
              <w:rPr>
                <w:rFonts w:hint="eastAsia"/>
                <w:sz w:val="18"/>
              </w:rPr>
              <w:t>①由归口标委会会同装备管理部门编制《标准符合性目录》，逐型号登记适用标准、检测报告编号、通过日期与有效期；②未取得符合性登记的型号不得进入警用装备列装目录与采购技术需求书；③目录与标准发布同步更新，实行有效期管理，建议3年复审一次；④参照民用无人机产品信息系统的做法，建立警用机器人产品信息库，作为装备台账与追溯基础</w:t>
            </w:r>
          </w:p>
        </w:tc>
        <w:tc>
          <w:tcPr>
            <w:tcW w:w="3420" w:type="dxa"/>
          </w:tcPr>
          <w:p w14:paraId="73D5DCE2">
            <w:r>
              <w:rPr>
                <w:rFonts w:hint="eastAsia"/>
                <w:sz w:val="18"/>
              </w:rPr>
              <w:t>公安部科技信息化部门会同装备管理部门，SAC/TC561 承担技术工作；建议 12 个月内发布首批目录</w:t>
            </w:r>
          </w:p>
        </w:tc>
      </w:tr>
      <w:tr>
        <w:trPr/>
        <w:tc>
          <w:tcPr>
            <w:tcW w:w="800" w:type="dxa"/>
          </w:tcPr>
          <w:p w14:paraId="287A6127">
            <w:r>
              <w:rPr>
                <w:rFonts w:hint="eastAsia"/>
                <w:sz w:val="18"/>
              </w:rPr>
              <w:t>新增2</w:t>
            </w:r>
          </w:p>
        </w:tc>
        <w:tc>
          <w:tcPr>
            <w:tcW w:w="1920" w:type="dxa"/>
          </w:tcPr>
          <w:p w14:paraId="685DCF66">
            <w:r>
              <w:rPr>
                <w:rFonts w:hint="eastAsia"/>
                <w:sz w:val="18"/>
              </w:rPr>
              <w:t>推动制定部门规章层级的公共安全机器人应用管理办法，解决执法授权与备案</w:t>
            </w:r>
          </w:p>
        </w:tc>
        <w:tc>
          <w:tcPr>
            <w:tcW w:w="3700" w:type="dxa"/>
          </w:tcPr>
          <w:p w14:paraId="24C50D56">
            <w:r>
              <w:rPr>
                <w:rFonts w:hint="eastAsia"/>
                <w:sz w:val="18"/>
              </w:rPr>
              <w:t>问题指向：机器人不属于《人民警察使用警械和武器条例》所列警械，其非接触处置、警示、取证的行为性质与授权层级无规范，基层“不敢用”</w:t>
            </w:r>
            <w:r>
              <w:rPr>
                <w:rFonts w:hint="eastAsia"/>
                <w:sz w:val="18"/>
              </w:rPr>
              <w:t>。理由依据：标准不能创制法律授权，此问题须由规章解决；《人脸识别技术应用安全管理办法》以“网信办＋公安部”</w:t>
            </w:r>
            <w:r>
              <w:rPr>
                <w:rFonts w:hint="eastAsia"/>
                <w:sz w:val="18"/>
              </w:rPr>
              <w:t>联合令形式落地，《生成式人工智能服务管理暂行办法》已建立算法备案与安全评估制度，路径可循</w:t>
            </w:r>
          </w:p>
        </w:tc>
        <w:tc>
          <w:tcPr>
            <w:tcW w:w="5300" w:type="dxa"/>
          </w:tcPr>
          <w:p w14:paraId="476061F0">
            <w:r>
              <w:rPr>
                <w:rFonts w:hint="eastAsia"/>
                <w:sz w:val="18"/>
              </w:rPr>
              <w:t>①以公安部部令或与网信办联合令形式制定管理办法，明确适用场景清单、准入条件、使用审批、备案要求与禁止性情形；②确立底线条款：无民警在场时，机器人不得作出减损公民权利的决定；③明确机器人采集视听资料的证据资格与取证固定规范；④实行产品备案与应用备案的双重备案，备案信息与符合性目录互通</w:t>
            </w:r>
          </w:p>
        </w:tc>
        <w:tc>
          <w:tcPr>
            <w:tcW w:w="3420" w:type="dxa"/>
          </w:tcPr>
          <w:p w14:paraId="42BDFBAA">
            <w:r>
              <w:rPr>
                <w:rFonts w:hint="eastAsia"/>
                <w:sz w:val="18"/>
              </w:rPr>
              <w:t>部级法制部门会同科技信息化部门；建议 24 个月内完成起草并公开征求意见</w:t>
            </w:r>
          </w:p>
        </w:tc>
      </w:tr>
      <w:tr>
        <w:trPr/>
        <w:tc>
          <w:tcPr>
            <w:tcW w:w="800" w:type="dxa"/>
          </w:tcPr>
          <w:p w14:paraId="39CD6A8C">
            <w:r>
              <w:rPr>
                <w:rFonts w:hint="eastAsia"/>
                <w:sz w:val="18"/>
              </w:rPr>
              <w:t>新增3</w:t>
            </w:r>
          </w:p>
        </w:tc>
        <w:tc>
          <w:tcPr>
            <w:tcW w:w="1920" w:type="dxa"/>
          </w:tcPr>
          <w:p w14:paraId="109C59F5">
            <w:r>
              <w:rPr>
                <w:rFonts w:hint="eastAsia"/>
                <w:sz w:val="18"/>
              </w:rPr>
              <w:t>建立人机协同执法的责任分担与全程留痕规则</w:t>
            </w:r>
          </w:p>
        </w:tc>
        <w:tc>
          <w:tcPr>
            <w:tcW w:w="3700" w:type="dxa"/>
          </w:tcPr>
          <w:p w14:paraId="4884C0C0">
            <w:r>
              <w:rPr>
                <w:rFonts w:hint="eastAsia"/>
                <w:sz w:val="18"/>
              </w:rPr>
              <w:t>问题指向：2-3 只写“决定权归人”</w:t>
            </w:r>
            <w:r>
              <w:rPr>
                <w:rFonts w:hint="eastAsia"/>
                <w:sz w:val="18"/>
              </w:rPr>
              <w:t>，未回答机器人致害后的责任归属，存在“人在回路但反应时间不足”</w:t>
            </w:r>
            <w:r>
              <w:rPr>
                <w:rFonts w:hint="eastAsia"/>
                <w:sz w:val="18"/>
              </w:rPr>
              <w:t>的责任真空，理赔与追偿无依据。理由依据：自主等级越高，人的干预能力越弱，责任不能一律归于操作民警；产品责任与使用责任须分层</w:t>
            </w:r>
          </w:p>
        </w:tc>
        <w:tc>
          <w:tcPr>
            <w:tcW w:w="5300" w:type="dxa"/>
          </w:tcPr>
          <w:p w14:paraId="64D3FF34">
            <w:r>
              <w:rPr>
                <w:rFonts w:hint="eastAsia"/>
                <w:sz w:val="18"/>
              </w:rPr>
              <w:t>①按自主等级分档界定责任：L1/L2 由操作民警承担操作责任，L3 及以上由装备使用单位承担使用管理责任，厂商对产品缺陷承担产品责任；②强制决策链留痕（感知输入—模型版本—决策输出—人工确认—执行结果）全链可回溯、不可篡改，留痕保存期不少于3年；③建立致害事件的上报、调查与归责规程，明确调查主体与时限；④引入产品责任保险与科技保险，将标准符合性作为费率因子</w:t>
            </w:r>
          </w:p>
        </w:tc>
        <w:tc>
          <w:tcPr>
            <w:tcW w:w="3420" w:type="dxa"/>
          </w:tcPr>
          <w:p w14:paraId="340E0978">
            <w:r>
              <w:rPr>
                <w:rFonts w:hint="eastAsia"/>
                <w:sz w:val="18"/>
              </w:rPr>
              <w:t>归口标委会会同法制与装备管理部门；建议 18 个月内形成管理标准报批稿，与新增2 配套</w:t>
            </w:r>
          </w:p>
        </w:tc>
      </w:tr>
      <w:tr>
        <w:trPr/>
        <w:tc>
          <w:tcPr>
            <w:tcW w:w="800" w:type="dxa"/>
          </w:tcPr>
          <w:p w14:paraId="693F32E2">
            <w:r>
              <w:rPr>
                <w:rFonts w:hint="eastAsia"/>
                <w:sz w:val="18"/>
              </w:rPr>
              <w:t>新增4</w:t>
            </w:r>
          </w:p>
        </w:tc>
        <w:tc>
          <w:tcPr>
            <w:tcW w:w="1920" w:type="dxa"/>
          </w:tcPr>
          <w:p w14:paraId="46120BC7">
            <w:r>
              <w:rPr>
                <w:rFonts w:hint="eastAsia"/>
                <w:sz w:val="18"/>
              </w:rPr>
              <w:t>设立无标准期的“监管沙盒／试点豁免”</w:t>
            </w:r>
            <w:r>
              <w:rPr>
                <w:rFonts w:hint="eastAsia"/>
                <w:sz w:val="18"/>
              </w:rPr>
              <w:t>机制</w:t>
            </w:r>
          </w:p>
        </w:tc>
        <w:tc>
          <w:tcPr>
            <w:tcW w:w="3700" w:type="dxa"/>
          </w:tcPr>
          <w:p w14:paraId="5BFCCBB4">
            <w:r>
              <w:rPr>
                <w:rFonts w:hint="eastAsia"/>
                <w:sz w:val="18"/>
              </w:rPr>
              <w:t>问题指向：产业迭代周期（大模型约6—12个月）短于标准法定制修订周期（通常18—24个月），存在长期无标准窗口；一味等标准会错失试点数据积累，放任试错又可能出事。理由依据：“十五五”</w:t>
            </w:r>
            <w:r>
              <w:rPr>
                <w:rFonts w:hint="eastAsia"/>
                <w:sz w:val="18"/>
              </w:rPr>
              <w:t>规划要求“探索多元技术路线、典型应用场景”</w:t>
            </w:r>
            <w:r>
              <w:rPr>
                <w:rFonts w:hint="eastAsia"/>
                <w:sz w:val="18"/>
              </w:rPr>
              <w:t>，沙盒机制是平衡创新与安全的通行做法</w:t>
            </w:r>
          </w:p>
        </w:tc>
        <w:tc>
          <w:tcPr>
            <w:tcW w:w="5300" w:type="dxa"/>
          </w:tcPr>
          <w:p w14:paraId="35B2B2FB">
            <w:r>
              <w:rPr>
                <w:rFonts w:hint="eastAsia"/>
                <w:sz w:val="18"/>
              </w:rPr>
              <w:t>①在指定区域与指定场景内，允许在满足“安全底线项”</w:t>
            </w:r>
            <w:r>
              <w:rPr>
                <w:rFonts w:hint="eastAsia"/>
                <w:sz w:val="18"/>
              </w:rPr>
              <w:t>前提下试用未定型装备；②实行“一事一议”</w:t>
            </w:r>
            <w:r>
              <w:rPr>
                <w:rFonts w:hint="eastAsia"/>
                <w:sz w:val="18"/>
              </w:rPr>
              <w:t>备案，提交风险评估报告、安全底线符合性说明、应急预案与退出方案；③沙盒期实测数据按统一格式归集，作为标准指标阈值修订的直接依据；④设强制退出触发条件（发生安全事件、指标连续不达标、超期未申请转正）</w:t>
            </w:r>
          </w:p>
        </w:tc>
        <w:tc>
          <w:tcPr>
            <w:tcW w:w="3420" w:type="dxa"/>
          </w:tcPr>
          <w:p w14:paraId="75079420">
            <w:r>
              <w:rPr>
                <w:rFonts w:hint="eastAsia"/>
                <w:sz w:val="18"/>
              </w:rPr>
              <w:t>部级标准化主管部门会同试点地方公安机关；与新增10的试点工作同步启动</w:t>
            </w:r>
          </w:p>
        </w:tc>
      </w:tr>
      <w:tr>
        <w:trPr/>
        <w:tc>
          <w:tcPr>
            <w:tcW w:w="800" w:type="dxa"/>
          </w:tcPr>
          <w:p w14:paraId="28F6976F">
            <w:r>
              <w:rPr>
                <w:rFonts w:hint="eastAsia"/>
                <w:sz w:val="18"/>
              </w:rPr>
              <w:t>新增5</w:t>
            </w:r>
          </w:p>
        </w:tc>
        <w:tc>
          <w:tcPr>
            <w:tcW w:w="1920" w:type="dxa"/>
          </w:tcPr>
          <w:p w14:paraId="3E20E4D3">
            <w:r>
              <w:rPr>
                <w:rFonts w:hint="eastAsia"/>
                <w:sz w:val="18"/>
              </w:rPr>
              <w:t>建设公共安全机器人测试验证基地与标准化测试数据集</w:t>
            </w:r>
          </w:p>
        </w:tc>
        <w:tc>
          <w:tcPr>
            <w:tcW w:w="3700" w:type="dxa"/>
          </w:tcPr>
          <w:p w14:paraId="7DE936B0">
            <w:r>
              <w:rPr>
                <w:rFonts w:hint="eastAsia"/>
                <w:sz w:val="18"/>
              </w:rPr>
              <w:t>问题指向：3-3 提了测试场但未解决“检测尺度不一致”</w:t>
            </w:r>
            <w:r>
              <w:rPr>
                <w:rFonts w:hint="eastAsia"/>
                <w:sz w:val="18"/>
              </w:rPr>
              <w:t>与“数据不可复用”</w:t>
            </w:r>
            <w:r>
              <w:rPr>
                <w:rFonts w:hint="eastAsia"/>
                <w:sz w:val="18"/>
              </w:rPr>
              <w:t>两个根本问题；各地分头建设将造成重复投资。理由依据：SAC/TC591 已于 2025 年 5 月设立机器人检测分技术委员会，组织基础具备，但缺少公共安全专用测试环境与场景库</w:t>
            </w:r>
          </w:p>
        </w:tc>
        <w:tc>
          <w:tcPr>
            <w:tcW w:w="5300" w:type="dxa"/>
          </w:tcPr>
          <w:p w14:paraId="723255EF">
            <w:r>
              <w:rPr>
                <w:rFonts w:hint="eastAsia"/>
                <w:sz w:val="18"/>
              </w:rPr>
              <w:t>①在现有机器人产业集群中择优认定 2—3 个公共安全机器人测试验证基地，明确认定条件、投资来源、运行主体与年度考核办法，避免多地重复投资；②建设五类标准测试场景库：街面巡逻、检查核查、排爆处置、应急救援、大型活动安保；③建立对抗测试能力（卫星定位欺骗、视觉欺骗、对抗样本、通信劫持、断电断网）；④沉淀可共享的标准化测试数据集与基准，与 YD/T 6770-2026 基准测试方法衔接；⑤建立检测机构间比对机制，每年至少一次，比对结果公开</w:t>
            </w:r>
          </w:p>
        </w:tc>
        <w:tc>
          <w:tcPr>
            <w:tcW w:w="3420" w:type="dxa"/>
          </w:tcPr>
          <w:p w14:paraId="5D17C436">
            <w:r>
              <w:rPr>
                <w:rFonts w:hint="eastAsia"/>
                <w:sz w:val="18"/>
              </w:rPr>
              <w:t>公安部科技信息化部门会同 SAC/TC591 检测分技术委员会及地方；建议 24 个月内挂牌首批基地</w:t>
            </w:r>
          </w:p>
        </w:tc>
      </w:tr>
      <w:tr>
        <w:trPr/>
        <w:tc>
          <w:tcPr>
            <w:tcW w:w="800" w:type="dxa"/>
          </w:tcPr>
          <w:p w14:paraId="0AC4B94B">
            <w:r>
              <w:rPr>
                <w:rFonts w:hint="eastAsia"/>
                <w:sz w:val="18"/>
              </w:rPr>
              <w:t>新增6</w:t>
            </w:r>
          </w:p>
        </w:tc>
        <w:tc>
          <w:tcPr>
            <w:tcW w:w="1920" w:type="dxa"/>
          </w:tcPr>
          <w:p w14:paraId="158BF39B">
            <w:r>
              <w:rPr>
                <w:rFonts w:hint="eastAsia"/>
                <w:sz w:val="18"/>
              </w:rPr>
              <w:t>制定具身智能数据治理标准，把数据从“安全对象”</w:t>
            </w:r>
            <w:r>
              <w:rPr>
                <w:rFonts w:hint="eastAsia"/>
                <w:sz w:val="18"/>
              </w:rPr>
              <w:t>提升为“技术要素”</w:t>
            </w:r>
          </w:p>
        </w:tc>
        <w:tc>
          <w:tcPr>
            <w:tcW w:w="3700" w:type="dxa"/>
          </w:tcPr>
          <w:p w14:paraId="724C9BCE">
            <w:r>
              <w:rPr>
                <w:rFonts w:hint="eastAsia"/>
                <w:sz w:val="18"/>
              </w:rPr>
              <w:t>问题指向：现有稿件只把数据当作需要管住的风险（4-3），未把数据当作决定能力上限的生产要素（3-1、3-2 均缺）；公安场景数据涉密、涉个人信息，跨域共享无规则。理由依据：MIIT/TC8 已把数据采集标准列为急需标准；具身智能的能力上限由数据决定，无数据规范则模型能力无法评估</w:t>
            </w:r>
          </w:p>
        </w:tc>
        <w:tc>
          <w:tcPr>
            <w:tcW w:w="5300" w:type="dxa"/>
          </w:tcPr>
          <w:p w14:paraId="67364D4E">
            <w:r>
              <w:rPr>
                <w:rFonts w:hint="eastAsia"/>
                <w:sz w:val="18"/>
              </w:rPr>
              <w:t>①制定《公共安全具身智能机器人数据采集与标注规范》，规定采集要素、标注规则、质量验收判据；②规定仿真数据与真实数据的配比要求，以及仿真到现实（sim2real）迁移效果的验证方法；③建立涉警数据的分类分级、脱敏、跨域共享与销毁规范；④明确底线要求：训练数据不出域、模型回传受控、原始数据留存期限与销毁方式；⑤建立数据集质量抽检与复现性验证机制</w:t>
            </w:r>
          </w:p>
        </w:tc>
        <w:tc>
          <w:tcPr>
            <w:tcW w:w="3420" w:type="dxa"/>
          </w:tcPr>
          <w:p w14:paraId="0AA94170">
            <w:r>
              <w:rPr>
                <w:rFonts w:hint="eastAsia"/>
                <w:sz w:val="18"/>
              </w:rPr>
              <w:t>归口标委会与 MIIT/TC8 通过联络机制协同；建议与 3-1 大模型专项标准同步立项</w:t>
            </w:r>
          </w:p>
        </w:tc>
      </w:tr>
      <w:tr>
        <w:trPr/>
        <w:tc>
          <w:tcPr>
            <w:tcW w:w="800" w:type="dxa"/>
          </w:tcPr>
          <w:p w14:paraId="401DADA9">
            <w:r>
              <w:rPr>
                <w:rFonts w:hint="eastAsia"/>
                <w:sz w:val="18"/>
              </w:rPr>
              <w:t>新增7</w:t>
            </w:r>
          </w:p>
        </w:tc>
        <w:tc>
          <w:tcPr>
            <w:tcW w:w="1920" w:type="dxa"/>
          </w:tcPr>
          <w:p w14:paraId="0607F2FA">
            <w:r>
              <w:rPr>
                <w:rFonts w:hint="eastAsia"/>
                <w:sz w:val="18"/>
              </w:rPr>
              <w:t>制定标准必要专利与开源组件合规政策</w:t>
            </w:r>
          </w:p>
        </w:tc>
        <w:tc>
          <w:tcPr>
            <w:tcW w:w="3700" w:type="dxa"/>
          </w:tcPr>
          <w:p w14:paraId="7AB26217">
            <w:r>
              <w:rPr>
                <w:rFonts w:hint="eastAsia"/>
                <w:sz w:val="18"/>
              </w:rPr>
              <w:t>问题指向：具身智能领域专利密集，标准若不明晰 SEP 处置原则，发布后易引发许可纠纷、阻碍列装；3-2 建议“兼容 ROS 2”</w:t>
            </w:r>
            <w:r>
              <w:rPr>
                <w:rFonts w:hint="eastAsia"/>
                <w:sz w:val="18"/>
              </w:rPr>
              <w:t>未评估开源组件进入公安专网的供应链与安全审查风险。理由依据：国家标准制修订程序对专利处置已有原则性要求，但缺少面向本领域的实施细则；开源中间件的安全责任主体不清</w:t>
            </w:r>
          </w:p>
        </w:tc>
        <w:tc>
          <w:tcPr>
            <w:tcW w:w="5300" w:type="dxa"/>
          </w:tcPr>
          <w:p w14:paraId="38204D39">
            <w:r>
              <w:rPr>
                <w:rFonts w:hint="eastAsia"/>
                <w:sz w:val="18"/>
              </w:rPr>
              <w:t>①在标准制修订程序文件中明确标准必要专利的披露义务、许可承诺与FRAND原则要求；②对拟纳入标准的开源组件建立安全评估与准入清单，未经审查的开源中间件不得进入公安专网系统；③对 ROS 2／DDS 一类社区规范，采取“约定必要接口语义与数据模型、不指定具体实现”</w:t>
            </w:r>
            <w:r>
              <w:rPr>
                <w:rFonts w:hint="eastAsia"/>
                <w:sz w:val="18"/>
              </w:rPr>
              <w:t>的写法，避免绑定单一实现；④同步推进国产机器人操作系统与中间件的适配与替代路线，明确分阶段目标</w:t>
            </w:r>
          </w:p>
        </w:tc>
        <w:tc>
          <w:tcPr>
            <w:tcW w:w="3420" w:type="dxa"/>
          </w:tcPr>
          <w:p w14:paraId="4B8D557C">
            <w:r>
              <w:rPr>
                <w:rFonts w:hint="eastAsia"/>
                <w:sz w:val="18"/>
              </w:rPr>
              <w:t>归口标委会会同公安部信标委；纳入标准制修订程序文件修订事宜，建议 12 个月内完成细则</w:t>
            </w:r>
          </w:p>
        </w:tc>
      </w:tr>
      <w:tr>
        <w:trPr/>
        <w:tc>
          <w:tcPr>
            <w:tcW w:w="800" w:type="dxa"/>
          </w:tcPr>
          <w:p w14:paraId="05523015">
            <w:r>
              <w:rPr>
                <w:rFonts w:hint="eastAsia"/>
                <w:sz w:val="18"/>
              </w:rPr>
              <w:t>新增8</w:t>
            </w:r>
          </w:p>
        </w:tc>
        <w:tc>
          <w:tcPr>
            <w:tcW w:w="1920" w:type="dxa"/>
          </w:tcPr>
          <w:p w14:paraId="30D9609D">
            <w:r>
              <w:rPr>
                <w:rFonts w:hint="eastAsia"/>
                <w:sz w:val="18"/>
              </w:rPr>
              <w:t>建立公共安全智能装备部际协调机制与年度会商制度</w:t>
            </w:r>
          </w:p>
        </w:tc>
        <w:tc>
          <w:tcPr>
            <w:tcW w:w="3700" w:type="dxa"/>
          </w:tcPr>
          <w:p w14:paraId="0DB5929C">
            <w:r>
              <w:rPr>
                <w:rFonts w:hint="eastAsia"/>
                <w:sz w:val="18"/>
              </w:rPr>
              <w:t>问题指向：2-4 提到“跨部门事项”</w:t>
            </w:r>
            <w:r>
              <w:rPr>
                <w:rFonts w:hint="eastAsia"/>
                <w:sz w:val="18"/>
              </w:rPr>
              <w:t>但未给机制。机器人公共安全应用横跨公安、工信、应急管理、住建、民航、网信等部门，涉及空域、数据、产品准入、城市基础设施四类权限，单靠一个标委会无法协调。理由依据：标准化工作需跨部门协同，现有机制缺少针对本领域的常态化会商安排</w:t>
            </w:r>
          </w:p>
        </w:tc>
        <w:tc>
          <w:tcPr>
            <w:tcW w:w="5300" w:type="dxa"/>
          </w:tcPr>
          <w:p w14:paraId="0E59B4EA">
            <w:r>
              <w:rPr>
                <w:rFonts w:hint="eastAsia"/>
                <w:sz w:val="18"/>
              </w:rPr>
              <w:t>①建立“公共安全智能装备部际协调机制”</w:t>
            </w:r>
            <w:r>
              <w:rPr>
                <w:rFonts w:hint="eastAsia"/>
                <w:sz w:val="18"/>
              </w:rPr>
              <w:t>，明确成员单位、职责分工与议事规则；②每年一次会商，输出年度任务清单并明确责任单位与时限；③下设标准、试点、检测认证、数据安全四个专项组，各组设牵头单位；④各单位明确联络员与响应时限，任务清单执行情况纳入年度通报</w:t>
            </w:r>
          </w:p>
        </w:tc>
        <w:tc>
          <w:tcPr>
            <w:tcW w:w="3420" w:type="dxa"/>
          </w:tcPr>
          <w:p w14:paraId="7F77AAB1">
            <w:r>
              <w:rPr>
                <w:rFonts w:hint="eastAsia"/>
                <w:sz w:val="18"/>
              </w:rPr>
              <w:t>部级层面组织；建议 12 个月内建立并召开首次会商</w:t>
            </w:r>
          </w:p>
        </w:tc>
      </w:tr>
      <w:tr>
        <w:trPr/>
        <w:tc>
          <w:tcPr>
            <w:tcW w:w="800" w:type="dxa"/>
          </w:tcPr>
          <w:p w14:paraId="2AC4C0E8">
            <w:r>
              <w:rPr>
                <w:rFonts w:hint="eastAsia"/>
                <w:sz w:val="18"/>
              </w:rPr>
              <w:t>新增9</w:t>
            </w:r>
          </w:p>
        </w:tc>
        <w:tc>
          <w:tcPr>
            <w:tcW w:w="1920" w:type="dxa"/>
          </w:tcPr>
          <w:p w14:paraId="262B3106">
            <w:r>
              <w:rPr>
                <w:rFonts w:hint="eastAsia"/>
                <w:sz w:val="18"/>
              </w:rPr>
              <w:t>建立公共安全人工智能伦理审查与算法影响评估制度</w:t>
            </w:r>
          </w:p>
        </w:tc>
        <w:tc>
          <w:tcPr>
            <w:tcW w:w="3700" w:type="dxa"/>
          </w:tcPr>
          <w:p w14:paraId="67BB8671">
            <w:r>
              <w:rPr>
                <w:rFonts w:hint="eastAsia"/>
                <w:sz w:val="18"/>
              </w:rPr>
              <w:t>问题指向：4-3 只提“伦理规范”</w:t>
            </w:r>
            <w:r>
              <w:rPr>
                <w:rFonts w:hint="eastAsia"/>
                <w:sz w:val="18"/>
              </w:rPr>
              <w:t>未给机制。机器人直接面对公众，涉及人脸与步态识别、行为预测、告警升级等高风险处理活动，误判后果由公众承担，而现行法规仅要求特定情形下的算法备案与个人信息保护影响评估（后者仅在处理人脸信息等情形下强制），未覆盖公共安全场景的伦理审查。理由依据：《人脸识别技术应用安全管理办法》第九条已确立影响评估制度，可扩展至更广的算法应用</w:t>
            </w:r>
          </w:p>
        </w:tc>
        <w:tc>
          <w:tcPr>
            <w:tcW w:w="5300" w:type="dxa"/>
          </w:tcPr>
          <w:p w14:paraId="5C3D4A13">
            <w:r>
              <w:rPr>
                <w:rFonts w:hint="eastAsia"/>
                <w:sz w:val="18"/>
              </w:rPr>
              <w:t>①设立公共安全人工智能伦理委员会，成员涵盖业务警种、法律、伦理、技术专家与公众代表；②对拟列装应用逐项开展算法影响评估，评估要点包括误判后果、对特定群体的差异性影响、可解释性、人工干预可行性；③评估结论作为列装前置条件，评估报告定期公开摘要，接受监督；④建立公众意见征询渠道与申诉处理流程</w:t>
            </w:r>
          </w:p>
        </w:tc>
        <w:tc>
          <w:tcPr>
            <w:tcW w:w="3420" w:type="dxa"/>
          </w:tcPr>
          <w:p w14:paraId="336BB331">
            <w:r>
              <w:rPr>
                <w:rFonts w:hint="eastAsia"/>
                <w:sz w:val="18"/>
              </w:rPr>
              <w:t>部级层面组建，与新增2的管理办法配套出台</w:t>
            </w:r>
          </w:p>
        </w:tc>
      </w:tr>
      <w:tr>
        <w:trPr/>
        <w:tc>
          <w:tcPr>
            <w:tcW w:w="800" w:type="dxa"/>
          </w:tcPr>
          <w:p w14:paraId="4FDB939C">
            <w:r>
              <w:rPr>
                <w:rFonts w:hint="eastAsia"/>
                <w:sz w:val="18"/>
              </w:rPr>
              <w:t>新增10</w:t>
            </w:r>
          </w:p>
        </w:tc>
        <w:tc>
          <w:tcPr>
            <w:tcW w:w="1920" w:type="dxa"/>
          </w:tcPr>
          <w:p w14:paraId="1E3EFDCE">
            <w:r>
              <w:rPr>
                <w:rFonts w:hint="eastAsia"/>
                <w:sz w:val="18"/>
              </w:rPr>
              <w:t>建立装备全寿命周期成本与实战效能的双维评估与披露制度</w:t>
            </w:r>
          </w:p>
        </w:tc>
        <w:tc>
          <w:tcPr>
            <w:tcW w:w="3700" w:type="dxa"/>
          </w:tcPr>
          <w:p w14:paraId="1BE09D78">
            <w:r>
              <w:rPr>
                <w:rFonts w:hint="eastAsia"/>
                <w:sz w:val="18"/>
              </w:rPr>
              <w:t>问题指向：4-5 提出四维效能评估，但未解决“基线缺失”</w:t>
            </w:r>
            <w:r>
              <w:rPr>
                <w:rFonts w:hint="eastAsia"/>
                <w:sz w:val="18"/>
              </w:rPr>
              <w:t>与“只算采购账”</w:t>
            </w:r>
            <w:r>
              <w:rPr>
                <w:rFonts w:hint="eastAsia"/>
                <w:sz w:val="18"/>
              </w:rPr>
              <w:t>两个问题——没有基线，提升幅度无法计算；不统一成本口径，容易形成“低价中标、高价运维”</w:t>
            </w:r>
            <w:r>
              <w:rPr>
                <w:rFonts w:hint="eastAsia"/>
                <w:sz w:val="18"/>
              </w:rPr>
              <w:t>。理由依据：机器人属于高运维依赖装备，全寿命周期成本远高于采购价，经费决策必须有完整口径支撑</w:t>
            </w:r>
          </w:p>
        </w:tc>
        <w:tc>
          <w:tcPr>
            <w:tcW w:w="5300" w:type="dxa"/>
          </w:tcPr>
          <w:p w14:paraId="70F7E1E1">
            <w:r>
              <w:rPr>
                <w:rFonts w:hint="eastAsia"/>
                <w:sz w:val="18"/>
              </w:rPr>
              <w:t>①明确评估基线：试点前采集不少于12个月的人力量、警情响应时长、风险暴露事件等历史数据；②统一全寿命周期成本口径：采购＋能源＋维护＋备件＋培训＋退役处置，按五年折现计算；③建立年度效能报告与披露要求，作为后续采购与扩面依据；④评估结果与采购额度挂钩，效能不达标暂停扩面并启动整改</w:t>
            </w:r>
          </w:p>
        </w:tc>
        <w:tc>
          <w:tcPr>
            <w:tcW w:w="3420" w:type="dxa"/>
          </w:tcPr>
          <w:p w14:paraId="1E8B672F">
            <w:r>
              <w:rPr>
                <w:rFonts w:hint="eastAsia"/>
                <w:sz w:val="18"/>
              </w:rPr>
              <w:t>装备财务部门会同试点单位；试点期第 6 个月出中期报告，期满出终期报告</w:t>
            </w:r>
          </w:p>
        </w:tc>
      </w:tr>
    </w:tbl>
    <w:p w14:paraId="07E3976D">
      <w:pPr>
        <w:sectPr>
          <w:footerReference r:id="rId10" w:type="even"/>
          <w:footerReference r:id="rId8" w:type="first"/>
          <w:footerReference r:id="rId9" w:type="default"/>
          <w:type w:val="nextPage"/>
          <w:pgSz w:w="16838" w:h="11906" w:orient="landscape"/>
          <w:pgMar w:top="1134" w:right="850" w:bottom="1134" w:left="850"/>
          <w:pgNumType w:fmt="decimal"/>
        </w:sectPr>
      </w:pPr>
    </w:p>
    <w:p w14:paraId="535C08B6">
      <w:pPr>
        <w:keepNext w:val="1"/>
        <w:keepLines w:val="1"/>
        <w:spacing w:before="100" w:beforeAutospacing="1" w:after="100" w:afterAutospacing="1"/>
        <w:outlineLvl w:val="1"/>
        <w:rPr>
          <w:sz w:val="32"/>
          <w:szCs w:val="32"/>
        </w:rPr>
      </w:pPr>
      <w:r>
        <w:rPr>
          <w:rFonts w:hint="eastAsia"/>
          <w:b w:val="1"/>
          <w:sz w:val="32"/>
        </w:rPr>
        <w:t>六、修改落实情况说明</w:t>
      </w:r>
    </w:p>
    <w:p w14:paraId="01619DC3">
      <w:pPr>
        <w:keepNext w:val="1"/>
        <w:keepLines w:val="1"/>
        <w:spacing w:before="100" w:beforeAutospacing="1" w:after="100" w:afterAutospacing="1"/>
        <w:outlineLvl w:val="2"/>
        <w:rPr>
          <w:sz w:val="32"/>
          <w:szCs w:val="32"/>
        </w:rPr>
      </w:pPr>
      <w:r>
        <w:rPr>
          <w:rFonts w:hint="eastAsia"/>
          <w:b w:val="1"/>
          <w:sz w:val="32"/>
        </w:rPr>
        <w:t>（一）已完成的修改</w:t>
      </w:r>
    </w:p>
    <w:p w14:paraId="6E13611E">
      <w:r>
        <w:rPr>
          <w:rFonts w:hint="eastAsia"/>
        </w:rPr>
        <w:t>（1）</w:t>
      </w:r>
      <w:r>
        <w:rPr>
          <w:rFonts w:hint="eastAsia"/>
          <w:b w:val="1"/>
        </w:rPr>
        <w:t>18 条意见内容全部重写</w:t>
      </w:r>
      <w:r>
        <w:rPr>
          <w:rFonts w:hint="eastAsia"/>
        </w:rPr>
        <w:t>：修订稿保留原稿中经审阅成立的核心观点（增设评价标准层级、自主等级与授权挂钩、双轨验证、四维评估等），重点补入可溯源依据、可检验阈值、责任主体与时限，并把两处引证错位（GB 45438-2025、CCC 认证）与两处指标问题（误报率口径、IP54）逐项纠正。</w:t>
      </w:r>
    </w:p>
    <w:p w14:paraId="4BD1DCBF">
      <w:r>
        <w:rPr>
          <w:rFonts w:hint="eastAsia"/>
        </w:rPr>
        <w:t>（2）</w:t>
      </w:r>
      <w:r>
        <w:rPr>
          <w:rFonts w:hint="eastAsia"/>
          <w:b w:val="1"/>
        </w:rPr>
        <w:t>标准号与机构表述统一</w:t>
      </w:r>
      <w:r>
        <w:rPr>
          <w:rFonts w:hint="eastAsia"/>
        </w:rPr>
        <w:t>：GB/T 28181-2022、GB/T 41300-2022、GB 45438-2025、GB/T 45654-2025、GB/T 47245-2026、YD/T 6770-2026 等按现行有效版本统一；SAC/TC561、SAC/TC100、SAC/TC100/SC2、SAC/TC577、SAC/TC591、MIIT/TC8 等机构名称与归口范围核对后统一表述。</w:t>
      </w:r>
    </w:p>
    <w:p w14:paraId="3EBD4242">
      <w:r>
        <w:rPr>
          <w:rFonts w:hint="eastAsia"/>
        </w:rPr>
        <w:t>（3）</w:t>
      </w:r>
      <w:r>
        <w:rPr>
          <w:rFonts w:hint="eastAsia"/>
          <w:b w:val="1"/>
        </w:rPr>
        <w:t>附表 C 拟立项清单扩充</w:t>
      </w:r>
      <w:r>
        <w:rPr>
          <w:rFonts w:hint="eastAsia"/>
        </w:rPr>
        <w:t>：由原 5 项扩充至 8 项，覆盖基础、技术、管理、评价四个层级，补入数据治理、人机协同勤务规程、多智能体协同接口三个方向。</w:t>
      </w:r>
    </w:p>
    <w:p w14:paraId="3CB26EAE">
      <w:r>
        <w:rPr>
          <w:rFonts w:hint="eastAsia"/>
        </w:rPr>
        <w:t>（4）</w:t>
      </w:r>
      <w:r>
        <w:rPr>
          <w:rFonts w:hint="eastAsia"/>
          <w:b w:val="1"/>
        </w:rPr>
        <w:t>新增“补充建议”</w:t>
      </w:r>
      <w:r>
        <w:rPr>
          <w:rFonts w:hint="eastAsia"/>
          <w:b w:val="1"/>
        </w:rPr>
        <w:t>附页</w:t>
      </w:r>
      <w:r>
        <w:rPr>
          <w:rFonts w:hint="eastAsia"/>
        </w:rPr>
        <w:t>：将上述 10 条新增建议以清单形式附于原表之后，格式与附表统一，便于汇总与归档。</w:t>
      </w:r>
    </w:p>
    <w:p w14:paraId="5BAB8FF7">
      <w:pPr>
        <w:keepNext w:val="1"/>
        <w:keepLines w:val="1"/>
        <w:spacing w:before="100" w:beforeAutospacing="1" w:after="100" w:afterAutospacing="1"/>
        <w:outlineLvl w:val="2"/>
        <w:rPr>
          <w:sz w:val="32"/>
          <w:szCs w:val="32"/>
        </w:rPr>
      </w:pPr>
      <w:r>
        <w:rPr>
          <w:rFonts w:hint="eastAsia"/>
          <w:b w:val="1"/>
          <w:sz w:val="32"/>
        </w:rPr>
        <w:t>（二）需要在报送前由填报单位确认的事项</w:t>
      </w:r>
    </w:p>
    <w:p w14:paraId="6587D9B5">
      <w:r>
        <w:rPr>
          <w:rFonts w:hint="eastAsia"/>
        </w:rPr>
        <w:t>以下内容涉及填报单位的具体情况，审稿组无法代为认定，建议报送前逐项核实：</w:t>
      </w:r>
    </w:p>
    <w:tbl>
      <w:tblPr>
        <w:tblW w:w="85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700"/>
        <w:gridCol w:w="2400"/>
        <w:gridCol w:w="5400"/>
      </w:tblGrid>
      <w:tr>
        <w:trPr>
          <w:tblHeader w:val="1"/>
        </w:trPr>
        <w:tc>
          <w:tcPr>
            <w:tcW w:w="700" w:type="dxa"/>
          </w:tcPr>
          <w:p w14:paraId="62A7B473">
            <w:pPr>
              <w:rPr>
                <w:b w:val="1"/>
                <w:bCs w:val="1"/>
              </w:rPr>
            </w:pPr>
            <w:r>
              <w:rPr>
                <w:rFonts w:hint="eastAsia"/>
                <w:b w:val="1"/>
              </w:rPr>
              <w:t>序号</w:t>
            </w:r>
          </w:p>
        </w:tc>
        <w:tc>
          <w:tcPr>
            <w:tcW w:w="2400" w:type="dxa"/>
          </w:tcPr>
          <w:p w14:paraId="3620CD0E">
            <w:pPr>
              <w:rPr>
                <w:b w:val="1"/>
                <w:bCs w:val="1"/>
              </w:rPr>
            </w:pPr>
            <w:r>
              <w:rPr>
                <w:rFonts w:hint="eastAsia"/>
                <w:b w:val="1"/>
              </w:rPr>
              <w:t>待确认事项</w:t>
            </w:r>
          </w:p>
        </w:tc>
        <w:tc>
          <w:tcPr>
            <w:tcW w:w="5400" w:type="dxa"/>
          </w:tcPr>
          <w:p w14:paraId="3ECC230C">
            <w:pPr>
              <w:rPr>
                <w:b w:val="1"/>
                <w:bCs w:val="1"/>
              </w:rPr>
            </w:pPr>
            <w:r>
              <w:rPr>
                <w:rFonts w:hint="eastAsia"/>
                <w:b w:val="1"/>
              </w:rPr>
              <w:t>说明</w:t>
            </w:r>
          </w:p>
        </w:tc>
      </w:tr>
      <w:tr>
        <w:trPr/>
        <w:tc>
          <w:tcPr>
            <w:tcW w:w="700" w:type="dxa"/>
          </w:tcPr>
          <w:p w14:paraId="27E9930A">
            <w:r>
              <w:t>1</w:t>
            </w:r>
          </w:p>
        </w:tc>
        <w:tc>
          <w:tcPr>
            <w:tcW w:w="2400" w:type="dxa"/>
          </w:tcPr>
          <w:p w14:paraId="526A2B24">
            <w:r>
              <w:rPr>
                <w:rFonts w:hint="eastAsia"/>
              </w:rPr>
              <w:t>产业数据的来源与口径</w:t>
            </w:r>
          </w:p>
        </w:tc>
        <w:tc>
          <w:tcPr>
            <w:tcW w:w="5400" w:type="dxa"/>
          </w:tcPr>
          <w:p w14:paraId="31F796AD">
            <w:r>
              <w:rPr>
                <w:rFonts w:hint="eastAsia"/>
              </w:rPr>
              <w:t>1-1 中的企业数量、出货量等数据，建议以工信部或权威研究机构的统一口径引用，并在文中标注来源与时点</w:t>
            </w:r>
          </w:p>
        </w:tc>
      </w:tr>
      <w:tr>
        <w:trPr/>
        <w:tc>
          <w:tcPr>
            <w:tcW w:w="700" w:type="dxa"/>
          </w:tcPr>
          <w:p w14:paraId="3ED7E772">
            <w:r>
              <w:t>2</w:t>
            </w:r>
          </w:p>
        </w:tc>
        <w:tc>
          <w:tcPr>
            <w:tcW w:w="2400" w:type="dxa"/>
          </w:tcPr>
          <w:p w14:paraId="63970785">
            <w:r>
              <w:rPr>
                <w:rFonts w:hint="eastAsia"/>
              </w:rPr>
              <w:t>指标阈值</w:t>
            </w:r>
          </w:p>
        </w:tc>
        <w:tc>
          <w:tcPr>
            <w:tcW w:w="5400" w:type="dxa"/>
          </w:tcPr>
          <w:p w14:paraId="51234142">
            <w:r>
              <w:rPr>
                <w:rFonts w:hint="eastAsia"/>
              </w:rPr>
              <w:t>2-2 中的各项量化阈值需经实测基线核定，本报告给出的是定值方法与参考区间，非最终值</w:t>
            </w:r>
          </w:p>
        </w:tc>
      </w:tr>
      <w:tr>
        <w:trPr/>
        <w:tc>
          <w:tcPr>
            <w:tcW w:w="700" w:type="dxa"/>
          </w:tcPr>
          <w:p w14:paraId="5E4CD4CC">
            <w:r>
              <w:t>3</w:t>
            </w:r>
          </w:p>
        </w:tc>
        <w:tc>
          <w:tcPr>
            <w:tcW w:w="2400" w:type="dxa"/>
          </w:tcPr>
          <w:p w14:paraId="4F8D0B30">
            <w:r>
              <w:rPr>
                <w:rFonts w:hint="eastAsia"/>
              </w:rPr>
              <w:t>责任主体名称</w:t>
            </w:r>
          </w:p>
        </w:tc>
        <w:tc>
          <w:tcPr>
            <w:tcW w:w="5400" w:type="dxa"/>
          </w:tcPr>
          <w:p w14:paraId="48B8621A">
            <w:r>
              <w:rPr>
                <w:rFonts w:hint="eastAsia"/>
              </w:rPr>
              <w:t>各条建议中的责任主体按业务分工表述，具体单位名称与职责需按本单位实际确定</w:t>
            </w:r>
          </w:p>
        </w:tc>
      </w:tr>
      <w:tr>
        <w:trPr/>
        <w:tc>
          <w:tcPr>
            <w:tcW w:w="700" w:type="dxa"/>
          </w:tcPr>
          <w:p w14:paraId="719D3C10">
            <w:r>
              <w:t>4</w:t>
            </w:r>
          </w:p>
        </w:tc>
        <w:tc>
          <w:tcPr>
            <w:tcW w:w="2400" w:type="dxa"/>
          </w:tcPr>
          <w:p w14:paraId="79719E16">
            <w:r>
              <w:rPr>
                <w:rFonts w:hint="eastAsia"/>
              </w:rPr>
              <w:t>时限</w:t>
            </w:r>
          </w:p>
        </w:tc>
        <w:tc>
          <w:tcPr>
            <w:tcW w:w="5400" w:type="dxa"/>
          </w:tcPr>
          <w:p w14:paraId="74C4CFC4">
            <w:r>
              <w:rPr>
                <w:rFonts w:hint="eastAsia"/>
              </w:rPr>
              <w:t>各项时限为建议值，需与本单位工作计划和上级部署衔接后确定</w:t>
            </w:r>
          </w:p>
        </w:tc>
      </w:tr>
      <w:tr>
        <w:trPr/>
        <w:tc>
          <w:tcPr>
            <w:tcW w:w="700" w:type="dxa"/>
          </w:tcPr>
          <w:p w14:paraId="7DE8AFD6">
            <w:r>
              <w:t>5</w:t>
            </w:r>
          </w:p>
        </w:tc>
        <w:tc>
          <w:tcPr>
            <w:tcW w:w="2400" w:type="dxa"/>
          </w:tcPr>
          <w:p w14:paraId="2621DE75">
            <w:r>
              <w:rPr>
                <w:rFonts w:hint="eastAsia"/>
              </w:rPr>
              <w:t>涉密内容</w:t>
            </w:r>
          </w:p>
        </w:tc>
        <w:tc>
          <w:tcPr>
            <w:tcW w:w="5400" w:type="dxa"/>
          </w:tcPr>
          <w:p w14:paraId="6FF512F0">
            <w:r>
              <w:rPr>
                <w:rFonts w:hint="eastAsia"/>
              </w:rPr>
              <w:t>涉及警力配置、装备部署、系统架构细节的内容按保密规定处理，不得通过互联网传输</w:t>
            </w:r>
          </w:p>
        </w:tc>
      </w:tr>
    </w:tbl>
    <w:p w14:paraId="14D180AE"/>
    <w:sectPr>
      <w:footerReference r:id="rId11" w:type="even"/>
      <w:footerReference r:id="rId12" w:type="first"/>
      <w:footerReference r:id="rId13" w:type="default"/>
      <w:type w:val="nextPage"/>
      <w:pgSz w:w="11906" w:h="16838" w:orient="portrait"/>
      <w:pgMar w:top="1440" w:right="1700" w:bottom="1440" w:left="1700"/>
      <w:pgNumType w:fmt="decimal"/>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26F282C3">
        <w:pPr>
          <w:framePr w:wrap="none" w:hAnchor="margin" w:vAnchor="text" w:xAlign="right" w:y="1"/>
        </w:pPr>
        <w:r>
          <w:fldChar w:fldCharType="begin"/>
        </w:r>
        <w:r>
          <w:instrText>PAGE</w:instrText>
        </w:r>
        <w:r>
          <w:fldChar w:fldCharType="separate"/>
        </w:r>
        <w:r>
          <w:t>1</w:t>
        </w:r>
        <w:r>
          <w:fldChar w:fldCharType="end"/>
        </w:r>
      </w:p>
    </w:sdtContent>
  </w:sdt>
  <w:p w14:paraId="627CCAFC"/>
</w:ftr>
</file>

<file path=word/footer2.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19D1843A">
        <w:pPr>
          <w:framePr w:wrap="none" w:hAnchor="margin" w:vAnchor="text" w:xAlign="right" w:y="1"/>
        </w:pPr>
        <w:r>
          <w:fldChar w:fldCharType="begin"/>
        </w:r>
        <w:r>
          <w:instrText>PAGE</w:instrText>
        </w:r>
        <w:r>
          <w:fldChar w:fldCharType="separate"/>
        </w:r>
        <w:r>
          <w:t>1</w:t>
        </w:r>
        <w:r>
          <w:fldChar w:fldCharType="end"/>
        </w:r>
      </w:p>
    </w:sdtContent>
  </w:sdt>
  <w:p w14:paraId="454DC5DB"/>
</w:ftr>
</file>

<file path=word/footer3.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4FF283F4">
        <w:pPr>
          <w:framePr w:wrap="none" w:hAnchor="margin" w:vAnchor="text" w:xAlign="right" w:y="1"/>
        </w:pPr>
        <w:r>
          <w:fldChar w:fldCharType="begin"/>
        </w:r>
        <w:r>
          <w:instrText>PAGE</w:instrText>
        </w:r>
        <w:r>
          <w:fldChar w:fldCharType="separate"/>
        </w:r>
        <w:r>
          <w:t>1</w:t>
        </w:r>
        <w:r>
          <w:fldChar w:fldCharType="end"/>
        </w:r>
      </w:p>
    </w:sdtContent>
  </w:sdt>
  <w:p w14:paraId="0B447BD1"/>
</w:ftr>
</file>

<file path=word/footer4.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70CE8514">
        <w:pPr>
          <w:framePr w:wrap="none" w:hAnchor="margin" w:vAnchor="text" w:xAlign="right" w:y="1"/>
        </w:pPr>
        <w:r>
          <w:fldChar w:fldCharType="begin"/>
        </w:r>
        <w:r>
          <w:instrText>PAGE</w:instrText>
        </w:r>
        <w:r>
          <w:fldChar w:fldCharType="separate"/>
        </w:r>
        <w:r>
          <w:t>1</w:t>
        </w:r>
        <w:r>
          <w:fldChar w:fldCharType="end"/>
        </w:r>
      </w:p>
    </w:sdtContent>
  </w:sdt>
  <w:p w14:paraId="3C5C4431"/>
</w:ftr>
</file>

<file path=word/footer5.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2BBE860F">
        <w:pPr>
          <w:framePr w:wrap="none" w:hAnchor="margin" w:vAnchor="text" w:xAlign="right" w:y="1"/>
        </w:pPr>
        <w:r>
          <w:fldChar w:fldCharType="begin"/>
        </w:r>
        <w:r>
          <w:instrText>PAGE</w:instrText>
        </w:r>
        <w:r>
          <w:fldChar w:fldCharType="separate"/>
        </w:r>
        <w:r>
          <w:t>1</w:t>
        </w:r>
        <w:r>
          <w:fldChar w:fldCharType="end"/>
        </w:r>
      </w:p>
    </w:sdtContent>
  </w:sdt>
  <w:p w14:paraId="174C470C"/>
</w:ftr>
</file>

<file path=word/footer6.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03518736">
        <w:pPr>
          <w:framePr w:wrap="none" w:hAnchor="margin" w:vAnchor="text" w:xAlign="right" w:y="1"/>
        </w:pPr>
        <w:r>
          <w:fldChar w:fldCharType="begin"/>
        </w:r>
        <w:r>
          <w:instrText>PAGE</w:instrText>
        </w:r>
        <w:r>
          <w:fldChar w:fldCharType="separate"/>
        </w:r>
        <w:r>
          <w:t>1</w:t>
        </w:r>
        <w:r>
          <w:fldChar w:fldCharType="end"/>
        </w:r>
      </w:p>
    </w:sdtContent>
  </w:sdt>
  <w:p w14:paraId="4FBDC667"/>
</w:ftr>
</file>

<file path=word/footer7.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3671BAAA">
        <w:pPr>
          <w:framePr w:wrap="none" w:hAnchor="margin" w:vAnchor="text" w:xAlign="right" w:y="1"/>
        </w:pPr>
        <w:r>
          <w:fldChar w:fldCharType="begin"/>
        </w:r>
        <w:r>
          <w:instrText>PAGE</w:instrText>
        </w:r>
        <w:r>
          <w:fldChar w:fldCharType="separate"/>
        </w:r>
        <w:r>
          <w:t>1</w:t>
        </w:r>
        <w:r>
          <w:fldChar w:fldCharType="end"/>
        </w:r>
      </w:p>
    </w:sdtContent>
  </w:sdt>
  <w:p w14:paraId="72C5C2EB"/>
</w:ftr>
</file>

<file path=word/footer8.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645298DC">
        <w:pPr>
          <w:framePr w:wrap="none" w:hAnchor="margin" w:vAnchor="text" w:xAlign="right" w:y="1"/>
        </w:pPr>
        <w:r>
          <w:fldChar w:fldCharType="begin"/>
        </w:r>
        <w:r>
          <w:instrText>PAGE</w:instrText>
        </w:r>
        <w:r>
          <w:fldChar w:fldCharType="separate"/>
        </w:r>
        <w:r>
          <w:t>1</w:t>
        </w:r>
        <w:r>
          <w:fldChar w:fldCharType="end"/>
        </w:r>
      </w:p>
    </w:sdtContent>
  </w:sdt>
  <w:p w14:paraId="20CC4131"/>
</w:ftr>
</file>

<file path=word/footer9.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5D7389C3">
        <w:pPr>
          <w:framePr w:wrap="none" w:hAnchor="margin" w:vAnchor="text" w:xAlign="right" w:y="1"/>
        </w:pPr>
        <w:r>
          <w:fldChar w:fldCharType="begin"/>
        </w:r>
        <w:r>
          <w:instrText>PAGE</w:instrText>
        </w:r>
        <w:r>
          <w:fldChar w:fldCharType="separate"/>
        </w:r>
        <w:r>
          <w:t>1</w:t>
        </w:r>
        <w:r>
          <w:fldChar w:fldCharType="end"/>
        </w:r>
      </w:p>
    </w:sdtContent>
  </w:sdt>
  <w:p w14:paraId="19C441C4"/>
</w:ftr>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rsids>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5" Type="http://schemas.openxmlformats.org/officeDocument/2006/relationships/footer" Target="footer1.xml" /><Relationship Id="rId9" Type="http://schemas.openxmlformats.org/officeDocument/2006/relationships/footer" Target="footer5.xml" /><Relationship Id="rId7" Type="http://schemas.openxmlformats.org/officeDocument/2006/relationships/footer" Target="footer3.xml" /><Relationship Id="rId4" Type="http://schemas.openxmlformats.org/officeDocument/2006/relationships/numbering" Target="numbering.xml" /><Relationship Id="rId6" Type="http://schemas.openxmlformats.org/officeDocument/2006/relationships/footer" Target="footer2.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3" Type="http://schemas.openxmlformats.org/officeDocument/2006/relationships/footer" Target="footer9.xml" /><Relationship Id="rId12" Type="http://schemas.openxmlformats.org/officeDocument/2006/relationships/footer" Target="footer8.xml" /><Relationship Id="rId11" Type="http://schemas.openxmlformats.org/officeDocument/2006/relationships/footer" Target="footer7.xml" /><Relationship Id="rId10" Type="http://schemas.openxmlformats.org/officeDocument/2006/relationships/footer" Target="footer6.xml" /><Relationship Id="rId8" Type="http://schemas.openxmlformats.org/officeDocument/2006/relationships/footer" Target="footer4.xml" /><Relationship Id="rId1" Type="http://schemas.openxmlformats.org/officeDocument/2006/relationships/settings" Target="setting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2026-09-17T14:16:03Z</dcterms:created>
  <dcterms:modified xsi:type="dcterms:W3CDTF">2026-09-17T14:16:03Z</dcterms:modified>
</cp:coreProperties>
</file>