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word/footer6.xml" ContentType="application/vnd.openxmlformats-officedocument.wordprocessingml.footer+xml"/>
  <Override PartName="/docProps/app.xml" ContentType="application/vnd.openxmlformats-officedocument.extended-properties+xml"/>
  <Override PartName="/word/styles.xml" ContentType="application/vnd.openxmlformats-officedocument.wordprocessingml.styles+xml"/>
  <Override PartName="/word/footnotes.xml" ContentType="application/vnd.openxmlformats-officedocument.wordprocessingml.footnotes+xml"/>
  <Override PartName="/word/footer5.xml" ContentType="application/vnd.openxmlformats-officedocument.wordprocessingml.footer+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205BD616">
      <w:pPr>
        <w:keepNext w:val="1"/>
        <w:keepLines w:val="1"/>
        <w:spacing w:before="100" w:beforeAutospacing="1" w:after="100" w:afterAutospacing="1"/>
        <w:jc w:val="center"/>
        <w:outlineLvl w:val="0"/>
        <w:rPr>
          <w:rFonts w:hint="eastAsia" w:ascii="微软雅黑" w:hAnsi="微软雅黑" w:eastAsia="微软雅黑" w:cs="微软雅黑"/>
          <w:kern w:val="44"/>
          <w:sz w:val="44"/>
          <w:szCs w:val="44"/>
        </w:rPr>
      </w:pPr>
      <w:r>
        <w:rPr>
          <w:rFonts w:hint="eastAsia" w:ascii="微软雅黑" w:hAnsi="微软雅黑" w:eastAsia="微软雅黑" w:cs="微软雅黑"/>
          <w:b w:val="1"/>
          <w:sz w:val="44"/>
        </w:rPr>
        <w:t>公共安全具身智能机器人标准体系构成与配套衔接说明</w:t>
      </w:r>
    </w:p>
    <w:p w14:paraId="150E237B">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编制说明</w:t>
      </w:r>
    </w:p>
    <w:p w14:paraId="09472699">
      <w:pPr>
        <w:rPr>
          <w:rFonts w:hint="eastAsia" w:ascii="微软雅黑" w:hAnsi="微软雅黑" w:eastAsia="微软雅黑" w:cs="微软雅黑"/>
        </w:rPr>
      </w:pPr>
      <w:r>
        <w:rPr>
          <w:rFonts w:hint="eastAsia" w:ascii="微软雅黑" w:hAnsi="微软雅黑" w:eastAsia="微软雅黑" w:cs="微软雅黑"/>
        </w:rPr>
        <w:t>（一）编制目的。为落实“以高效高质标准体系引领具身智能机器人公共安全应用”的部署要求，需要先回答一个基础问题：要建成一套完整体系，究竟需要编写哪些标准，这些标准之间怎么分工、怎么衔接。本说明即针对这一问题编制，为体系表的形成提供类型划分、层次安排与配套关系方面的论证，不替代体系表本身。</w:t>
      </w:r>
    </w:p>
    <w:p w14:paraId="69A62FA7">
      <w:pPr>
        <w:rPr>
          <w:rFonts w:hint="eastAsia" w:ascii="微软雅黑" w:hAnsi="微软雅黑" w:eastAsia="微软雅黑" w:cs="微软雅黑"/>
        </w:rPr>
      </w:pPr>
      <w:r>
        <w:rPr>
          <w:rFonts w:hint="eastAsia" w:ascii="微软雅黑" w:hAnsi="微软雅黑" w:eastAsia="微软雅黑" w:cs="微软雅黑"/>
        </w:rPr>
        <w:t>（二）编制依据。《中华人民共和国标准化法》；GB/T 13016-2018《标准体系构建原则和要求》；GB/T 1.1-2020《标准化工作导则　第1部分：标准化文件的结构和起草规则》；《人形机器人与具身智能标准体系（2026版）》（工业和信息化部人形机器人与具身智能标准化技术委员会2026年2月发布）与《国家人形机器人产业标准体系建设指南（2026版）》（征求意见稿）；GB 42590-2023、GB/T 41300-2022、GA/T 1411系列等警用与民用无人机相关标准；以及公共安全领域现行相关标准与在研项目情况。</w:t>
      </w:r>
    </w:p>
    <w:p w14:paraId="797F2BF1">
      <w:pPr>
        <w:rPr>
          <w:rFonts w:hint="eastAsia" w:ascii="微软雅黑" w:hAnsi="微软雅黑" w:eastAsia="微软雅黑" w:cs="微软雅黑"/>
        </w:rPr>
      </w:pPr>
      <w:r>
        <w:rPr>
          <w:rFonts w:hint="eastAsia" w:ascii="微软雅黑" w:hAnsi="微软雅黑" w:eastAsia="微软雅黑" w:cs="微软雅黑"/>
        </w:rPr>
        <w:t>（三）适用范围。本说明适用于公共安全领域具身智能机器人（含轮式、足式、复合式、固定式形态及多机协同形态）的标准体系构建，也可为其他高风险特种作业领域提供参照。</w:t>
      </w:r>
    </w:p>
    <w:p w14:paraId="24865772">
      <w:pPr>
        <w:rPr>
          <w:rFonts w:hint="eastAsia" w:ascii="微软雅黑" w:hAnsi="微软雅黑" w:eastAsia="微软雅黑" w:cs="微软雅黑"/>
        </w:rPr>
      </w:pPr>
      <w:r>
        <w:rPr>
          <w:rFonts w:hint="eastAsia" w:ascii="微软雅黑" w:hAnsi="微软雅黑" w:eastAsia="微软雅黑" w:cs="微软雅黑"/>
        </w:rPr>
        <w:t>（四）使用说明。文中的“应”“须”表述为体系构建的建议性要求，最终以体系表与具体标准文本为准。</w:t>
      </w:r>
    </w:p>
    <w:p w14:paraId="6A14A362">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一、总体思路与构建原则</w:t>
      </w:r>
    </w:p>
    <w:p w14:paraId="411A2F07">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（一）三条基本判断</w:t>
      </w:r>
    </w:p>
    <w:p w14:paraId="2DC8B4B7">
      <w:pPr>
        <w:rPr>
          <w:rFonts w:hint="eastAsia" w:ascii="微软雅黑" w:hAnsi="微软雅黑" w:eastAsia="微软雅黑" w:cs="微软雅黑"/>
        </w:rPr>
      </w:pPr>
      <w:r>
        <w:rPr>
          <w:rFonts w:hint="eastAsia" w:ascii="微软雅黑" w:hAnsi="微软雅黑" w:eastAsia="微软雅黑" w:cs="微软雅黑"/>
        </w:rPr>
        <w:t>1．标准体系不等于标准清单的堆叠。一份数百项的标准目录，若没有层次安排与配套关系，只能叫“目录”。GB/T 13016-2018 用“全面成套”“层次适当”“划分清楚”三项要求来约束体系：成套讲的是标准之间有没有配套关系，层次讲的是上位对下位的约束是否成立，划分讲的是子体系边界有没有重叠或遗漏。三条缺任何一条，体系就退化成一张清单。</w:t>
      </w:r>
    </w:p>
    <w:p w14:paraId="785FD1CB">
      <w:pPr>
        <w:rPr>
          <w:rFonts w:hint="eastAsia" w:ascii="微软雅黑" w:hAnsi="微软雅黑" w:eastAsia="微软雅黑" w:cs="微软雅黑"/>
        </w:rPr>
      </w:pPr>
      <w:r>
        <w:rPr>
          <w:rFonts w:hint="eastAsia" w:ascii="微软雅黑" w:hAnsi="微软雅黑" w:eastAsia="微软雅黑" w:cs="微软雅黑"/>
        </w:rPr>
        <w:t>2．公共安全场景的体系必须比民用体系多一层“管控”。民用具身智能标准体系管的是“产品能不能用、好不好用”。公共安全场景则还要回答三个问题：谁有权用它做什么，做到什么程度必须由人接手，出了事由谁负责。这三个问题落到标准上就是管控类标准，也正是本体系相对民用体系增出来的那一层，并非可有可无的补充。</w:t>
      </w:r>
    </w:p>
    <w:p w14:paraId="4A90FC7F">
      <w:pPr>
        <w:rPr>
          <w:rFonts w:hint="eastAsia" w:ascii="微软雅黑" w:hAnsi="微软雅黑" w:eastAsia="微软雅黑" w:cs="微软雅黑"/>
        </w:rPr>
      </w:pPr>
      <w:r>
        <w:rPr>
          <w:rFonts w:hint="eastAsia" w:ascii="微软雅黑" w:hAnsi="微软雅黑" w:eastAsia="微软雅黑" w:cs="微软雅黑"/>
        </w:rPr>
        <w:t>3．完整性与一致性不能靠自觉，要靠制度化的校验安排。体系建成后还要持续演进。如果“缺口检查”“引用比对”“要求与方法配对”这些动作只靠人惦记，几轮修订下来体系就会自己散掉；把它们固定成组织和程序上的例行安排，才守得住。</w:t>
      </w:r>
    </w:p>
    <w:p w14:paraId="5EE2739B">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（二）五项构建原则</w:t>
      </w:r>
    </w:p>
    <w:p w14:paraId="38E32EB7">
      <w:pPr>
        <w:rPr>
          <w:rFonts w:hint="eastAsia" w:ascii="微软雅黑" w:hAnsi="微软雅黑" w:eastAsia="微软雅黑" w:cs="微软雅黑"/>
        </w:rPr>
      </w:pPr>
      <w:r>
        <w:rPr>
          <w:rFonts w:hint="eastAsia" w:ascii="微软雅黑" w:hAnsi="微软雅黑" w:eastAsia="微软雅黑" w:cs="微软雅黑"/>
        </w:rPr>
        <w:t>在 GB/T 13016-2018 提出的目标明确、全面成套、层次适当、划分清楚四项原则基础上，结合“系统全面、急用先行、动态更新”的要求，本体系确定以下五项原则：</w:t>
      </w:r>
    </w:p>
    <w:p w14:paraId="14FDCD4F">
      <w:pPr>
        <w:rPr>
          <w:rFonts w:hint="eastAsia" w:ascii="微软雅黑" w:hAnsi="微软雅黑" w:eastAsia="微软雅黑" w:cs="微软雅黑"/>
        </w:rPr>
      </w:pPr>
      <w:r>
        <w:rPr>
          <w:rFonts w:hint="eastAsia" w:ascii="微软雅黑" w:hAnsi="微软雅黑" w:eastAsia="微软雅黑" w:cs="微软雅黑"/>
        </w:rPr>
        <w:t>1．需求牵引，急用先行。以业务场景的实际能力需求为出发点，先解决巡逻防控、检查核查、危险品与爆炸物处置等急用场景“无标可依”的问题。</w:t>
      </w:r>
    </w:p>
    <w:p w14:paraId="4D94027A">
      <w:pPr>
        <w:rPr>
          <w:rFonts w:hint="eastAsia" w:ascii="微软雅黑" w:hAnsi="微软雅黑" w:eastAsia="微软雅黑" w:cs="微软雅黑"/>
        </w:rPr>
      </w:pPr>
      <w:r>
        <w:rPr>
          <w:rFonts w:hint="eastAsia" w:ascii="微软雅黑" w:hAnsi="微软雅黑" w:eastAsia="微软雅黑" w:cs="微软雅黑"/>
        </w:rPr>
        <w:t>2．分层分门，边界清晰。纵向上以“总体—门类—专用”三层安排约束秩序，横向上以六个门类划分标准化对象；同一标准化对象只在一个门类中规定，避免重复与冲突。</w:t>
      </w:r>
    </w:p>
    <w:p w14:paraId="71036772">
      <w:pPr>
        <w:rPr>
          <w:rFonts w:hint="eastAsia" w:ascii="微软雅黑" w:hAnsi="微软雅黑" w:eastAsia="微软雅黑" w:cs="微软雅黑"/>
        </w:rPr>
      </w:pPr>
      <w:r>
        <w:rPr>
          <w:rFonts w:hint="eastAsia" w:ascii="微软雅黑" w:hAnsi="微软雅黑" w:eastAsia="微软雅黑" w:cs="微软雅黑"/>
        </w:rPr>
        <w:t>3．安全为基，管控为要。安全要求贯穿全体系、全生命周期；管控要求覆盖“能力—权限—边界—责任”全链条。</w:t>
      </w:r>
    </w:p>
    <w:p w14:paraId="3E25E60D">
      <w:pPr>
        <w:rPr>
          <w:rFonts w:hint="eastAsia" w:ascii="微软雅黑" w:hAnsi="微软雅黑" w:eastAsia="微软雅黑" w:cs="微软雅黑"/>
        </w:rPr>
      </w:pPr>
      <w:r>
        <w:rPr>
          <w:rFonts w:hint="eastAsia" w:ascii="微软雅黑" w:hAnsi="微软雅黑" w:eastAsia="微软雅黑" w:cs="微软雅黑"/>
        </w:rPr>
        <w:t>4．要求与方法配对，可验证。凡提出要求，必配套试验方法与判定规则；无试验方法支撑的要求不得报批。</w:t>
      </w:r>
    </w:p>
    <w:p w14:paraId="016D4508">
      <w:pPr>
        <w:rPr>
          <w:rFonts w:hint="eastAsia" w:ascii="微软雅黑" w:hAnsi="微软雅黑" w:eastAsia="微软雅黑" w:cs="微软雅黑"/>
        </w:rPr>
      </w:pPr>
      <w:r>
        <w:rPr>
          <w:rFonts w:hint="eastAsia" w:ascii="微软雅黑" w:hAnsi="微软雅黑" w:eastAsia="微软雅黑" w:cs="微软雅黑"/>
        </w:rPr>
        <w:t>5．开放兼容，动态迭代。优先采用规范性引用而非重复条款；对快速迭代对象采用“框架标准＋技术规范”双轨制。</w:t>
      </w:r>
    </w:p>
    <w:p w14:paraId="45322419">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二、体系整体架构</w:t>
      </w:r>
    </w:p>
    <w:p w14:paraId="2FE064F5">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（一）总体架构：三层六门类一条贯穿线</w:t>
      </w:r>
    </w:p>
    <w:p w14:paraId="6CA70F49">
      <w:pPr>
        <w:rPr>
          <w:rFonts w:hint="eastAsia" w:ascii="微软雅黑" w:hAnsi="微软雅黑" w:eastAsia="微软雅黑" w:cs="微软雅黑"/>
        </w:rPr>
      </w:pPr>
      <w:r>
        <w:rPr>
          <w:rFonts w:hint="eastAsia" w:ascii="微软雅黑" w:hAnsi="微软雅黑" w:eastAsia="微软雅黑" w:cs="微软雅黑"/>
        </w:rPr>
        <w:t>本体系采用“纵三层、横六门类、一条贯穿线”的矩阵式架构：</w:t>
      </w:r>
    </w:p>
    <w:p w14:paraId="68F57864">
      <w:pPr>
        <w:rPr>
          <w:rFonts w:hint="eastAsia" w:ascii="微软雅黑" w:hAnsi="微软雅黑" w:eastAsia="微软雅黑" w:cs="微软雅黑"/>
        </w:rPr>
      </w:pPr>
      <w:r>
        <w:rPr>
          <w:rFonts w:hint="eastAsia" w:ascii="微软雅黑" w:hAnsi="微软雅黑" w:eastAsia="微软雅黑" w:cs="微软雅黑"/>
        </w:rPr>
        <w:t>1．纵三层解决“约束秩序”。第一层总体层定框架与规则；第二层门类层规定各类标准的通用要求；第三层专用层按场景、形态、任务细化专用要求。</w:t>
      </w:r>
    </w:p>
    <w:p w14:paraId="11B8C8D5">
      <w:pPr>
        <w:rPr>
          <w:rFonts w:hint="eastAsia" w:ascii="微软雅黑" w:hAnsi="微软雅黑" w:eastAsia="微软雅黑" w:cs="微软雅黑"/>
        </w:rPr>
      </w:pPr>
      <w:r>
        <w:rPr>
          <w:rFonts w:hint="eastAsia" w:ascii="微软雅黑" w:hAnsi="微软雅黑" w:eastAsia="微软雅黑" w:cs="微软雅黑"/>
        </w:rPr>
        <w:t>2．横六门类解决“功能分工”。基础、技术、管控、管理、测试、评价六个门类各自回答不同性质的问题，互不替代。</w:t>
      </w:r>
    </w:p>
    <w:p w14:paraId="31122FDB">
      <w:pPr>
        <w:rPr>
          <w:rFonts w:hint="eastAsia" w:ascii="微软雅黑" w:hAnsi="微软雅黑" w:eastAsia="微软雅黑" w:cs="微软雅黑"/>
        </w:rPr>
      </w:pPr>
      <w:r>
        <w:rPr>
          <w:rFonts w:hint="eastAsia" w:ascii="微软雅黑" w:hAnsi="微软雅黑" w:eastAsia="微软雅黑" w:cs="微软雅黑"/>
        </w:rPr>
        <w:t>3．一条贯穿线解决“底线保障”。安全要求包括功能安全、信息安全、数据安全与个人信息保护、伦理合规，不另设层级，横贯全部层次与门类。</w:t>
      </w:r>
    </w:p>
    <w:p w14:paraId="2C2198FA">
      <w:pPr>
        <w:rPr>
          <w:rFonts w:hint="eastAsia" w:ascii="微软雅黑" w:hAnsi="微软雅黑" w:eastAsia="微软雅黑" w:cs="微软雅黑"/>
        </w:rPr>
      </w:pPr>
      <w:r>
        <w:rPr>
          <w:rFonts w:hint="eastAsia" w:ascii="微软雅黑" w:hAnsi="微软雅黑" w:eastAsia="微软雅黑" w:cs="微软雅黑"/>
        </w:rPr>
        <w:t>层次与门类的交叉点就是一个标准“格子”。体系完整不完整，看的是每个有效格子里都有标准，而不是某几个格子里堆了多少标准。</w:t>
      </w:r>
    </w:p>
    <w:p w14:paraId="031A4E21">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（二）纵向层次关系</w:t>
      </w:r>
    </w:p>
    <w:p w14:paraId="22EF0468">
      <w:pPr>
        <w:rPr>
          <w:rFonts w:hint="eastAsia" w:ascii="微软雅黑" w:hAnsi="微软雅黑" w:eastAsia="微软雅黑" w:cs="微软雅黑"/>
        </w:rPr>
      </w:pPr>
      <w:r>
        <w:rPr>
          <w:rFonts w:hint="eastAsia" w:ascii="微软雅黑" w:hAnsi="微软雅黑" w:eastAsia="微软雅黑" w:cs="微软雅黑"/>
        </w:rPr>
        <w:t>1．第一层　总体层。只放总体标准，相当于体系的“总纲”，规定体系的构成、术语、分级方法以及体系自身的维护规则。这一层数量最少（本方案建议控制在 5 项以内），约束力最强：门类标准与专用标准在框架、术语、分级方法上都必须与它一致。</w:t>
      </w:r>
    </w:p>
    <w:p w14:paraId="629B68DB">
      <w:pPr>
        <w:rPr>
          <w:rFonts w:hint="eastAsia" w:ascii="微软雅黑" w:hAnsi="微软雅黑" w:eastAsia="微软雅黑" w:cs="微软雅黑"/>
        </w:rPr>
      </w:pPr>
      <w:r>
        <w:rPr>
          <w:rFonts w:hint="eastAsia" w:ascii="微软雅黑" w:hAnsi="微软雅黑" w:eastAsia="微软雅黑" w:cs="微软雅黑"/>
        </w:rPr>
        <w:t>2．第二层　门类层。放六个门类各自的通用要求，面向同类标准化对象的共性特征，适用范围覆盖全领域。体系标准数量的大头在这一层。</w:t>
      </w:r>
    </w:p>
    <w:p w14:paraId="7AD48C14">
      <w:pPr>
        <w:rPr>
          <w:rFonts w:hint="eastAsia" w:ascii="微软雅黑" w:hAnsi="微软雅黑" w:eastAsia="微软雅黑" w:cs="微软雅黑"/>
        </w:rPr>
      </w:pPr>
      <w:r>
        <w:rPr>
          <w:rFonts w:hint="eastAsia" w:ascii="微软雅黑" w:hAnsi="微软雅黑" w:eastAsia="微软雅黑" w:cs="微软雅黑"/>
        </w:rPr>
        <w:t>3．第三层　专用层。放按具体场景（街面巡逻、卡点检查、危险品与爆炸物处置、应急救援、监所巡视、大型活动安保、交通管理、社区警务）、具体形态（轮式／足式／复合式／固定式）、具体任务细化的专用标准。这一层数量最多，更新也最快。</w:t>
      </w:r>
    </w:p>
    <w:p w14:paraId="01C2C4A7">
      <w:pPr>
        <w:rPr>
          <w:rFonts w:hint="eastAsia" w:ascii="微软雅黑" w:hAnsi="微软雅黑" w:eastAsia="微软雅黑" w:cs="微软雅黑"/>
        </w:rPr>
      </w:pPr>
      <w:r>
        <w:rPr>
          <w:rFonts w:hint="eastAsia" w:ascii="微软雅黑" w:hAnsi="微软雅黑" w:eastAsia="微软雅黑" w:cs="微软雅黑"/>
        </w:rPr>
        <w:t>层次之间的约束关系遵循“加严不放松、细化不抵触”：下位标准可以在上位标准基础上提出更严的指标或更细的做法，但不得降低上位标准的安全底线，也不得改变上位标准已经统一的概念与分类。</w:t>
      </w:r>
    </w:p>
    <w:p w14:paraId="6E418A42">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（三）横向门类划分</w:t>
      </w:r>
    </w:p>
    <w:p w14:paraId="1E1C2333">
      <w:pPr>
        <w:rPr>
          <w:rFonts w:hint="eastAsia" w:ascii="微软雅黑" w:hAnsi="微软雅黑" w:eastAsia="微软雅黑" w:cs="微软雅黑"/>
        </w:rPr>
      </w:pPr>
      <w:r>
        <w:rPr>
          <w:rFonts w:hint="eastAsia" w:ascii="微软雅黑" w:hAnsi="微软雅黑" w:eastAsia="微软雅黑" w:cs="微软雅黑"/>
        </w:rPr>
        <w:t>六个门类按“对象—过程—验证”的逻辑排列，各自的分工如下：</w:t>
      </w:r>
    </w:p>
    <w:p w14:paraId="6799B248">
      <w:pPr>
        <w:rPr>
          <w:rFonts w:hint="eastAsia" w:ascii="微软雅黑" w:hAnsi="微软雅黑" w:eastAsia="微软雅黑" w:cs="微软雅黑"/>
        </w:rPr>
      </w:pPr>
      <w:r>
        <w:rPr>
          <w:rFonts w:hint="eastAsia" w:ascii="微软雅黑" w:hAnsi="微软雅黑" w:eastAsia="微软雅黑" w:cs="微软雅黑"/>
        </w:rPr>
        <w:t>1．基础标准，解决“共同语言”。术语、分类分级、标识编码、数据元、图形符号，所有门类标准均以其为前提。</w:t>
      </w:r>
    </w:p>
    <w:p w14:paraId="7F166762">
      <w:pPr>
        <w:rPr>
          <w:rFonts w:hint="eastAsia" w:ascii="微软雅黑" w:hAnsi="微软雅黑" w:eastAsia="微软雅黑" w:cs="微软雅黑"/>
        </w:rPr>
      </w:pPr>
      <w:r>
        <w:rPr>
          <w:rFonts w:hint="eastAsia" w:ascii="微软雅黑" w:hAnsi="微软雅黑" w:eastAsia="微软雅黑" w:cs="微软雅黑"/>
        </w:rPr>
        <w:t>2．技术标准，解决“是什么、多好”。规定部组件、整机、感知、决策、控制、通信、集成与接口的技术要求，回答产品与系统应当具备什么能力、达到什么指标。</w:t>
      </w:r>
    </w:p>
    <w:p w14:paraId="34848AD1">
      <w:pPr>
        <w:rPr>
          <w:rFonts w:hint="eastAsia" w:ascii="微软雅黑" w:hAnsi="微软雅黑" w:eastAsia="微软雅黑" w:cs="微软雅黑"/>
        </w:rPr>
      </w:pPr>
      <w:r>
        <w:rPr>
          <w:rFonts w:hint="eastAsia" w:ascii="微软雅黑" w:hAnsi="微软雅黑" w:eastAsia="微软雅黑" w:cs="微软雅黑"/>
        </w:rPr>
        <w:t>3．管控标准，解决“允许做什么、怎么管住”。规定行为边界、分级授权、准入备案、接管与失效安全、留痕留证、责任分担，回答能力可以行使到什么范围、权限如何被约束。</w:t>
      </w:r>
    </w:p>
    <w:p w14:paraId="2F973741">
      <w:pPr>
        <w:rPr>
          <w:rFonts w:hint="eastAsia" w:ascii="微软雅黑" w:hAnsi="微软雅黑" w:eastAsia="微软雅黑" w:cs="微软雅黑"/>
        </w:rPr>
      </w:pPr>
      <w:r>
        <w:rPr>
          <w:rFonts w:hint="eastAsia" w:ascii="微软雅黑" w:hAnsi="微软雅黑" w:eastAsia="微软雅黑" w:cs="微软雅黑"/>
        </w:rPr>
        <w:t>4．管理标准，解决“怎么配、怎么用、怎么养”。规定配备编制、勤务组织、训练考核、运行维护、退役处置，回答装备进入警务工作流之后如何被组织和维持。</w:t>
      </w:r>
    </w:p>
    <w:p w14:paraId="2117CC61">
      <w:pPr>
        <w:rPr>
          <w:rFonts w:hint="eastAsia" w:ascii="微软雅黑" w:hAnsi="微软雅黑" w:eastAsia="微软雅黑" w:cs="微软雅黑"/>
        </w:rPr>
      </w:pPr>
      <w:r>
        <w:rPr>
          <w:rFonts w:hint="eastAsia" w:ascii="微软雅黑" w:hAnsi="微软雅黑" w:eastAsia="微软雅黑" w:cs="微软雅黑"/>
        </w:rPr>
        <w:t>5．测试标准，解决“怎么测、怎么判”。规定试验方法、测试科目、场景库与数据集要求，把技术要求与管控要求转化为可复现的判据。</w:t>
      </w:r>
    </w:p>
    <w:p w14:paraId="775DD682">
      <w:pPr>
        <w:rPr>
          <w:rFonts w:hint="eastAsia" w:ascii="微软雅黑" w:hAnsi="微软雅黑" w:eastAsia="微软雅黑" w:cs="微软雅黑"/>
        </w:rPr>
      </w:pPr>
      <w:r>
        <w:rPr>
          <w:rFonts w:hint="eastAsia" w:ascii="微软雅黑" w:hAnsi="微软雅黑" w:eastAsia="微软雅黑" w:cs="微软雅黑"/>
        </w:rPr>
        <w:t>6．评价标准，解决“好不好、能不能列装”。规定能力等级评定、实战效能评估、全寿命周期成本评估与认证标识管理，把测试结果转化为准入与采购决策依据。</w:t>
      </w:r>
    </w:p>
    <w:p w14:paraId="19208D21">
      <w:pPr>
        <w:rPr>
          <w:rFonts w:hint="eastAsia" w:ascii="微软雅黑" w:hAnsi="微软雅黑" w:eastAsia="微软雅黑" w:cs="微软雅黑"/>
        </w:rPr>
      </w:pPr>
      <w:r>
        <w:rPr>
          <w:rFonts w:hint="eastAsia" w:ascii="微软雅黑" w:hAnsi="微软雅黑" w:eastAsia="微软雅黑" w:cs="微软雅黑"/>
        </w:rPr>
        <w:t>门类之间的分工，关键在三个“不越界”：技术标准不规定权限（那是管控标准的事）；管控标准不规定具体技术指标（引用技术标准）；测试标准只给方法与判据，不另设要求（要求来自技术标准与管控标准）。</w:t>
      </w:r>
    </w:p>
    <w:p w14:paraId="18B13612">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（四）贯穿性安全要求</w:t>
      </w:r>
    </w:p>
    <w:p w14:paraId="1C867510">
      <w:pPr>
        <w:rPr>
          <w:rFonts w:hint="eastAsia" w:ascii="微软雅黑" w:hAnsi="微软雅黑" w:eastAsia="微软雅黑" w:cs="微软雅黑"/>
        </w:rPr>
      </w:pPr>
      <w:r>
        <w:rPr>
          <w:rFonts w:hint="eastAsia" w:ascii="微软雅黑" w:hAnsi="微软雅黑" w:eastAsia="微软雅黑" w:cs="微软雅黑"/>
        </w:rPr>
        <w:t>安全要求不单独成层，作为贯穿线横贯上述三层六门类。理由在于安全是一种属性，不是一类对象，每一个标准化对象身上都存在。这条贯穿线有四个落位点：</w:t>
      </w:r>
    </w:p>
    <w:p w14:paraId="14FE8685">
      <w:pPr>
        <w:rPr>
          <w:rFonts w:hint="eastAsia" w:ascii="微软雅黑" w:hAnsi="微软雅黑" w:eastAsia="微软雅黑" w:cs="微软雅黑"/>
        </w:rPr>
      </w:pPr>
      <w:r>
        <w:rPr>
          <w:rFonts w:hint="eastAsia" w:ascii="微软雅黑" w:hAnsi="微软雅黑" w:eastAsia="微软雅黑" w:cs="微软雅黑"/>
        </w:rPr>
        <w:t>1．功能安全。失效行为、失效降级、安全状态的定义与验证，由技术标准与测试标准共同承载。</w:t>
      </w:r>
    </w:p>
    <w:p w14:paraId="55BC37F1">
      <w:pPr>
        <w:rPr>
          <w:rFonts w:hint="eastAsia" w:ascii="微软雅黑" w:hAnsi="微软雅黑" w:eastAsia="微软雅黑" w:cs="微软雅黑"/>
        </w:rPr>
      </w:pPr>
      <w:r>
        <w:rPr>
          <w:rFonts w:hint="eastAsia" w:ascii="微软雅黑" w:hAnsi="微软雅黑" w:eastAsia="微软雅黑" w:cs="微软雅黑"/>
        </w:rPr>
        <w:t>2．信息安全。数据链加密、设备与平台双向身份认证、控制指令签名防重放、密码应用符合国家商用密码要求、按 GB/T 22239 开展网络安全等级保护定级，由技术标准承载、测试标准验证。</w:t>
      </w:r>
    </w:p>
    <w:p w14:paraId="14770D7B">
      <w:pPr>
        <w:rPr>
          <w:rFonts w:hint="eastAsia" w:ascii="微软雅黑" w:hAnsi="微软雅黑" w:eastAsia="微软雅黑" w:cs="微软雅黑"/>
        </w:rPr>
      </w:pPr>
      <w:r>
        <w:rPr>
          <w:rFonts w:hint="eastAsia" w:ascii="微软雅黑" w:hAnsi="微软雅黑" w:eastAsia="微软雅黑" w:cs="微软雅黑"/>
        </w:rPr>
        <w:t>3．数据安全与个人信息保护。分类分级、最小必要、境内存储、人脸识别刚性要求、输出内容标识，由管控标准承载、安全要求细化。</w:t>
      </w:r>
    </w:p>
    <w:p w14:paraId="116E9E33">
      <w:pPr>
        <w:rPr>
          <w:rFonts w:hint="eastAsia" w:ascii="微软雅黑" w:hAnsi="微软雅黑" w:eastAsia="微软雅黑" w:cs="微软雅黑"/>
        </w:rPr>
      </w:pPr>
      <w:r>
        <w:rPr>
          <w:rFonts w:hint="eastAsia" w:ascii="微软雅黑" w:hAnsi="微软雅黑" w:eastAsia="微软雅黑" w:cs="微软雅黑"/>
        </w:rPr>
        <w:t>4．伦理合规。算法影响评估、伦理审查、对特定群体的差异性影响、可解释性与人工干预可行性，由管控标准与评价标准共同承载。</w:t>
      </w:r>
    </w:p>
    <w:p w14:paraId="779E85C1">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（五）覆盖范围：对象·过程·场景三维覆盖</w:t>
      </w:r>
    </w:p>
    <w:p w14:paraId="08642C0E">
      <w:pPr>
        <w:rPr>
          <w:rFonts w:hint="eastAsia" w:ascii="微软雅黑" w:hAnsi="微软雅黑" w:eastAsia="微软雅黑" w:cs="微软雅黑"/>
        </w:rPr>
      </w:pPr>
      <w:r>
        <w:rPr>
          <w:rFonts w:hint="eastAsia" w:ascii="微软雅黑" w:hAnsi="微软雅黑" w:eastAsia="微软雅黑" w:cs="微软雅黑"/>
        </w:rPr>
        <w:t>判断体系是否“全面成套”，须在三个维度上做覆盖度检查：</w:t>
      </w:r>
    </w:p>
    <w:p w14:paraId="4CA56E70">
      <w:pPr>
        <w:rPr>
          <w:rFonts w:hint="eastAsia" w:ascii="微软雅黑" w:hAnsi="微软雅黑" w:eastAsia="微软雅黑" w:cs="微软雅黑"/>
        </w:rPr>
      </w:pPr>
      <w:r>
        <w:rPr>
          <w:rFonts w:hint="eastAsia" w:ascii="微软雅黑" w:hAnsi="微软雅黑" w:eastAsia="微软雅黑" w:cs="微软雅黑"/>
        </w:rPr>
        <w:t>1．对象维度：部组件→整机与本体→系统与平台→体系与接口，四段不留空。</w:t>
      </w:r>
    </w:p>
    <w:p w14:paraId="5656A4DE">
      <w:pPr>
        <w:rPr>
          <w:rFonts w:hint="eastAsia" w:ascii="微软雅黑" w:hAnsi="微软雅黑" w:eastAsia="微软雅黑" w:cs="微软雅黑"/>
        </w:rPr>
      </w:pPr>
      <w:r>
        <w:rPr>
          <w:rFonts w:hint="eastAsia" w:ascii="微软雅黑" w:hAnsi="微软雅黑" w:eastAsia="微软雅黑" w:cs="微软雅黑"/>
        </w:rPr>
        <w:t>2．过程维度：研制与准入→配备与列装→使用与勤务→运行维护→退役处置，全程不留空。</w:t>
      </w:r>
    </w:p>
    <w:p w14:paraId="79FA2DB0">
      <w:pPr>
        <w:rPr>
          <w:rFonts w:hint="eastAsia" w:ascii="微软雅黑" w:hAnsi="微软雅黑" w:eastAsia="微软雅黑" w:cs="微软雅黑"/>
        </w:rPr>
      </w:pPr>
      <w:r>
        <w:rPr>
          <w:rFonts w:hint="eastAsia" w:ascii="微软雅黑" w:hAnsi="微软雅黑" w:eastAsia="微软雅黑" w:cs="微软雅黑"/>
        </w:rPr>
        <w:t>3．场景维度：巡逻防控、检查核查、危险品与爆炸物处置、应急救援、监所管理、大型活动安保、交通管理、社区警务，主要场景不留空。</w:t>
      </w:r>
    </w:p>
    <w:p w14:paraId="2C9231F1">
      <w:pPr>
        <w:rPr>
          <w:rFonts w:hint="eastAsia" w:ascii="微软雅黑" w:hAnsi="微软雅黑" w:eastAsia="微软雅黑" w:cs="微软雅黑"/>
        </w:rPr>
      </w:pPr>
      <w:r>
        <w:rPr>
          <w:rFonts w:hint="eastAsia" w:ascii="微软雅黑" w:hAnsi="微软雅黑" w:eastAsia="微软雅黑" w:cs="微软雅黑"/>
        </w:rPr>
        <w:t>三个维度中任一维度出现“有对象无标准”“有环节无标准”“有场景无标准”，即为体系缺口，应进入缺口清单并列入立项计划。</w:t>
      </w:r>
    </w:p>
    <w:p w14:paraId="0251B6E5">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（六）标准体系架构一览表</w:t>
      </w:r>
    </w:p>
    <w:p w14:paraId="49F20CC1">
      <w:pPr>
        <w:rPr>
          <w:rFonts w:hint="eastAsia" w:ascii="微软雅黑" w:hAnsi="微软雅黑" w:eastAsia="微软雅黑" w:cs="微软雅黑"/>
        </w:rPr>
      </w:pPr>
      <w:r>
        <w:rPr>
          <w:rFonts w:hint="eastAsia" w:ascii="微软雅黑" w:hAnsi="微软雅黑" w:eastAsia="微软雅黑" w:cs="微软雅黑"/>
        </w:rPr>
        <w:t>下表把层次、门类、定位、覆盖范围与衔接关系集中列出，可作为体系表编制时的框架底稿。</w:t>
      </w:r>
    </w:p>
    <w:tbl>
      <w:tblPr>
        <w:tblStyle w:val="00000d"/>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1300"/>
        <w:gridCol w:w="3000"/>
        <w:gridCol w:w="3300"/>
      </w:tblGrid>
      <w:tr>
        <w:trPr>
          <w:tblHeader w:val="1"/>
        </w:trPr>
        <w:tc>
          <w:tcPr>
            <w:tcW w:w="900" w:type="dxa"/>
            <w:shd w:val="clear" w:color="auto" w:fill="95B3D7" w:themeFill="accent1" w:themeFillTint="99"/>
          </w:tcPr>
          <w:p w14:paraId="58C1B87E">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层次</w:t>
            </w:r>
          </w:p>
        </w:tc>
        <w:tc>
          <w:tcPr>
            <w:tcW w:w="1300" w:type="dxa"/>
            <w:shd w:val="clear" w:color="auto" w:fill="95B3D7" w:themeFill="accent1" w:themeFillTint="99"/>
          </w:tcPr>
          <w:p w14:paraId="0157F76C">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门类</w:t>
            </w:r>
          </w:p>
        </w:tc>
        <w:tc>
          <w:tcPr>
            <w:tcW w:w="3000" w:type="dxa"/>
            <w:shd w:val="clear" w:color="auto" w:fill="95B3D7" w:themeFill="accent1" w:themeFillTint="99"/>
          </w:tcPr>
          <w:p w14:paraId="277CBDD7">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定位与覆盖范围</w:t>
            </w:r>
          </w:p>
        </w:tc>
        <w:tc>
          <w:tcPr>
            <w:tcW w:w="3300" w:type="dxa"/>
            <w:shd w:val="clear" w:color="auto" w:fill="95B3D7" w:themeFill="accent1" w:themeFillTint="99"/>
          </w:tcPr>
          <w:p w14:paraId="4CDFC3E4">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关键内容与向下衔接</w:t>
            </w:r>
          </w:p>
        </w:tc>
      </w:tr>
      <w:tr>
        <w:trPr/>
        <w:tc>
          <w:tcPr>
            <w:tcW w:w="900" w:type="dxa"/>
          </w:tcPr>
          <w:p w14:paraId="37D19CE2">
            <w:pPr>
              <w:jc w:val="center"/>
              <w:rPr>
                <w:rFonts w:hint="eastAsia" w:ascii="微软雅黑" w:hAnsi="微软雅黑" w:eastAsia="微软雅黑" w:cs="微软雅黑"/>
              </w:rPr>
            </w:pPr>
            <w:r>
              <w:rPr>
                <w:rFonts w:hint="eastAsia" w:ascii="微软雅黑" w:hAnsi="微软雅黑" w:eastAsia="微软雅黑" w:cs="微软雅黑"/>
                <w:sz w:val="18"/>
              </w:rPr>
              <w:t>第一层　总体层</w:t>
            </w:r>
          </w:p>
        </w:tc>
        <w:tc>
          <w:tcPr>
            <w:tcW w:w="1300" w:type="dxa"/>
          </w:tcPr>
          <w:p w14:paraId="58B6EB4E">
            <w:pPr>
              <w:rPr>
                <w:rFonts w:hint="eastAsia" w:ascii="微软雅黑" w:hAnsi="微软雅黑" w:eastAsia="微软雅黑" w:cs="微软雅黑"/>
              </w:rPr>
            </w:pPr>
            <w:r>
              <w:rPr>
                <w:rFonts w:hint="eastAsia" w:ascii="微软雅黑" w:hAnsi="微软雅黑" w:eastAsia="微软雅黑" w:cs="微软雅黑"/>
                <w:sz w:val="18"/>
              </w:rPr>
              <w:t>总体标准</w:t>
            </w:r>
          </w:p>
        </w:tc>
        <w:tc>
          <w:tcPr>
            <w:tcW w:w="3000" w:type="dxa"/>
          </w:tcPr>
          <w:p w14:paraId="28DD558B">
            <w:pPr>
              <w:rPr>
                <w:rFonts w:hint="eastAsia" w:ascii="微软雅黑" w:hAnsi="微软雅黑" w:eastAsia="微软雅黑" w:cs="微软雅黑"/>
              </w:rPr>
            </w:pPr>
            <w:r>
              <w:rPr>
                <w:rFonts w:hint="eastAsia" w:ascii="微软雅黑" w:hAnsi="微软雅黑" w:eastAsia="微软雅黑" w:cs="微软雅黑"/>
                <w:sz w:val="18"/>
              </w:rPr>
              <w:t>体系的顶层设计，不规定产品，只规定体系的构成方式与共同规则；覆盖术语、分级、需求模型、体系维护</w:t>
            </w:r>
          </w:p>
        </w:tc>
        <w:tc>
          <w:tcPr>
            <w:tcW w:w="3300" w:type="dxa"/>
          </w:tcPr>
          <w:p w14:paraId="23FE7A49">
            <w:pPr>
              <w:rPr>
                <w:rFonts w:hint="eastAsia" w:ascii="微软雅黑" w:hAnsi="微软雅黑" w:eastAsia="微软雅黑" w:cs="微软雅黑"/>
              </w:rPr>
            </w:pPr>
            <w:r>
              <w:rPr>
                <w:rFonts w:hint="eastAsia" w:ascii="微软雅黑" w:hAnsi="微软雅黑" w:eastAsia="微软雅黑" w:cs="微软雅黑"/>
                <w:sz w:val="18"/>
              </w:rPr>
              <w:t>体系表、术语与定义、能力与风险分级方法、需求模型与参考架构、体系维护与编写导则；向下约束全部门类与专用标准</w:t>
            </w:r>
          </w:p>
        </w:tc>
      </w:tr>
      <w:tr>
        <w:trPr/>
        <w:tc>
          <w:tcPr>
            <w:tcW w:w="900" w:type="dxa"/>
          </w:tcPr>
          <w:p w14:paraId="19CA0F8C">
            <w:pPr>
              <w:jc w:val="center"/>
              <w:rPr>
                <w:rFonts w:hint="eastAsia" w:ascii="微软雅黑" w:hAnsi="微软雅黑" w:eastAsia="微软雅黑" w:cs="微软雅黑"/>
              </w:rPr>
            </w:pPr>
            <w:r>
              <w:rPr>
                <w:rFonts w:hint="eastAsia" w:ascii="微软雅黑" w:hAnsi="微软雅黑" w:eastAsia="微软雅黑" w:cs="微软雅黑"/>
                <w:sz w:val="18"/>
              </w:rPr>
              <w:t>第二层　门类层</w:t>
            </w:r>
          </w:p>
        </w:tc>
        <w:tc>
          <w:tcPr>
            <w:tcW w:w="1300" w:type="dxa"/>
          </w:tcPr>
          <w:p w14:paraId="77F06443">
            <w:pPr>
              <w:rPr>
                <w:rFonts w:hint="eastAsia" w:ascii="微软雅黑" w:hAnsi="微软雅黑" w:eastAsia="微软雅黑" w:cs="微软雅黑"/>
              </w:rPr>
            </w:pPr>
            <w:r>
              <w:rPr>
                <w:rFonts w:hint="eastAsia" w:ascii="微软雅黑" w:hAnsi="微软雅黑" w:eastAsia="微软雅黑" w:cs="微软雅黑"/>
                <w:sz w:val="18"/>
              </w:rPr>
              <w:t>基础标准</w:t>
            </w:r>
          </w:p>
        </w:tc>
        <w:tc>
          <w:tcPr>
            <w:tcW w:w="3000" w:type="dxa"/>
          </w:tcPr>
          <w:p w14:paraId="20F50F01">
            <w:pPr>
              <w:rPr>
                <w:rFonts w:hint="eastAsia" w:ascii="微软雅黑" w:hAnsi="微软雅黑" w:eastAsia="微软雅黑" w:cs="微软雅黑"/>
              </w:rPr>
            </w:pPr>
            <w:r>
              <w:rPr>
                <w:rFonts w:hint="eastAsia" w:ascii="微软雅黑" w:hAnsi="微软雅黑" w:eastAsia="微软雅黑" w:cs="微软雅黑"/>
                <w:sz w:val="18"/>
              </w:rPr>
              <w:t>为各门类提供共同语言与共同规则，被引用最多、自身变化最少；覆盖标识编码、数据元、分类代码、图形符号</w:t>
            </w:r>
          </w:p>
        </w:tc>
        <w:tc>
          <w:tcPr>
            <w:tcW w:w="3300" w:type="dxa"/>
          </w:tcPr>
          <w:p w14:paraId="09583A9C">
            <w:pPr>
              <w:rPr>
                <w:rFonts w:hint="eastAsia" w:ascii="微软雅黑" w:hAnsi="微软雅黑" w:eastAsia="微软雅黑" w:cs="微软雅黑"/>
              </w:rPr>
            </w:pPr>
            <w:r>
              <w:rPr>
                <w:rFonts w:hint="eastAsia" w:ascii="微软雅黑" w:hAnsi="微软雅黑" w:eastAsia="微软雅黑" w:cs="微软雅黑"/>
                <w:sz w:val="18"/>
              </w:rPr>
              <w:t>标识与编码、数据元与元数据、图形符号；向下被技术（接口）、管控（留痕）、测试（数据集）广泛引用</w:t>
            </w:r>
          </w:p>
        </w:tc>
      </w:tr>
      <w:tr>
        <w:trPr/>
        <w:tc>
          <w:tcPr>
            <w:tcW w:w="900" w:type="dxa"/>
          </w:tcPr>
          <w:p w14:paraId="496F2755">
            <w:pPr>
              <w:jc w:val="center"/>
              <w:rPr>
                <w:rFonts w:hint="eastAsia" w:ascii="微软雅黑" w:hAnsi="微软雅黑" w:eastAsia="微软雅黑" w:cs="微软雅黑"/>
              </w:rPr>
            </w:pPr>
            <w:r>
              <w:rPr>
                <w:rFonts w:hint="eastAsia" w:ascii="微软雅黑" w:hAnsi="微软雅黑" w:eastAsia="微软雅黑" w:cs="微软雅黑"/>
                <w:sz w:val="18"/>
              </w:rPr>
              <w:t>第二层　门类层</w:t>
            </w:r>
          </w:p>
        </w:tc>
        <w:tc>
          <w:tcPr>
            <w:tcW w:w="1300" w:type="dxa"/>
          </w:tcPr>
          <w:p w14:paraId="5EE92207">
            <w:pPr>
              <w:rPr>
                <w:rFonts w:hint="eastAsia" w:ascii="微软雅黑" w:hAnsi="微软雅黑" w:eastAsia="微软雅黑" w:cs="微软雅黑"/>
              </w:rPr>
            </w:pPr>
            <w:r>
              <w:rPr>
                <w:rFonts w:hint="eastAsia" w:ascii="微软雅黑" w:hAnsi="微软雅黑" w:eastAsia="微软雅黑" w:cs="微软雅黑"/>
                <w:sz w:val="18"/>
              </w:rPr>
              <w:t>技术标准</w:t>
            </w:r>
          </w:p>
        </w:tc>
        <w:tc>
          <w:tcPr>
            <w:tcW w:w="3000" w:type="dxa"/>
          </w:tcPr>
          <w:p w14:paraId="306EC3E5">
            <w:pPr>
              <w:rPr>
                <w:rFonts w:hint="eastAsia" w:ascii="微软雅黑" w:hAnsi="微软雅黑" w:eastAsia="微软雅黑" w:cs="微软雅黑"/>
              </w:rPr>
            </w:pPr>
            <w:r>
              <w:rPr>
                <w:rFonts w:hint="eastAsia" w:ascii="微软雅黑" w:hAnsi="微软雅黑" w:eastAsia="微软雅黑" w:cs="微软雅黑"/>
                <w:sz w:val="18"/>
              </w:rPr>
              <w:t>规定产品与系统的能力与指标；覆盖部组件—整机—感知—决策—控制—通信—集成接口—多机协同</w:t>
            </w:r>
          </w:p>
        </w:tc>
        <w:tc>
          <w:tcPr>
            <w:tcW w:w="3300" w:type="dxa"/>
          </w:tcPr>
          <w:p w14:paraId="540047DD">
            <w:pPr>
              <w:rPr>
                <w:rFonts w:hint="eastAsia" w:ascii="微软雅黑" w:hAnsi="微软雅黑" w:eastAsia="微软雅黑" w:cs="微软雅黑"/>
              </w:rPr>
            </w:pPr>
            <w:r>
              <w:rPr>
                <w:rFonts w:hint="eastAsia" w:ascii="微软雅黑" w:hAnsi="微软雅黑" w:eastAsia="微软雅黑" w:cs="微软雅黑"/>
                <w:sz w:val="18"/>
              </w:rPr>
              <w:t>通用安全技术要求、环境适应性与可靠性、部组件、整机与本体、多模态感知、具身决策与大模型、运动控制与灵巧作业、系统集成与接口、多智能体协同接口</w:t>
            </w:r>
          </w:p>
        </w:tc>
      </w:tr>
      <w:tr>
        <w:trPr/>
        <w:tc>
          <w:tcPr>
            <w:tcW w:w="900" w:type="dxa"/>
          </w:tcPr>
          <w:p w14:paraId="23826132">
            <w:pPr>
              <w:jc w:val="center"/>
              <w:rPr>
                <w:rFonts w:hint="eastAsia" w:ascii="微软雅黑" w:hAnsi="微软雅黑" w:eastAsia="微软雅黑" w:cs="微软雅黑"/>
              </w:rPr>
            </w:pPr>
            <w:r>
              <w:rPr>
                <w:rFonts w:hint="eastAsia" w:ascii="微软雅黑" w:hAnsi="微软雅黑" w:eastAsia="微软雅黑" w:cs="微软雅黑"/>
                <w:sz w:val="18"/>
              </w:rPr>
              <w:t>第二层　门类层</w:t>
            </w:r>
          </w:p>
        </w:tc>
        <w:tc>
          <w:tcPr>
            <w:tcW w:w="1300" w:type="dxa"/>
          </w:tcPr>
          <w:p w14:paraId="362743CE">
            <w:pPr>
              <w:rPr>
                <w:rFonts w:hint="eastAsia" w:ascii="微软雅黑" w:hAnsi="微软雅黑" w:eastAsia="微软雅黑" w:cs="微软雅黑"/>
              </w:rPr>
            </w:pPr>
            <w:r>
              <w:rPr>
                <w:rFonts w:hint="eastAsia" w:ascii="微软雅黑" w:hAnsi="微软雅黑" w:eastAsia="微软雅黑" w:cs="微软雅黑"/>
                <w:sz w:val="18"/>
              </w:rPr>
              <w:t>管控标准</w:t>
            </w:r>
          </w:p>
        </w:tc>
        <w:tc>
          <w:tcPr>
            <w:tcW w:w="3000" w:type="dxa"/>
          </w:tcPr>
          <w:p w14:paraId="16C1745F">
            <w:pPr>
              <w:rPr>
                <w:rFonts w:hint="eastAsia" w:ascii="微软雅黑" w:hAnsi="微软雅黑" w:eastAsia="微软雅黑" w:cs="微软雅黑"/>
              </w:rPr>
            </w:pPr>
            <w:r>
              <w:rPr>
                <w:rFonts w:hint="eastAsia" w:ascii="微软雅黑" w:hAnsi="微软雅黑" w:eastAsia="微软雅黑" w:cs="微软雅黑"/>
                <w:sz w:val="18"/>
              </w:rPr>
              <w:t>规定权限与行为边界，连接技术能力与法律授权；覆盖行为边界、分级授权、准入备案、接管与失效安全、留痕留证、责任分担</w:t>
            </w:r>
          </w:p>
        </w:tc>
        <w:tc>
          <w:tcPr>
            <w:tcW w:w="3300" w:type="dxa"/>
          </w:tcPr>
          <w:p w14:paraId="4966159F">
            <w:pPr>
              <w:rPr>
                <w:rFonts w:hint="eastAsia" w:ascii="微软雅黑" w:hAnsi="微软雅黑" w:eastAsia="微软雅黑" w:cs="微软雅黑"/>
              </w:rPr>
            </w:pPr>
            <w:r>
              <w:rPr>
                <w:rFonts w:hint="eastAsia" w:ascii="微软雅黑" w:hAnsi="微软雅黑" w:eastAsia="微软雅黑" w:cs="微软雅黑"/>
                <w:sz w:val="18"/>
              </w:rPr>
              <w:t>行为边界与分级授权、准入与标准符合性目录、接管与失效安全、留痕与证据固定、责任分担与致害处置、数据与内容管控</w:t>
            </w:r>
          </w:p>
        </w:tc>
      </w:tr>
      <w:tr>
        <w:trPr/>
        <w:tc>
          <w:tcPr>
            <w:tcW w:w="900" w:type="dxa"/>
          </w:tcPr>
          <w:p w14:paraId="791F198B">
            <w:pPr>
              <w:jc w:val="center"/>
              <w:rPr>
                <w:rFonts w:hint="eastAsia" w:ascii="微软雅黑" w:hAnsi="微软雅黑" w:eastAsia="微软雅黑" w:cs="微软雅黑"/>
              </w:rPr>
            </w:pPr>
            <w:r>
              <w:rPr>
                <w:rFonts w:hint="eastAsia" w:ascii="微软雅黑" w:hAnsi="微软雅黑" w:eastAsia="微软雅黑" w:cs="微软雅黑"/>
                <w:sz w:val="18"/>
              </w:rPr>
              <w:t>第二层　门类层</w:t>
            </w:r>
          </w:p>
        </w:tc>
        <w:tc>
          <w:tcPr>
            <w:tcW w:w="1300" w:type="dxa"/>
          </w:tcPr>
          <w:p w14:paraId="59675EC4">
            <w:pPr>
              <w:rPr>
                <w:rFonts w:hint="eastAsia" w:ascii="微软雅黑" w:hAnsi="微软雅黑" w:eastAsia="微软雅黑" w:cs="微软雅黑"/>
              </w:rPr>
            </w:pPr>
            <w:r>
              <w:rPr>
                <w:rFonts w:hint="eastAsia" w:ascii="微软雅黑" w:hAnsi="微软雅黑" w:eastAsia="微软雅黑" w:cs="微软雅黑"/>
                <w:sz w:val="18"/>
              </w:rPr>
              <w:t>管理标准</w:t>
            </w:r>
          </w:p>
        </w:tc>
        <w:tc>
          <w:tcPr>
            <w:tcW w:w="3000" w:type="dxa"/>
          </w:tcPr>
          <w:p w14:paraId="54CC7818">
            <w:pPr>
              <w:rPr>
                <w:rFonts w:hint="eastAsia" w:ascii="微软雅黑" w:hAnsi="微软雅黑" w:eastAsia="微软雅黑" w:cs="微软雅黑"/>
              </w:rPr>
            </w:pPr>
            <w:r>
              <w:rPr>
                <w:rFonts w:hint="eastAsia" w:ascii="微软雅黑" w:hAnsi="微软雅黑" w:eastAsia="微软雅黑" w:cs="微软雅黑"/>
                <w:sz w:val="18"/>
              </w:rPr>
              <w:t>解决装备进入警务工作流之后的组织与维持；覆盖配备编制、勤务组织、训练考核、运维保障、退役处置</w:t>
            </w:r>
          </w:p>
        </w:tc>
        <w:tc>
          <w:tcPr>
            <w:tcW w:w="3300" w:type="dxa"/>
          </w:tcPr>
          <w:p w14:paraId="3F7CE889">
            <w:pPr>
              <w:rPr>
                <w:rFonts w:hint="eastAsia" w:ascii="微软雅黑" w:hAnsi="微软雅黑" w:eastAsia="微软雅黑" w:cs="微软雅黑"/>
              </w:rPr>
            </w:pPr>
            <w:r>
              <w:rPr>
                <w:rFonts w:hint="eastAsia" w:ascii="微软雅黑" w:hAnsi="微软雅黑" w:eastAsia="微软雅黑" w:cs="微软雅黑"/>
                <w:sz w:val="18"/>
              </w:rPr>
              <w:t>配备编制与列装管理、人机协同勤务规程、训练与考核、运行维护与备件保障、退役与处置</w:t>
            </w:r>
          </w:p>
        </w:tc>
      </w:tr>
      <w:tr>
        <w:trPr/>
        <w:tc>
          <w:tcPr>
            <w:tcW w:w="900" w:type="dxa"/>
          </w:tcPr>
          <w:p w14:paraId="48DA3FDD">
            <w:pPr>
              <w:jc w:val="center"/>
              <w:rPr>
                <w:rFonts w:hint="eastAsia" w:ascii="微软雅黑" w:hAnsi="微软雅黑" w:eastAsia="微软雅黑" w:cs="微软雅黑"/>
              </w:rPr>
            </w:pPr>
            <w:r>
              <w:rPr>
                <w:rFonts w:hint="eastAsia" w:ascii="微软雅黑" w:hAnsi="微软雅黑" w:eastAsia="微软雅黑" w:cs="微软雅黑"/>
                <w:sz w:val="18"/>
              </w:rPr>
              <w:t>第二层　门类层</w:t>
            </w:r>
          </w:p>
        </w:tc>
        <w:tc>
          <w:tcPr>
            <w:tcW w:w="1300" w:type="dxa"/>
          </w:tcPr>
          <w:p w14:paraId="5F1B1CEA">
            <w:pPr>
              <w:rPr>
                <w:rFonts w:hint="eastAsia" w:ascii="微软雅黑" w:hAnsi="微软雅黑" w:eastAsia="微软雅黑" w:cs="微软雅黑"/>
              </w:rPr>
            </w:pPr>
            <w:r>
              <w:rPr>
                <w:rFonts w:hint="eastAsia" w:ascii="微软雅黑" w:hAnsi="微软雅黑" w:eastAsia="微软雅黑" w:cs="微软雅黑"/>
                <w:sz w:val="18"/>
              </w:rPr>
              <w:t>测试标准</w:t>
            </w:r>
          </w:p>
        </w:tc>
        <w:tc>
          <w:tcPr>
            <w:tcW w:w="3000" w:type="dxa"/>
          </w:tcPr>
          <w:p w14:paraId="70943F40">
            <w:pPr>
              <w:rPr>
                <w:rFonts w:hint="eastAsia" w:ascii="微软雅黑" w:hAnsi="微软雅黑" w:eastAsia="微软雅黑" w:cs="微软雅黑"/>
              </w:rPr>
            </w:pPr>
            <w:r>
              <w:rPr>
                <w:rFonts w:hint="eastAsia" w:ascii="微软雅黑" w:hAnsi="微软雅黑" w:eastAsia="微软雅黑" w:cs="微软雅黑"/>
                <w:sz w:val="18"/>
              </w:rPr>
              <w:t>把要求转化为可复现判据；覆盖试验方法、科目设置、场景库与数据集</w:t>
            </w:r>
          </w:p>
        </w:tc>
        <w:tc>
          <w:tcPr>
            <w:tcW w:w="3300" w:type="dxa"/>
          </w:tcPr>
          <w:p w14:paraId="08DCD5E4">
            <w:pPr>
              <w:rPr>
                <w:rFonts w:hint="eastAsia" w:ascii="微软雅黑" w:hAnsi="微软雅黑" w:eastAsia="微软雅黑" w:cs="微软雅黑"/>
              </w:rPr>
            </w:pPr>
            <w:r>
              <w:rPr>
                <w:rFonts w:hint="eastAsia" w:ascii="微软雅黑" w:hAnsi="微软雅黑" w:eastAsia="微软雅黑" w:cs="微软雅黑"/>
                <w:sz w:val="18"/>
              </w:rPr>
              <w:t>试验方法总则、性能与可靠性试验、环境适应性试验、对抗测试、接管与失效安全测试、基准测试与数据集；向上支撑评价标准形成结论</w:t>
            </w:r>
          </w:p>
        </w:tc>
      </w:tr>
      <w:tr>
        <w:trPr/>
        <w:tc>
          <w:tcPr>
            <w:tcW w:w="900" w:type="dxa"/>
          </w:tcPr>
          <w:p w14:paraId="73EC62E8">
            <w:pPr>
              <w:jc w:val="center"/>
              <w:rPr>
                <w:rFonts w:hint="eastAsia" w:ascii="微软雅黑" w:hAnsi="微软雅黑" w:eastAsia="微软雅黑" w:cs="微软雅黑"/>
              </w:rPr>
            </w:pPr>
            <w:r>
              <w:rPr>
                <w:rFonts w:hint="eastAsia" w:ascii="微软雅黑" w:hAnsi="微软雅黑" w:eastAsia="微软雅黑" w:cs="微软雅黑"/>
                <w:sz w:val="18"/>
              </w:rPr>
              <w:t>第二层　门类层</w:t>
            </w:r>
          </w:p>
        </w:tc>
        <w:tc>
          <w:tcPr>
            <w:tcW w:w="1300" w:type="dxa"/>
          </w:tcPr>
          <w:p w14:paraId="0EE30609">
            <w:pPr>
              <w:rPr>
                <w:rFonts w:hint="eastAsia" w:ascii="微软雅黑" w:hAnsi="微软雅黑" w:eastAsia="微软雅黑" w:cs="微软雅黑"/>
              </w:rPr>
            </w:pPr>
            <w:r>
              <w:rPr>
                <w:rFonts w:hint="eastAsia" w:ascii="微软雅黑" w:hAnsi="微软雅黑" w:eastAsia="微软雅黑" w:cs="微软雅黑"/>
                <w:sz w:val="18"/>
              </w:rPr>
              <w:t>评价标准</w:t>
            </w:r>
          </w:p>
        </w:tc>
        <w:tc>
          <w:tcPr>
            <w:tcW w:w="3000" w:type="dxa"/>
          </w:tcPr>
          <w:p w14:paraId="3B314E4A">
            <w:pPr>
              <w:rPr>
                <w:rFonts w:hint="eastAsia" w:ascii="微软雅黑" w:hAnsi="微软雅黑" w:eastAsia="微软雅黑" w:cs="微软雅黑"/>
              </w:rPr>
            </w:pPr>
            <w:r>
              <w:rPr>
                <w:rFonts w:hint="eastAsia" w:ascii="微软雅黑" w:hAnsi="微软雅黑" w:eastAsia="微软雅黑" w:cs="微软雅黑"/>
                <w:sz w:val="18"/>
              </w:rPr>
              <w:t>把测试结果转化为准入与采购依据；覆盖等级评定、效能评估、成本评估、认证标识</w:t>
            </w:r>
          </w:p>
        </w:tc>
        <w:tc>
          <w:tcPr>
            <w:tcW w:w="3300" w:type="dxa"/>
          </w:tcPr>
          <w:p w14:paraId="630D9822">
            <w:pPr>
              <w:rPr>
                <w:rFonts w:hint="eastAsia" w:ascii="微软雅黑" w:hAnsi="微软雅黑" w:eastAsia="微软雅黑" w:cs="微软雅黑"/>
              </w:rPr>
            </w:pPr>
            <w:r>
              <w:rPr>
                <w:rFonts w:hint="eastAsia" w:ascii="微软雅黑" w:hAnsi="微软雅黑" w:eastAsia="微软雅黑" w:cs="微软雅黑"/>
                <w:sz w:val="18"/>
              </w:rPr>
              <w:t>能力等级评定、实战效能评估、全寿命周期成本评估、检测认证与标识管理；其结论被管理标准与管控标准引用</w:t>
            </w:r>
          </w:p>
        </w:tc>
      </w:tr>
      <w:tr>
        <w:trPr/>
        <w:tc>
          <w:tcPr>
            <w:tcW w:w="900" w:type="dxa"/>
          </w:tcPr>
          <w:p w14:paraId="3B1933E8">
            <w:pPr>
              <w:jc w:val="center"/>
              <w:rPr>
                <w:rFonts w:hint="eastAsia" w:ascii="微软雅黑" w:hAnsi="微软雅黑" w:eastAsia="微软雅黑" w:cs="微软雅黑"/>
              </w:rPr>
            </w:pPr>
            <w:r>
              <w:rPr>
                <w:rFonts w:hint="eastAsia" w:ascii="微软雅黑" w:hAnsi="微软雅黑" w:eastAsia="微软雅黑" w:cs="微软雅黑"/>
                <w:sz w:val="18"/>
              </w:rPr>
              <w:t>第三层　专用层</w:t>
            </w:r>
          </w:p>
        </w:tc>
        <w:tc>
          <w:tcPr>
            <w:tcW w:w="1300" w:type="dxa"/>
          </w:tcPr>
          <w:p w14:paraId="2CBF0350">
            <w:pPr>
              <w:rPr>
                <w:rFonts w:hint="eastAsia" w:ascii="微软雅黑" w:hAnsi="微软雅黑" w:eastAsia="微软雅黑" w:cs="微软雅黑"/>
              </w:rPr>
            </w:pPr>
            <w:r>
              <w:rPr>
                <w:rFonts w:hint="eastAsia" w:ascii="微软雅黑" w:hAnsi="微软雅黑" w:eastAsia="微软雅黑" w:cs="微软雅黑"/>
                <w:sz w:val="18"/>
              </w:rPr>
              <w:t>各门类专用标准</w:t>
            </w:r>
          </w:p>
        </w:tc>
        <w:tc>
          <w:tcPr>
            <w:tcW w:w="3000" w:type="dxa"/>
          </w:tcPr>
          <w:p w14:paraId="29D6B68B">
            <w:pPr>
              <w:rPr>
                <w:rFonts w:hint="eastAsia" w:ascii="微软雅黑" w:hAnsi="微软雅黑" w:eastAsia="微软雅黑" w:cs="微软雅黑"/>
              </w:rPr>
            </w:pPr>
            <w:r>
              <w:rPr>
                <w:rFonts w:hint="eastAsia" w:ascii="微软雅黑" w:hAnsi="微软雅黑" w:eastAsia="微软雅黑" w:cs="微软雅黑"/>
                <w:sz w:val="18"/>
              </w:rPr>
              <w:t>按场景、形态、任务细化；覆盖巡逻防控、检查核查、排爆处置、应急救援、监所管理、大型活动安保等</w:t>
            </w:r>
          </w:p>
        </w:tc>
        <w:tc>
          <w:tcPr>
            <w:tcW w:w="3300" w:type="dxa"/>
          </w:tcPr>
          <w:p w14:paraId="468EA961">
            <w:pPr>
              <w:rPr>
                <w:rFonts w:hint="eastAsia" w:ascii="微软雅黑" w:hAnsi="微软雅黑" w:eastAsia="微软雅黑" w:cs="微软雅黑"/>
              </w:rPr>
            </w:pPr>
            <w:r>
              <w:rPr>
                <w:rFonts w:hint="eastAsia" w:ascii="微软雅黑" w:hAnsi="微软雅黑" w:eastAsia="微软雅黑" w:cs="微软雅黑"/>
                <w:sz w:val="18"/>
              </w:rPr>
              <w:t>只能加严或细化第二层要求，不得抵触；数量最多、更新最快</w:t>
            </w:r>
          </w:p>
        </w:tc>
      </w:tr>
      <w:tr>
        <w:trPr/>
        <w:tc>
          <w:tcPr>
            <w:tcW w:w="900" w:type="dxa"/>
          </w:tcPr>
          <w:p w14:paraId="4CBFA749">
            <w:pPr>
              <w:jc w:val="center"/>
              <w:rPr>
                <w:rFonts w:hint="eastAsia" w:ascii="微软雅黑" w:hAnsi="微软雅黑" w:eastAsia="微软雅黑" w:cs="微软雅黑"/>
              </w:rPr>
            </w:pPr>
            <w:r>
              <w:rPr>
                <w:rFonts w:hint="eastAsia" w:ascii="微软雅黑" w:hAnsi="微软雅黑" w:eastAsia="微软雅黑" w:cs="微软雅黑"/>
                <w:sz w:val="18"/>
              </w:rPr>
              <w:t>贯穿全部层次</w:t>
            </w:r>
          </w:p>
        </w:tc>
        <w:tc>
          <w:tcPr>
            <w:tcW w:w="1300" w:type="dxa"/>
          </w:tcPr>
          <w:p w14:paraId="17559F14">
            <w:pPr>
              <w:rPr>
                <w:rFonts w:hint="eastAsia" w:ascii="微软雅黑" w:hAnsi="微软雅黑" w:eastAsia="微软雅黑" w:cs="微软雅黑"/>
              </w:rPr>
            </w:pPr>
            <w:r>
              <w:rPr>
                <w:rFonts w:hint="eastAsia" w:ascii="微软雅黑" w:hAnsi="微软雅黑" w:eastAsia="微软雅黑" w:cs="微软雅黑"/>
                <w:sz w:val="18"/>
              </w:rPr>
              <w:t>安全要求</w:t>
            </w:r>
          </w:p>
        </w:tc>
        <w:tc>
          <w:tcPr>
            <w:tcW w:w="3000" w:type="dxa"/>
          </w:tcPr>
          <w:p w14:paraId="7D0DA92B">
            <w:pPr>
              <w:rPr>
                <w:rFonts w:hint="eastAsia" w:ascii="微软雅黑" w:hAnsi="微软雅黑" w:eastAsia="微软雅黑" w:cs="微软雅黑"/>
              </w:rPr>
            </w:pPr>
            <w:r>
              <w:rPr>
                <w:rFonts w:hint="eastAsia" w:ascii="微软雅黑" w:hAnsi="微软雅黑" w:eastAsia="微软雅黑" w:cs="微软雅黑"/>
                <w:sz w:val="18"/>
              </w:rPr>
              <w:t>横贯三层六门类，不单独成层；覆盖功能安全、信息安全、数据安全与个人信息保护、伦理合规、内容标识</w:t>
            </w:r>
          </w:p>
        </w:tc>
        <w:tc>
          <w:tcPr>
            <w:tcW w:w="3300" w:type="dxa"/>
          </w:tcPr>
          <w:p w14:paraId="4BA1942A">
            <w:pPr>
              <w:rPr>
                <w:rFonts w:hint="eastAsia" w:ascii="微软雅黑" w:hAnsi="微软雅黑" w:eastAsia="微软雅黑" w:cs="微软雅黑"/>
              </w:rPr>
            </w:pPr>
            <w:r>
              <w:rPr>
                <w:rFonts w:hint="eastAsia" w:ascii="微软雅黑" w:hAnsi="微软雅黑" w:eastAsia="微软雅黑" w:cs="微软雅黑"/>
                <w:sz w:val="18"/>
              </w:rPr>
              <w:t>分散承载（技术标准、管控标准）、集中审查（报批前核验每条安全要求均可定位到条款与试验方法）</w:t>
            </w:r>
          </w:p>
        </w:tc>
      </w:tr>
    </w:tbl>
    <w:p w14:paraId="10B325BD">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三、各类标准的分工与关键内容</w:t>
      </w:r>
    </w:p>
    <w:p w14:paraId="3074D64D">
      <w:pPr>
        <w:rPr>
          <w:rFonts w:hint="eastAsia" w:ascii="微软雅黑" w:hAnsi="微软雅黑" w:eastAsia="微软雅黑" w:cs="微软雅黑"/>
        </w:rPr>
      </w:pPr>
      <w:r>
        <w:rPr>
          <w:rFonts w:hint="eastAsia" w:ascii="微软雅黑" w:hAnsi="微软雅黑" w:eastAsia="微软雅黑" w:cs="微软雅黑"/>
        </w:rPr>
        <w:t>本章逐一说明八个门类（含贯穿性安全要求）的定位、覆盖范围、关键内容与上下位衔接。先把总体标准、管控标准、测试标准三类拉出来作横向对照，它们分别代表“定规则”“定权限”“定判据”三种性质，在实际编写中最容易混在一起。</w:t>
      </w:r>
    </w:p>
    <w:tbl>
      <w:tblPr>
        <w:tblStyle w:val="00000d"/>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00"/>
        <w:gridCol w:w="2400"/>
        <w:gridCol w:w="2350"/>
        <w:gridCol w:w="2350"/>
      </w:tblGrid>
      <w:tr>
        <w:trPr>
          <w:tblHeader w:val="1"/>
        </w:trPr>
        <w:tc>
          <w:tcPr>
            <w:tcW w:w="1400" w:type="dxa"/>
            <w:shd w:val="clear" w:color="auto" w:fill="95B3D7" w:themeFill="accent1" w:themeFillTint="99"/>
          </w:tcPr>
          <w:p w14:paraId="4A5AFB1A">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对比项</w:t>
            </w:r>
          </w:p>
        </w:tc>
        <w:tc>
          <w:tcPr>
            <w:tcW w:w="2400" w:type="dxa"/>
            <w:shd w:val="clear" w:color="auto" w:fill="95B3D7" w:themeFill="accent1" w:themeFillTint="99"/>
          </w:tcPr>
          <w:p w14:paraId="46538823">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总体标准</w:t>
            </w:r>
          </w:p>
        </w:tc>
        <w:tc>
          <w:tcPr>
            <w:tcW w:w="2350" w:type="dxa"/>
            <w:shd w:val="clear" w:color="auto" w:fill="95B3D7" w:themeFill="accent1" w:themeFillTint="99"/>
          </w:tcPr>
          <w:p w14:paraId="07978620">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管控标准</w:t>
            </w:r>
          </w:p>
        </w:tc>
        <w:tc>
          <w:tcPr>
            <w:tcW w:w="2350" w:type="dxa"/>
            <w:shd w:val="clear" w:color="auto" w:fill="95B3D7" w:themeFill="accent1" w:themeFillTint="99"/>
          </w:tcPr>
          <w:p w14:paraId="059F3AB7">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测试标准</w:t>
            </w:r>
          </w:p>
        </w:tc>
      </w:tr>
      <w:tr>
        <w:trPr/>
        <w:tc>
          <w:tcPr>
            <w:tcW w:w="1400" w:type="dxa"/>
          </w:tcPr>
          <w:p w14:paraId="03C7AE88">
            <w:pPr>
              <w:jc w:val="center"/>
              <w:rPr>
                <w:rFonts w:hint="eastAsia" w:ascii="微软雅黑" w:hAnsi="微软雅黑" w:eastAsia="微软雅黑" w:cs="微软雅黑"/>
              </w:rPr>
            </w:pPr>
            <w:r>
              <w:rPr>
                <w:rFonts w:hint="eastAsia" w:ascii="微软雅黑" w:hAnsi="微软雅黑" w:eastAsia="微软雅黑" w:cs="微软雅黑"/>
                <w:sz w:val="18"/>
              </w:rPr>
              <w:t>回答的核心问题</w:t>
            </w:r>
          </w:p>
        </w:tc>
        <w:tc>
          <w:tcPr>
            <w:tcW w:w="2400" w:type="dxa"/>
          </w:tcPr>
          <w:p w14:paraId="1754A3E3">
            <w:pPr>
              <w:rPr>
                <w:rFonts w:hint="eastAsia" w:ascii="微软雅黑" w:hAnsi="微软雅黑" w:eastAsia="微软雅黑" w:cs="微软雅黑"/>
              </w:rPr>
            </w:pPr>
            <w:r>
              <w:rPr>
                <w:rFonts w:hint="eastAsia" w:ascii="微软雅黑" w:hAnsi="微软雅黑" w:eastAsia="微软雅黑" w:cs="微软雅黑"/>
                <w:sz w:val="18"/>
              </w:rPr>
              <w:t>体系怎么建、概念怎么统一</w:t>
            </w:r>
          </w:p>
        </w:tc>
        <w:tc>
          <w:tcPr>
            <w:tcW w:w="2350" w:type="dxa"/>
          </w:tcPr>
          <w:p w14:paraId="0852CC5C">
            <w:pPr>
              <w:rPr>
                <w:rFonts w:hint="eastAsia" w:ascii="微软雅黑" w:hAnsi="微软雅黑" w:eastAsia="微软雅黑" w:cs="微软雅黑"/>
              </w:rPr>
            </w:pPr>
            <w:r>
              <w:rPr>
                <w:rFonts w:hint="eastAsia" w:ascii="微软雅黑" w:hAnsi="微软雅黑" w:eastAsia="微软雅黑" w:cs="微软雅黑"/>
                <w:sz w:val="18"/>
              </w:rPr>
              <w:t>谁有权用它做什么、做到什么程度必须由人接手</w:t>
            </w:r>
          </w:p>
        </w:tc>
        <w:tc>
          <w:tcPr>
            <w:tcW w:w="2350" w:type="dxa"/>
          </w:tcPr>
          <w:p w14:paraId="6F596EFD">
            <w:pPr>
              <w:rPr>
                <w:rFonts w:hint="eastAsia" w:ascii="微软雅黑" w:hAnsi="微软雅黑" w:eastAsia="微软雅黑" w:cs="微软雅黑"/>
              </w:rPr>
            </w:pPr>
            <w:r>
              <w:rPr>
                <w:rFonts w:hint="eastAsia" w:ascii="微软雅黑" w:hAnsi="微软雅黑" w:eastAsia="微软雅黑" w:cs="微软雅黑"/>
                <w:sz w:val="18"/>
              </w:rPr>
              <w:t>怎么测、达到什么算通过</w:t>
            </w:r>
          </w:p>
        </w:tc>
      </w:tr>
      <w:tr>
        <w:trPr/>
        <w:tc>
          <w:tcPr>
            <w:tcW w:w="1400" w:type="dxa"/>
          </w:tcPr>
          <w:p w14:paraId="2B596DF6">
            <w:pPr>
              <w:jc w:val="center"/>
              <w:rPr>
                <w:rFonts w:hint="eastAsia" w:ascii="微软雅黑" w:hAnsi="微软雅黑" w:eastAsia="微软雅黑" w:cs="微软雅黑"/>
              </w:rPr>
            </w:pPr>
            <w:r>
              <w:rPr>
                <w:rFonts w:hint="eastAsia" w:ascii="微软雅黑" w:hAnsi="微软雅黑" w:eastAsia="微软雅黑" w:cs="微软雅黑"/>
                <w:sz w:val="18"/>
              </w:rPr>
              <w:t>标准化对象</w:t>
            </w:r>
          </w:p>
        </w:tc>
        <w:tc>
          <w:tcPr>
            <w:tcW w:w="2400" w:type="dxa"/>
          </w:tcPr>
          <w:p w14:paraId="3C24277E">
            <w:pPr>
              <w:rPr>
                <w:rFonts w:hint="eastAsia" w:ascii="微软雅黑" w:hAnsi="微软雅黑" w:eastAsia="微软雅黑" w:cs="微软雅黑"/>
              </w:rPr>
            </w:pPr>
            <w:r>
              <w:rPr>
                <w:rFonts w:hint="eastAsia" w:ascii="微软雅黑" w:hAnsi="微软雅黑" w:eastAsia="微软雅黑" w:cs="微软雅黑"/>
                <w:sz w:val="18"/>
              </w:rPr>
              <w:t>体系自身（框架、术语、分级、维护规则）</w:t>
            </w:r>
          </w:p>
        </w:tc>
        <w:tc>
          <w:tcPr>
            <w:tcW w:w="2350" w:type="dxa"/>
          </w:tcPr>
          <w:p w14:paraId="71CA214C">
            <w:pPr>
              <w:rPr>
                <w:rFonts w:hint="eastAsia" w:ascii="微软雅黑" w:hAnsi="微软雅黑" w:eastAsia="微软雅黑" w:cs="微软雅黑"/>
              </w:rPr>
            </w:pPr>
            <w:r>
              <w:rPr>
                <w:rFonts w:hint="eastAsia" w:ascii="微软雅黑" w:hAnsi="微软雅黑" w:eastAsia="微软雅黑" w:cs="微软雅黑"/>
                <w:sz w:val="18"/>
              </w:rPr>
              <w:t>使用行为与权限边界</w:t>
            </w:r>
          </w:p>
        </w:tc>
        <w:tc>
          <w:tcPr>
            <w:tcW w:w="2350" w:type="dxa"/>
          </w:tcPr>
          <w:p w14:paraId="1A846610">
            <w:pPr>
              <w:rPr>
                <w:rFonts w:hint="eastAsia" w:ascii="微软雅黑" w:hAnsi="微软雅黑" w:eastAsia="微软雅黑" w:cs="微软雅黑"/>
              </w:rPr>
            </w:pPr>
            <w:r>
              <w:rPr>
                <w:rFonts w:hint="eastAsia" w:ascii="微软雅黑" w:hAnsi="微软雅黑" w:eastAsia="微软雅黑" w:cs="微软雅黑"/>
                <w:sz w:val="18"/>
              </w:rPr>
              <w:t>要求所对应的试验方法与判定规则</w:t>
            </w:r>
          </w:p>
        </w:tc>
      </w:tr>
      <w:tr>
        <w:trPr/>
        <w:tc>
          <w:tcPr>
            <w:tcW w:w="1400" w:type="dxa"/>
          </w:tcPr>
          <w:p w14:paraId="21E4E385">
            <w:pPr>
              <w:jc w:val="center"/>
              <w:rPr>
                <w:rFonts w:hint="eastAsia" w:ascii="微软雅黑" w:hAnsi="微软雅黑" w:eastAsia="微软雅黑" w:cs="微软雅黑"/>
              </w:rPr>
            </w:pPr>
            <w:r>
              <w:rPr>
                <w:rFonts w:hint="eastAsia" w:ascii="微软雅黑" w:hAnsi="微软雅黑" w:eastAsia="微软雅黑" w:cs="微软雅黑"/>
                <w:sz w:val="18"/>
              </w:rPr>
              <w:t>主要使用者</w:t>
            </w:r>
          </w:p>
        </w:tc>
        <w:tc>
          <w:tcPr>
            <w:tcW w:w="2400" w:type="dxa"/>
          </w:tcPr>
          <w:p w14:paraId="54111B2B">
            <w:pPr>
              <w:rPr>
                <w:rFonts w:hint="eastAsia" w:ascii="微软雅黑" w:hAnsi="微软雅黑" w:eastAsia="微软雅黑" w:cs="微软雅黑"/>
              </w:rPr>
            </w:pPr>
            <w:r>
              <w:rPr>
                <w:rFonts w:hint="eastAsia" w:ascii="微软雅黑" w:hAnsi="微软雅黑" w:eastAsia="微软雅黑" w:cs="微软雅黑"/>
                <w:sz w:val="18"/>
              </w:rPr>
              <w:t>标委会与起草单位</w:t>
            </w:r>
          </w:p>
        </w:tc>
        <w:tc>
          <w:tcPr>
            <w:tcW w:w="2350" w:type="dxa"/>
          </w:tcPr>
          <w:p w14:paraId="11CA52E2">
            <w:pPr>
              <w:rPr>
                <w:rFonts w:hint="eastAsia" w:ascii="微软雅黑" w:hAnsi="微软雅黑" w:eastAsia="微软雅黑" w:cs="微软雅黑"/>
              </w:rPr>
            </w:pPr>
            <w:r>
              <w:rPr>
                <w:rFonts w:hint="eastAsia" w:ascii="微软雅黑" w:hAnsi="微软雅黑" w:eastAsia="微软雅黑" w:cs="微软雅黑"/>
                <w:sz w:val="18"/>
              </w:rPr>
              <w:t>业务警种、法制部门、装备管理部门</w:t>
            </w:r>
          </w:p>
        </w:tc>
        <w:tc>
          <w:tcPr>
            <w:tcW w:w="2350" w:type="dxa"/>
          </w:tcPr>
          <w:p w14:paraId="27339F82">
            <w:pPr>
              <w:rPr>
                <w:rFonts w:hint="eastAsia" w:ascii="微软雅黑" w:hAnsi="微软雅黑" w:eastAsia="微软雅黑" w:cs="微软雅黑"/>
              </w:rPr>
            </w:pPr>
            <w:r>
              <w:rPr>
                <w:rFonts w:hint="eastAsia" w:ascii="微软雅黑" w:hAnsi="微软雅黑" w:eastAsia="微软雅黑" w:cs="微软雅黑"/>
                <w:sz w:val="18"/>
              </w:rPr>
              <w:t>检测机构、试点单位、装备管理部门</w:t>
            </w:r>
          </w:p>
        </w:tc>
      </w:tr>
      <w:tr>
        <w:trPr/>
        <w:tc>
          <w:tcPr>
            <w:tcW w:w="1400" w:type="dxa"/>
          </w:tcPr>
          <w:p w14:paraId="6932BD96">
            <w:pPr>
              <w:jc w:val="center"/>
              <w:rPr>
                <w:rFonts w:hint="eastAsia" w:ascii="微软雅黑" w:hAnsi="微软雅黑" w:eastAsia="微软雅黑" w:cs="微软雅黑"/>
              </w:rPr>
            </w:pPr>
            <w:r>
              <w:rPr>
                <w:rFonts w:hint="eastAsia" w:ascii="微软雅黑" w:hAnsi="微软雅黑" w:eastAsia="微软雅黑" w:cs="微软雅黑"/>
                <w:sz w:val="18"/>
              </w:rPr>
              <w:t>主要输出物</w:t>
            </w:r>
          </w:p>
        </w:tc>
        <w:tc>
          <w:tcPr>
            <w:tcW w:w="2400" w:type="dxa"/>
          </w:tcPr>
          <w:p w14:paraId="4BE83E19">
            <w:pPr>
              <w:rPr>
                <w:rFonts w:hint="eastAsia" w:ascii="微软雅黑" w:hAnsi="微软雅黑" w:eastAsia="微软雅黑" w:cs="微软雅黑"/>
              </w:rPr>
            </w:pPr>
            <w:r>
              <w:rPr>
                <w:rFonts w:hint="eastAsia" w:ascii="微软雅黑" w:hAnsi="微软雅黑" w:eastAsia="微软雅黑" w:cs="微软雅黑"/>
                <w:sz w:val="18"/>
              </w:rPr>
              <w:t>体系表、术语、分级方法</w:t>
            </w:r>
          </w:p>
        </w:tc>
        <w:tc>
          <w:tcPr>
            <w:tcW w:w="2350" w:type="dxa"/>
          </w:tcPr>
          <w:p w14:paraId="4749503A">
            <w:pPr>
              <w:rPr>
                <w:rFonts w:hint="eastAsia" w:ascii="微软雅黑" w:hAnsi="微软雅黑" w:eastAsia="微软雅黑" w:cs="微软雅黑"/>
              </w:rPr>
            </w:pPr>
            <w:r>
              <w:rPr>
                <w:rFonts w:hint="eastAsia" w:ascii="微软雅黑" w:hAnsi="微软雅黑" w:eastAsia="微软雅黑" w:cs="微软雅黑"/>
                <w:sz w:val="18"/>
              </w:rPr>
              <w:t>禁止性行为清单、授权规则、责任分担规则</w:t>
            </w:r>
          </w:p>
        </w:tc>
        <w:tc>
          <w:tcPr>
            <w:tcW w:w="2350" w:type="dxa"/>
          </w:tcPr>
          <w:p w14:paraId="25411DBA">
            <w:pPr>
              <w:rPr>
                <w:rFonts w:hint="eastAsia" w:ascii="微软雅黑" w:hAnsi="微软雅黑" w:eastAsia="微软雅黑" w:cs="微软雅黑"/>
              </w:rPr>
            </w:pPr>
            <w:r>
              <w:rPr>
                <w:rFonts w:hint="eastAsia" w:ascii="微软雅黑" w:hAnsi="微软雅黑" w:eastAsia="微软雅黑" w:cs="微软雅黑"/>
                <w:sz w:val="18"/>
              </w:rPr>
              <w:t>试验方法、测试科目、判定规则</w:t>
            </w:r>
          </w:p>
        </w:tc>
      </w:tr>
      <w:tr>
        <w:trPr/>
        <w:tc>
          <w:tcPr>
            <w:tcW w:w="1400" w:type="dxa"/>
          </w:tcPr>
          <w:p w14:paraId="1E4A083F">
            <w:pPr>
              <w:jc w:val="center"/>
              <w:rPr>
                <w:rFonts w:hint="eastAsia" w:ascii="微软雅黑" w:hAnsi="微软雅黑" w:eastAsia="微软雅黑" w:cs="微软雅黑"/>
              </w:rPr>
            </w:pPr>
            <w:r>
              <w:rPr>
                <w:rFonts w:hint="eastAsia" w:ascii="微软雅黑" w:hAnsi="微软雅黑" w:eastAsia="微软雅黑" w:cs="微软雅黑"/>
                <w:sz w:val="18"/>
              </w:rPr>
              <w:t>缺失后果</w:t>
            </w:r>
          </w:p>
        </w:tc>
        <w:tc>
          <w:tcPr>
            <w:tcW w:w="2400" w:type="dxa"/>
          </w:tcPr>
          <w:p w14:paraId="0CD51963">
            <w:pPr>
              <w:rPr>
                <w:rFonts w:hint="eastAsia" w:ascii="微软雅黑" w:hAnsi="微软雅黑" w:eastAsia="微软雅黑" w:cs="微软雅黑"/>
              </w:rPr>
            </w:pPr>
            <w:r>
              <w:rPr>
                <w:rFonts w:hint="eastAsia" w:ascii="微软雅黑" w:hAnsi="微软雅黑" w:eastAsia="微软雅黑" w:cs="微软雅黑"/>
                <w:sz w:val="18"/>
              </w:rPr>
              <w:t>各标准各说各话，反复返工</w:t>
            </w:r>
          </w:p>
        </w:tc>
        <w:tc>
          <w:tcPr>
            <w:tcW w:w="2350" w:type="dxa"/>
          </w:tcPr>
          <w:p w14:paraId="61E5BAA8">
            <w:pPr>
              <w:rPr>
                <w:rFonts w:hint="eastAsia" w:ascii="微软雅黑" w:hAnsi="微软雅黑" w:eastAsia="微软雅黑" w:cs="微软雅黑"/>
              </w:rPr>
            </w:pPr>
            <w:r>
              <w:rPr>
                <w:rFonts w:hint="eastAsia" w:ascii="微软雅黑" w:hAnsi="微软雅黑" w:eastAsia="微软雅黑" w:cs="微软雅黑"/>
                <w:sz w:val="18"/>
              </w:rPr>
              <w:t>基层不敢用，或者用了之后无法定责</w:t>
            </w:r>
          </w:p>
        </w:tc>
        <w:tc>
          <w:tcPr>
            <w:tcW w:w="2350" w:type="dxa"/>
          </w:tcPr>
          <w:p w14:paraId="4A8F4329">
            <w:pPr>
              <w:rPr>
                <w:rFonts w:hint="eastAsia" w:ascii="微软雅黑" w:hAnsi="微软雅黑" w:eastAsia="微软雅黑" w:cs="微软雅黑"/>
              </w:rPr>
            </w:pPr>
            <w:r>
              <w:rPr>
                <w:rFonts w:hint="eastAsia" w:ascii="微软雅黑" w:hAnsi="微软雅黑" w:eastAsia="微软雅黑" w:cs="微软雅黑"/>
                <w:sz w:val="18"/>
              </w:rPr>
              <w:t>要求只是声明，无法验收与采购</w:t>
            </w:r>
          </w:p>
        </w:tc>
      </w:tr>
      <w:tr>
        <w:trPr/>
        <w:tc>
          <w:tcPr>
            <w:tcW w:w="1400" w:type="dxa"/>
          </w:tcPr>
          <w:p w14:paraId="4B8C37E1">
            <w:pPr>
              <w:jc w:val="center"/>
              <w:rPr>
                <w:rFonts w:hint="eastAsia" w:ascii="微软雅黑" w:hAnsi="微软雅黑" w:eastAsia="微软雅黑" w:cs="微软雅黑"/>
              </w:rPr>
            </w:pPr>
            <w:r>
              <w:rPr>
                <w:rFonts w:hint="eastAsia" w:ascii="微软雅黑" w:hAnsi="微软雅黑" w:eastAsia="微软雅黑" w:cs="微软雅黑"/>
                <w:sz w:val="18"/>
              </w:rPr>
              <w:t>上位依赖</w:t>
            </w:r>
          </w:p>
        </w:tc>
        <w:tc>
          <w:tcPr>
            <w:tcW w:w="2400" w:type="dxa"/>
          </w:tcPr>
          <w:p w14:paraId="74D17CAB">
            <w:pPr>
              <w:rPr>
                <w:rFonts w:hint="eastAsia" w:ascii="微软雅黑" w:hAnsi="微软雅黑" w:eastAsia="微软雅黑" w:cs="微软雅黑"/>
              </w:rPr>
            </w:pPr>
            <w:r>
              <w:rPr>
                <w:rFonts w:hint="eastAsia" w:ascii="微软雅黑" w:hAnsi="微软雅黑" w:eastAsia="微软雅黑" w:cs="微软雅黑"/>
                <w:sz w:val="18"/>
              </w:rPr>
              <w:t>《标准化法》、GB/T 13016-2018、GB/T 1.1-2020</w:t>
            </w:r>
          </w:p>
        </w:tc>
        <w:tc>
          <w:tcPr>
            <w:tcW w:w="2350" w:type="dxa"/>
          </w:tcPr>
          <w:p w14:paraId="4451D020">
            <w:pPr>
              <w:rPr>
                <w:rFonts w:hint="eastAsia" w:ascii="微软雅黑" w:hAnsi="微软雅黑" w:eastAsia="微软雅黑" w:cs="微软雅黑"/>
              </w:rPr>
            </w:pPr>
            <w:r>
              <w:rPr>
                <w:rFonts w:hint="eastAsia" w:ascii="微软雅黑" w:hAnsi="微软雅黑" w:eastAsia="微软雅黑" w:cs="微软雅黑"/>
                <w:sz w:val="18"/>
              </w:rPr>
              <w:t>上位法律与部门规章，以及技术标准界定的能力上限</w:t>
            </w:r>
          </w:p>
        </w:tc>
        <w:tc>
          <w:tcPr>
            <w:tcW w:w="2350" w:type="dxa"/>
          </w:tcPr>
          <w:p w14:paraId="2E75722C">
            <w:pPr>
              <w:rPr>
                <w:rFonts w:hint="eastAsia" w:ascii="微软雅黑" w:hAnsi="微软雅黑" w:eastAsia="微软雅黑" w:cs="微软雅黑"/>
              </w:rPr>
            </w:pPr>
            <w:r>
              <w:rPr>
                <w:rFonts w:hint="eastAsia" w:ascii="微软雅黑" w:hAnsi="微软雅黑" w:eastAsia="微软雅黑" w:cs="微软雅黑"/>
                <w:sz w:val="18"/>
              </w:rPr>
              <w:t>技术标准与管控标准所提出的要求</w:t>
            </w:r>
          </w:p>
        </w:tc>
      </w:tr>
      <w:tr>
        <w:trPr/>
        <w:tc>
          <w:tcPr>
            <w:tcW w:w="1400" w:type="dxa"/>
          </w:tcPr>
          <w:p w14:paraId="49F56D13">
            <w:pPr>
              <w:jc w:val="center"/>
              <w:rPr>
                <w:rFonts w:hint="eastAsia" w:ascii="微软雅黑" w:hAnsi="微软雅黑" w:eastAsia="微软雅黑" w:cs="微软雅黑"/>
              </w:rPr>
            </w:pPr>
            <w:r>
              <w:rPr>
                <w:rFonts w:hint="eastAsia" w:ascii="微软雅黑" w:hAnsi="微软雅黑" w:eastAsia="微软雅黑" w:cs="微软雅黑"/>
                <w:sz w:val="18"/>
              </w:rPr>
              <w:t>向下衔接</w:t>
            </w:r>
          </w:p>
        </w:tc>
        <w:tc>
          <w:tcPr>
            <w:tcW w:w="2400" w:type="dxa"/>
          </w:tcPr>
          <w:p w14:paraId="5758179D">
            <w:pPr>
              <w:rPr>
                <w:rFonts w:hint="eastAsia" w:ascii="微软雅黑" w:hAnsi="微软雅黑" w:eastAsia="微软雅黑" w:cs="微软雅黑"/>
              </w:rPr>
            </w:pPr>
            <w:r>
              <w:rPr>
                <w:rFonts w:hint="eastAsia" w:ascii="微软雅黑" w:hAnsi="微软雅黑" w:eastAsia="微软雅黑" w:cs="微软雅黑"/>
                <w:sz w:val="18"/>
              </w:rPr>
              <w:t>约束全部门类标准与专用标准</w:t>
            </w:r>
          </w:p>
        </w:tc>
        <w:tc>
          <w:tcPr>
            <w:tcW w:w="2350" w:type="dxa"/>
          </w:tcPr>
          <w:p w14:paraId="37EC8E93">
            <w:pPr>
              <w:rPr>
                <w:rFonts w:hint="eastAsia" w:ascii="微软雅黑" w:hAnsi="微软雅黑" w:eastAsia="微软雅黑" w:cs="微软雅黑"/>
              </w:rPr>
            </w:pPr>
            <w:r>
              <w:rPr>
                <w:rFonts w:hint="eastAsia" w:ascii="微软雅黑" w:hAnsi="微软雅黑" w:eastAsia="微软雅黑" w:cs="微软雅黑"/>
                <w:sz w:val="18"/>
              </w:rPr>
              <w:t>为管理标准提供使用规则，为评价标准提供准入判据</w:t>
            </w:r>
          </w:p>
        </w:tc>
        <w:tc>
          <w:tcPr>
            <w:tcW w:w="2350" w:type="dxa"/>
          </w:tcPr>
          <w:p w14:paraId="18AE6D72">
            <w:pPr>
              <w:rPr>
                <w:rFonts w:hint="eastAsia" w:ascii="微软雅黑" w:hAnsi="微软雅黑" w:eastAsia="微软雅黑" w:cs="微软雅黑"/>
              </w:rPr>
            </w:pPr>
            <w:r>
              <w:rPr>
                <w:rFonts w:hint="eastAsia" w:ascii="微软雅黑" w:hAnsi="微软雅黑" w:eastAsia="微软雅黑" w:cs="微软雅黑"/>
                <w:sz w:val="18"/>
              </w:rPr>
              <w:t>为评价标准提供判定输入</w:t>
            </w:r>
          </w:p>
        </w:tc>
      </w:tr>
    </w:tbl>
    <w:p w14:paraId="4D05B01D">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（一）总体标准</w:t>
      </w:r>
    </w:p>
    <w:p w14:paraId="5A6D6C20">
      <w:pPr>
        <w:rPr>
          <w:rFonts w:hint="eastAsia" w:ascii="微软雅黑" w:hAnsi="微软雅黑" w:eastAsia="微软雅黑" w:cs="微软雅黑"/>
        </w:rPr>
      </w:pPr>
      <w:r>
        <w:rPr>
          <w:rFonts w:hint="eastAsia" w:ascii="微软雅黑" w:hAnsi="微软雅黑" w:eastAsia="微软雅黑" w:cs="微软雅黑"/>
        </w:rPr>
        <w:t>定位：体系的顶层设计文件，相当于“关于体系的标准”，不规定产品，只规定体系的构成方式与共同规则。</w:t>
      </w:r>
    </w:p>
    <w:p w14:paraId="45157C15">
      <w:pPr>
        <w:rPr>
          <w:rFonts w:hint="eastAsia" w:ascii="微软雅黑" w:hAnsi="微软雅黑" w:eastAsia="微软雅黑" w:cs="微软雅黑"/>
        </w:rPr>
      </w:pPr>
      <w:r>
        <w:rPr>
          <w:rFonts w:hint="eastAsia" w:ascii="微软雅黑" w:hAnsi="微软雅黑" w:eastAsia="微软雅黑" w:cs="微软雅黑"/>
        </w:rPr>
        <w:t>覆盖范围：术语与缩略语、分类分级与能力等级、需求模型与场景参考架构、体系的层次与门类设置、体系表的编制与维护规则、标准的编写与编号规则。</w:t>
      </w:r>
    </w:p>
    <w:p w14:paraId="3422EF55">
      <w:pPr>
        <w:rPr>
          <w:rFonts w:hint="eastAsia" w:ascii="微软雅黑" w:hAnsi="微软雅黑" w:eastAsia="微软雅黑" w:cs="微软雅黑"/>
        </w:rPr>
      </w:pPr>
      <w:r>
        <w:rPr>
          <w:rFonts w:hint="eastAsia" w:ascii="微软雅黑" w:hAnsi="微软雅黑" w:eastAsia="微软雅黑" w:cs="微软雅黑"/>
        </w:rPr>
        <w:t>关键内容：</w:t>
      </w:r>
    </w:p>
    <w:p w14:paraId="6B58255D">
      <w:pPr>
        <w:rPr>
          <w:rFonts w:hint="eastAsia" w:ascii="微软雅黑" w:hAnsi="微软雅黑" w:eastAsia="微软雅黑" w:cs="微软雅黑"/>
        </w:rPr>
      </w:pPr>
      <w:r>
        <w:rPr>
          <w:rFonts w:hint="eastAsia" w:ascii="微软雅黑" w:hAnsi="微软雅黑" w:eastAsia="微软雅黑" w:cs="微软雅黑"/>
        </w:rPr>
        <w:t>1．《标准体系表》。按 GB/T 13016-2018 关于“标准体系结构图＋标准明细表”的要求编制，明确层次、门类、编号规则与“相关标准”专栏。体系结构图回答“有哪些格子”，明细表回答“每个格子里有哪些标准、处于什么状态（已发布／在研／拟制定）”。</w:t>
      </w:r>
    </w:p>
    <w:p w14:paraId="28B3FC9C">
      <w:pPr>
        <w:rPr>
          <w:rFonts w:hint="eastAsia" w:ascii="微软雅黑" w:hAnsi="微软雅黑" w:eastAsia="微软雅黑" w:cs="微软雅黑"/>
        </w:rPr>
      </w:pPr>
      <w:r>
        <w:rPr>
          <w:rFonts w:hint="eastAsia" w:ascii="微软雅黑" w:hAnsi="微软雅黑" w:eastAsia="微软雅黑" w:cs="微软雅黑"/>
        </w:rPr>
        <w:t>2．《术语与定义》。与 GB/T 12643（机器人与机器人装备　词汇）等上位术语标准建立映射，对“自主等级”“接管”“安全状态”“人机协同”“智能体”等本领域高频词给出统一定义，避免各标准同名不同义。</w:t>
      </w:r>
    </w:p>
    <w:p w14:paraId="47825FDF">
      <w:pPr>
        <w:rPr>
          <w:rFonts w:hint="eastAsia" w:ascii="微软雅黑" w:hAnsi="微软雅黑" w:eastAsia="微软雅黑" w:cs="微软雅黑"/>
        </w:rPr>
      </w:pPr>
      <w:r>
        <w:rPr>
          <w:rFonts w:hint="eastAsia" w:ascii="微软雅黑" w:hAnsi="微软雅黑" w:eastAsia="微软雅黑" w:cs="微软雅黑"/>
        </w:rPr>
        <w:t>3．《能力分级与风险分级方法》。建议采用“自主等级 L1—L5 × 风险等级 R1—R4”双维矩阵。自主等级须逐级明确操作主体、人工确认环节、接管要求与授权范围；风险等级按“是否涉及人身强制、是否涉及公民权利减损、后果可逆性”划分，作为差异化管控的依据。全体系当中这项标准的牵引作用最强，技术标准的指标要求与管控标准的授权规则都要以它为坐标。</w:t>
      </w:r>
    </w:p>
    <w:p w14:paraId="441F5372">
      <w:pPr>
        <w:rPr>
          <w:rFonts w:hint="eastAsia" w:ascii="微软雅黑" w:hAnsi="微软雅黑" w:eastAsia="微软雅黑" w:cs="微软雅黑"/>
        </w:rPr>
      </w:pPr>
      <w:r>
        <w:rPr>
          <w:rFonts w:hint="eastAsia" w:ascii="微软雅黑" w:hAnsi="微软雅黑" w:eastAsia="微软雅黑" w:cs="微软雅黑"/>
        </w:rPr>
        <w:t>4．《需求模型与场景参考架构》。把业务需求转译为可标准化的能力项，为技术标准提供需求侧输入，避免“先有产品、后有需求”的倒置。</w:t>
      </w:r>
    </w:p>
    <w:p w14:paraId="08F2F866">
      <w:pPr>
        <w:rPr>
          <w:rFonts w:hint="eastAsia" w:ascii="微软雅黑" w:hAnsi="微软雅黑" w:eastAsia="微软雅黑" w:cs="微软雅黑"/>
        </w:rPr>
      </w:pPr>
      <w:r>
        <w:rPr>
          <w:rFonts w:hint="eastAsia" w:ascii="微软雅黑" w:hAnsi="微软雅黑" w:eastAsia="微软雅黑" w:cs="微软雅黑"/>
        </w:rPr>
        <w:t>5．《体系维护与标准编写导则》。规定体系表的年度维护、缺口清单的形成与公开、引用映射表的编制要求，以及标准之间的引用写法与裁剪说明写法。</w:t>
      </w:r>
    </w:p>
    <w:p w14:paraId="1B070C59">
      <w:pPr>
        <w:rPr>
          <w:rFonts w:hint="eastAsia" w:ascii="微软雅黑" w:hAnsi="微软雅黑" w:eastAsia="微软雅黑" w:cs="微软雅黑"/>
        </w:rPr>
      </w:pPr>
      <w:r>
        <w:rPr>
          <w:rFonts w:hint="eastAsia" w:ascii="微软雅黑" w:hAnsi="微软雅黑" w:eastAsia="微软雅黑" w:cs="微软雅黑"/>
        </w:rPr>
        <w:t>上下位依赖：总体标准无体系内上位依赖；对上服从《标准化法》及 GB/T 13016-2018、GB/T 1.1-2020；对下约束全部门类标准。</w:t>
      </w:r>
    </w:p>
    <w:p w14:paraId="6E5F2CD4">
      <w:pPr>
        <w:rPr>
          <w:rFonts w:hint="eastAsia" w:ascii="微软雅黑" w:hAnsi="微软雅黑" w:eastAsia="微软雅黑" w:cs="微软雅黑"/>
        </w:rPr>
      </w:pPr>
      <w:r>
        <w:rPr>
          <w:rFonts w:hint="eastAsia" w:ascii="微软雅黑" w:hAnsi="微软雅黑" w:eastAsia="微软雅黑" w:cs="微软雅黑"/>
        </w:rPr>
        <w:t>拟制定重点：上述 5 项。其中《标准体系表》与《术语与定义》应最先形成，否则后续标准会各说各话、返工成本极高。</w:t>
      </w:r>
    </w:p>
    <w:p w14:paraId="75E7A163">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（二）基础标准</w:t>
      </w:r>
    </w:p>
    <w:p w14:paraId="0B895973">
      <w:pPr>
        <w:rPr>
          <w:rFonts w:hint="eastAsia" w:ascii="微软雅黑" w:hAnsi="微软雅黑" w:eastAsia="微软雅黑" w:cs="微软雅黑"/>
        </w:rPr>
      </w:pPr>
      <w:r>
        <w:rPr>
          <w:rFonts w:hint="eastAsia" w:ascii="微软雅黑" w:hAnsi="微软雅黑" w:eastAsia="微软雅黑" w:cs="微软雅黑"/>
        </w:rPr>
        <w:t>定位：为所有门类提供共同语言与共同规则，被引用最多、自身变化最少。它的价值不体现在技术有多先进，而在能不能把不同标准的口径统一起来。</w:t>
      </w:r>
    </w:p>
    <w:p w14:paraId="210464F4">
      <w:pPr>
        <w:rPr>
          <w:rFonts w:hint="eastAsia" w:ascii="微软雅黑" w:hAnsi="微软雅黑" w:eastAsia="微软雅黑" w:cs="微软雅黑"/>
        </w:rPr>
      </w:pPr>
      <w:r>
        <w:rPr>
          <w:rFonts w:hint="eastAsia" w:ascii="微软雅黑" w:hAnsi="微软雅黑" w:eastAsia="微软雅黑" w:cs="微软雅黑"/>
        </w:rPr>
        <w:t>覆盖范围：标识与编码、数据元与元数据、分类与代码、图形符号与图示、接口语义基础。</w:t>
      </w:r>
    </w:p>
    <w:p w14:paraId="6DDB463F">
      <w:pPr>
        <w:rPr>
          <w:rFonts w:hint="eastAsia" w:ascii="微软雅黑" w:hAnsi="微软雅黑" w:eastAsia="微软雅黑" w:cs="微软雅黑"/>
        </w:rPr>
      </w:pPr>
      <w:r>
        <w:rPr>
          <w:rFonts w:hint="eastAsia" w:ascii="微软雅黑" w:hAnsi="微软雅黑" w:eastAsia="微软雅黑" w:cs="微软雅黑"/>
        </w:rPr>
        <w:t>关键内容：</w:t>
      </w:r>
    </w:p>
    <w:p w14:paraId="7B525845">
      <w:pPr>
        <w:rPr>
          <w:rFonts w:hint="eastAsia" w:ascii="微软雅黑" w:hAnsi="微软雅黑" w:eastAsia="微软雅黑" w:cs="微软雅黑"/>
        </w:rPr>
      </w:pPr>
      <w:r>
        <w:rPr>
          <w:rFonts w:hint="eastAsia" w:ascii="微软雅黑" w:hAnsi="微软雅黑" w:eastAsia="微软雅黑" w:cs="微软雅黑"/>
        </w:rPr>
        <w:t>1．标识与编码。规定设备唯一标识的编码规则（可参照 GB/T 41300-2022 设备唯一产品识别码“制造商代码＋产品型号代码＋序列号”的结构思路），以及与备案、登记、变更、注销流程的对应关系。此处只规定“设备身份”，不涉及“输出内容标识”（后者属安全要求范畴）。</w:t>
      </w:r>
    </w:p>
    <w:p w14:paraId="69E3EF3A">
      <w:pPr>
        <w:rPr>
          <w:rFonts w:hint="eastAsia" w:ascii="微软雅黑" w:hAnsi="微软雅黑" w:eastAsia="微软雅黑" w:cs="微软雅黑"/>
        </w:rPr>
      </w:pPr>
      <w:r>
        <w:rPr>
          <w:rFonts w:hint="eastAsia" w:ascii="微软雅黑" w:hAnsi="微软雅黑" w:eastAsia="微软雅黑" w:cs="微软雅黑"/>
        </w:rPr>
        <w:t>2．数据元与元数据。规定感知数据、告警事件、位姿轨迹、任务记录等核心数据对象的数据元定义与元数据要求，是接口标准与数据治理共同的底座。</w:t>
      </w:r>
    </w:p>
    <w:p w14:paraId="5DD9A841">
      <w:pPr>
        <w:rPr>
          <w:rFonts w:hint="eastAsia" w:ascii="微软雅黑" w:hAnsi="微软雅黑" w:eastAsia="微软雅黑" w:cs="微软雅黑"/>
        </w:rPr>
      </w:pPr>
      <w:r>
        <w:rPr>
          <w:rFonts w:hint="eastAsia" w:ascii="微软雅黑" w:hAnsi="微软雅黑" w:eastAsia="微软雅黑" w:cs="微软雅黑"/>
        </w:rPr>
        <w:t>3．分类与代码。装备形态、任务类型、能力等级、告警类型的分类与代码，须与总体标准的分类分级方法严格一致。</w:t>
      </w:r>
    </w:p>
    <w:p w14:paraId="6FFC010C">
      <w:pPr>
        <w:rPr>
          <w:rFonts w:hint="eastAsia" w:ascii="微软雅黑" w:hAnsi="微软雅黑" w:eastAsia="微软雅黑" w:cs="微软雅黑"/>
        </w:rPr>
      </w:pPr>
      <w:r>
        <w:rPr>
          <w:rFonts w:hint="eastAsia" w:ascii="微软雅黑" w:hAnsi="微软雅黑" w:eastAsia="微软雅黑" w:cs="微软雅黑"/>
        </w:rPr>
        <w:t>4．图形符号与图示。人机界面中的符号与标识，须满足公共安全场景下的可识别性要求。</w:t>
      </w:r>
    </w:p>
    <w:p w14:paraId="240ACFCF">
      <w:pPr>
        <w:rPr>
          <w:rFonts w:hint="eastAsia" w:ascii="微软雅黑" w:hAnsi="微软雅黑" w:eastAsia="微软雅黑" w:cs="微软雅黑"/>
        </w:rPr>
      </w:pPr>
      <w:r>
        <w:rPr>
          <w:rFonts w:hint="eastAsia" w:ascii="微软雅黑" w:hAnsi="微软雅黑" w:eastAsia="微软雅黑" w:cs="微软雅黑"/>
        </w:rPr>
        <w:t>上下位依赖：受总体标准的分类分级方法约束；被技术标准（接口）、管控标准（留痕）、测试标准（数据集）广泛引用。</w:t>
      </w:r>
    </w:p>
    <w:p w14:paraId="3943ABD0">
      <w:pPr>
        <w:rPr>
          <w:rFonts w:hint="eastAsia" w:ascii="微软雅黑" w:hAnsi="微软雅黑" w:eastAsia="微软雅黑" w:cs="微软雅黑"/>
        </w:rPr>
      </w:pPr>
      <w:r>
        <w:rPr>
          <w:rFonts w:hint="eastAsia" w:ascii="微软雅黑" w:hAnsi="微软雅黑" w:eastAsia="微软雅黑" w:cs="微软雅黑"/>
        </w:rPr>
        <w:t>拟制定重点：3 项，其中《标识与编码规则》为急用。</w:t>
      </w:r>
    </w:p>
    <w:p w14:paraId="7A2E7DA1">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（三）技术标准</w:t>
      </w:r>
    </w:p>
    <w:p w14:paraId="3F7DEDA9">
      <w:pPr>
        <w:rPr>
          <w:rFonts w:hint="eastAsia" w:ascii="微软雅黑" w:hAnsi="微软雅黑" w:eastAsia="微软雅黑" w:cs="微软雅黑"/>
        </w:rPr>
      </w:pPr>
      <w:r>
        <w:rPr>
          <w:rFonts w:hint="eastAsia" w:ascii="微软雅黑" w:hAnsi="微软雅黑" w:eastAsia="微软雅黑" w:cs="微软雅黑"/>
        </w:rPr>
        <w:t>定位：规定产品与系统应当具备的能力与指标。这类标准体量最大，也最常被误当成体系的全部。</w:t>
      </w:r>
    </w:p>
    <w:p w14:paraId="164D75DC">
      <w:pPr>
        <w:rPr>
          <w:rFonts w:hint="eastAsia" w:ascii="微软雅黑" w:hAnsi="微软雅黑" w:eastAsia="微软雅黑" w:cs="微软雅黑"/>
        </w:rPr>
      </w:pPr>
      <w:r>
        <w:rPr>
          <w:rFonts w:hint="eastAsia" w:ascii="微软雅黑" w:hAnsi="微软雅黑" w:eastAsia="微软雅黑" w:cs="微软雅黑"/>
        </w:rPr>
        <w:t>覆盖范围：部组件→整机与本体→感知与识别→决策与规划→运动控制与作业→通信与交互→系统集成与接口→多智能体协同。</w:t>
      </w:r>
    </w:p>
    <w:p w14:paraId="22718E0E">
      <w:pPr>
        <w:rPr>
          <w:rFonts w:hint="eastAsia" w:ascii="微软雅黑" w:hAnsi="微软雅黑" w:eastAsia="微软雅黑" w:cs="微软雅黑"/>
        </w:rPr>
      </w:pPr>
      <w:r>
        <w:rPr>
          <w:rFonts w:hint="eastAsia" w:ascii="微软雅黑" w:hAnsi="微软雅黑" w:eastAsia="微软雅黑" w:cs="微软雅黑"/>
        </w:rPr>
        <w:t>关键内容：</w:t>
      </w:r>
    </w:p>
    <w:p w14:paraId="595E1530">
      <w:pPr>
        <w:rPr>
          <w:rFonts w:hint="eastAsia" w:ascii="微软雅黑" w:hAnsi="微软雅黑" w:eastAsia="微软雅黑" w:cs="微软雅黑"/>
        </w:rPr>
      </w:pPr>
      <w:r>
        <w:rPr>
          <w:rFonts w:hint="eastAsia" w:ascii="微软雅黑" w:hAnsi="微软雅黑" w:eastAsia="微软雅黑" w:cs="微软雅黑"/>
        </w:rPr>
        <w:t>1．通用安全技术要求。整合 GB/T 15706（风险评估与风险减小）、GB/T 16855.1（控制系统安全相关部件）、GB/T 20438（功能安全）的方法论，规定安全状态、失效降级、急停与防误动作等底线要求。此处引用的是方法论，不重复其条款。</w:t>
      </w:r>
    </w:p>
    <w:p w14:paraId="1AA1DD68">
      <w:pPr>
        <w:rPr>
          <w:rFonts w:hint="eastAsia" w:ascii="微软雅黑" w:hAnsi="微软雅黑" w:eastAsia="微软雅黑" w:cs="微软雅黑"/>
        </w:rPr>
      </w:pPr>
      <w:r>
        <w:rPr>
          <w:rFonts w:hint="eastAsia" w:ascii="微软雅黑" w:hAnsi="微软雅黑" w:eastAsia="微软雅黑" w:cs="微软雅黑"/>
        </w:rPr>
        <w:t>2．环境适应性与可靠性通用要求。按使用环境分区（室内监所、室外街面、雨雪涉水）分别规定防护等级（外壳防护等级按 GB/T 4208）、温度范围、振动与冲击、连续运行时间与平均无故障时间；试验方法引用 GB/T 2423 系列与 GB/T 17626 系列。</w:t>
      </w:r>
    </w:p>
    <w:p w14:paraId="5CF0ECB2">
      <w:pPr>
        <w:rPr>
          <w:rFonts w:hint="eastAsia" w:ascii="微软雅黑" w:hAnsi="微软雅黑" w:eastAsia="微软雅黑" w:cs="微软雅黑"/>
        </w:rPr>
      </w:pPr>
      <w:r>
        <w:rPr>
          <w:rFonts w:hint="eastAsia" w:ascii="微软雅黑" w:hAnsi="微软雅黑" w:eastAsia="微软雅黑" w:cs="微软雅黑"/>
        </w:rPr>
        <w:t>3．部组件通用要求。伺服电机、减速器、谐波传动、灵巧手、激光雷达、算力单元、电池等部组件的通用技术要求与互换性要求，是模块化设计与降低全寿命周期成本的前提。</w:t>
      </w:r>
    </w:p>
    <w:p w14:paraId="50BFFA4D">
      <w:pPr>
        <w:rPr>
          <w:rFonts w:hint="eastAsia" w:ascii="微软雅黑" w:hAnsi="微软雅黑" w:eastAsia="微软雅黑" w:cs="微软雅黑"/>
        </w:rPr>
      </w:pPr>
      <w:r>
        <w:rPr>
          <w:rFonts w:hint="eastAsia" w:ascii="微软雅黑" w:hAnsi="微软雅黑" w:eastAsia="微软雅黑" w:cs="微软雅黑"/>
        </w:rPr>
        <w:t>4．整机与本体通用要求。形态、机动能力、续航与补能、载荷、自重与重心等，并明确各项指标的量纲与测量条件（须与测试标准一致）。</w:t>
      </w:r>
    </w:p>
    <w:p w14:paraId="754CCD0C">
      <w:pPr>
        <w:rPr>
          <w:rFonts w:hint="eastAsia" w:ascii="微软雅黑" w:hAnsi="微软雅黑" w:eastAsia="微软雅黑" w:cs="微软雅黑"/>
        </w:rPr>
      </w:pPr>
      <w:r>
        <w:rPr>
          <w:rFonts w:hint="eastAsia" w:ascii="微软雅黑" w:hAnsi="微软雅黑" w:eastAsia="微软雅黑" w:cs="微软雅黑"/>
        </w:rPr>
        <w:t>5．多模态感知与识别技术要求。规定夜间、雨雪、遮挡、逆光条件下的感知性能要求，以及识别准确率、误报率、漏报率的定义与量纲。特别提示：误报率的分母口径必须统一（例如统一按“每台·每班次”而非“每小时·每路”计），否则指标形同虚设。</w:t>
      </w:r>
    </w:p>
    <w:p w14:paraId="78865C1D">
      <w:pPr>
        <w:rPr>
          <w:rFonts w:hint="eastAsia" w:ascii="微软雅黑" w:hAnsi="微软雅黑" w:eastAsia="微软雅黑" w:cs="微软雅黑"/>
        </w:rPr>
      </w:pPr>
      <w:r>
        <w:rPr>
          <w:rFonts w:hint="eastAsia" w:ascii="微软雅黑" w:hAnsi="微软雅黑" w:eastAsia="微软雅黑" w:cs="微软雅黑"/>
        </w:rPr>
        <w:t>6．具身智能决策与大模型技术要求。规定端侧推理能力、断网持续作业能力、模型版本管理与可回滚要求、涉警数据不出域等；上线前安全评估衔接 GB/T 45654-2025，基准测试衔接 YD/T 6770-2026 与在编的具身智能大模型相关国家标准。</w:t>
      </w:r>
    </w:p>
    <w:p w14:paraId="73862E6C">
      <w:pPr>
        <w:rPr>
          <w:rFonts w:hint="eastAsia" w:ascii="微软雅黑" w:hAnsi="微软雅黑" w:eastAsia="微软雅黑" w:cs="微软雅黑"/>
        </w:rPr>
      </w:pPr>
      <w:r>
        <w:rPr>
          <w:rFonts w:hint="eastAsia" w:ascii="微软雅黑" w:hAnsi="微软雅黑" w:eastAsia="微软雅黑" w:cs="微软雅黑"/>
        </w:rPr>
        <w:t>7．运动控制与灵巧作业技术要求。面向排爆剪线、开门、抓取等精细作业，规定控制精度、作业成功率与作业时限。</w:t>
      </w:r>
    </w:p>
    <w:p w14:paraId="24814E74">
      <w:pPr>
        <w:rPr>
          <w:rFonts w:hint="eastAsia" w:ascii="微软雅黑" w:hAnsi="微软雅黑" w:eastAsia="微软雅黑" w:cs="微软雅黑"/>
        </w:rPr>
      </w:pPr>
      <w:r>
        <w:rPr>
          <w:rFonts w:hint="eastAsia" w:ascii="微软雅黑" w:hAnsi="微软雅黑" w:eastAsia="微软雅黑" w:cs="微软雅黑"/>
        </w:rPr>
        <w:t>8．系统集成与接口要求。规定端—边—云三级架构及各级失效降级策略；接入公共安全视频监控联网（引用 GB/T 28181-2022）与情指行一体化平台；规定四类北向接口（设备管理、音视频流、告警事件、地图与位姿）以及模型与算力接口、时间同步要求。</w:t>
      </w:r>
    </w:p>
    <w:p w14:paraId="0B0377CE">
      <w:pPr>
        <w:rPr>
          <w:rFonts w:hint="eastAsia" w:ascii="微软雅黑" w:hAnsi="微软雅黑" w:eastAsia="微软雅黑" w:cs="微软雅黑"/>
        </w:rPr>
      </w:pPr>
      <w:r>
        <w:rPr>
          <w:rFonts w:hint="eastAsia" w:ascii="微软雅黑" w:hAnsi="微软雅黑" w:eastAsia="微软雅黑" w:cs="微软雅黑"/>
        </w:rPr>
        <w:t>9．多智能体协同接口要求。机器人—无人机—无人车—固定感知设备的空地协同接口语义、数据模型与时序一致性要求；对社区规范类接口采取“约定必要语义、不指定具体实现”的写法。</w:t>
      </w:r>
    </w:p>
    <w:p w14:paraId="792B8C2A">
      <w:pPr>
        <w:rPr>
          <w:rFonts w:hint="eastAsia" w:ascii="微软雅黑" w:hAnsi="微软雅黑" w:eastAsia="微软雅黑" w:cs="微软雅黑"/>
        </w:rPr>
      </w:pPr>
      <w:r>
        <w:rPr>
          <w:rFonts w:hint="eastAsia" w:ascii="微软雅黑" w:hAnsi="微软雅黑" w:eastAsia="微软雅黑" w:cs="微软雅黑"/>
        </w:rPr>
        <w:t>上下位依赖：受总体标准的分类分级与基础标准的数据元约束；指标阈值须由测试标准提供可复现的验证方法；能力边界须与管控标准的分级授权一一对应。</w:t>
      </w:r>
    </w:p>
    <w:p w14:paraId="2072D14B">
      <w:pPr>
        <w:rPr>
          <w:rFonts w:hint="eastAsia" w:ascii="微软雅黑" w:hAnsi="微软雅黑" w:eastAsia="微软雅黑" w:cs="微软雅黑"/>
        </w:rPr>
      </w:pPr>
      <w:r>
        <w:rPr>
          <w:rFonts w:hint="eastAsia" w:ascii="微软雅黑" w:hAnsi="微软雅黑" w:eastAsia="微软雅黑" w:cs="微软雅黑"/>
        </w:rPr>
        <w:t>拟制定重点：9 项。其中《通用安全技术要求》《环境适应性与可靠性通用要求》《系统集成与接口要求》为急用。</w:t>
      </w:r>
    </w:p>
    <w:p w14:paraId="1AA88625">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（四）管控标准</w:t>
      </w:r>
    </w:p>
    <w:p w14:paraId="6D2007A5">
      <w:pPr>
        <w:rPr>
          <w:rFonts w:hint="eastAsia" w:ascii="微软雅黑" w:hAnsi="微软雅黑" w:eastAsia="微软雅黑" w:cs="微软雅黑"/>
        </w:rPr>
      </w:pPr>
      <w:r>
        <w:rPr>
          <w:rFonts w:hint="eastAsia" w:ascii="微软雅黑" w:hAnsi="微软雅黑" w:eastAsia="微软雅黑" w:cs="微软雅黑"/>
        </w:rPr>
        <w:t>定位：回答“允许做什么、怎么做才不越界、出了事谁负责”。它把技术能力与法律授权接在一起，是公共安全领域区别于其他领域的关键一类，也直接决定基层“敢不敢用”。</w:t>
      </w:r>
    </w:p>
    <w:p w14:paraId="19DE4040">
      <w:pPr>
        <w:rPr>
          <w:rFonts w:hint="eastAsia" w:ascii="微软雅黑" w:hAnsi="微软雅黑" w:eastAsia="微软雅黑" w:cs="微软雅黑"/>
        </w:rPr>
      </w:pPr>
      <w:r>
        <w:rPr>
          <w:rFonts w:hint="eastAsia" w:ascii="微软雅黑" w:hAnsi="微软雅黑" w:eastAsia="微软雅黑" w:cs="微软雅黑"/>
        </w:rPr>
        <w:t>覆盖范围：行为边界与分级授权、准入与备案、接管与失效安全、留痕与证据固定、责任分担与致害处置、数据与内容管控。</w:t>
      </w:r>
    </w:p>
    <w:p w14:paraId="12EA1881">
      <w:pPr>
        <w:rPr>
          <w:rFonts w:hint="eastAsia" w:ascii="微软雅黑" w:hAnsi="微软雅黑" w:eastAsia="微软雅黑" w:cs="微软雅黑"/>
        </w:rPr>
      </w:pPr>
      <w:r>
        <w:rPr>
          <w:rFonts w:hint="eastAsia" w:ascii="微软雅黑" w:hAnsi="微软雅黑" w:eastAsia="微软雅黑" w:cs="微软雅黑"/>
        </w:rPr>
        <w:t>关键内容：</w:t>
      </w:r>
    </w:p>
    <w:p w14:paraId="15CA711F">
      <w:pPr>
        <w:rPr>
          <w:rFonts w:hint="eastAsia" w:ascii="微软雅黑" w:hAnsi="微软雅黑" w:eastAsia="微软雅黑" w:cs="微软雅黑"/>
        </w:rPr>
      </w:pPr>
      <w:r>
        <w:rPr>
          <w:rFonts w:hint="eastAsia" w:ascii="微软雅黑" w:hAnsi="微软雅黑" w:eastAsia="微软雅黑" w:cs="微软雅黑"/>
        </w:rPr>
        <w:t>1．行为边界与分级授权规则。先立底线条款：涉及人身强制与财产处置的决定权必须由民警作出，无民警在场时，机器人不得作出减损公民权利的决定。再按自主等级分级授权，逐级列出机器人可以独立实施、须人工确认、禁止实施的行为清单。这份清单应与自主等级和风险等级矩阵同步发布。</w:t>
      </w:r>
    </w:p>
    <w:p w14:paraId="0B646B82">
      <w:pPr>
        <w:rPr>
          <w:rFonts w:hint="eastAsia" w:ascii="微软雅黑" w:hAnsi="微软雅黑" w:eastAsia="微软雅黑" w:cs="微软雅黑"/>
        </w:rPr>
      </w:pPr>
      <w:r>
        <w:rPr>
          <w:rFonts w:hint="eastAsia" w:ascii="微软雅黑" w:hAnsi="微软雅黑" w:eastAsia="微软雅黑" w:cs="微软雅黑"/>
        </w:rPr>
        <w:t>2．准入、备案与标准符合性目录要求。规定产品备案与应用备案的双重备案制度；建立《标准符合性目录》并与装备列装目录、采购技术需求书联动，实行有效期管理（建议 3 年复审）；明确未取得符合性登记的型号不得进入列装目录与采购技术需求书。</w:t>
      </w:r>
    </w:p>
    <w:p w14:paraId="2E001C81">
      <w:pPr>
        <w:rPr>
          <w:rFonts w:hint="eastAsia" w:ascii="微软雅黑" w:hAnsi="微软雅黑" w:eastAsia="微软雅黑" w:cs="微软雅黑"/>
        </w:rPr>
      </w:pPr>
      <w:r>
        <w:rPr>
          <w:rFonts w:hint="eastAsia" w:ascii="微软雅黑" w:hAnsi="微软雅黑" w:eastAsia="微软雅黑" w:cs="微软雅黑"/>
        </w:rPr>
        <w:t>3．接管与失效安全管控要求。任何自主状态均须支持人工接管；通信中断时自动进入安全状态的切换判据、恢复条件与验证方法须写入标准；并明确“失效后允许保留的功能清单”，防止降级后出现不可控行为。</w:t>
      </w:r>
    </w:p>
    <w:p w14:paraId="09592875">
      <w:pPr>
        <w:rPr>
          <w:rFonts w:hint="eastAsia" w:ascii="微软雅黑" w:hAnsi="微软雅黑" w:eastAsia="微软雅黑" w:cs="微软雅黑"/>
        </w:rPr>
      </w:pPr>
      <w:r>
        <w:rPr>
          <w:rFonts w:hint="eastAsia" w:ascii="微软雅黑" w:hAnsi="微软雅黑" w:eastAsia="微软雅黑" w:cs="微软雅黑"/>
        </w:rPr>
        <w:t>4．使用留痕与证据固定要求。强制决策链留痕（感知输入—模型版本—决策输出—人工确认—执行结果），全链可回溯、不可篡改，明确留存期限；明确机器人采集视听资料的证据资格与取证固定规范（含完整性校验），保证诉讼可用。</w:t>
      </w:r>
    </w:p>
    <w:p w14:paraId="20EFEDC4">
      <w:pPr>
        <w:rPr>
          <w:rFonts w:hint="eastAsia" w:ascii="微软雅黑" w:hAnsi="微软雅黑" w:eastAsia="微软雅黑" w:cs="微软雅黑"/>
        </w:rPr>
      </w:pPr>
      <w:r>
        <w:rPr>
          <w:rFonts w:hint="eastAsia" w:ascii="微软雅黑" w:hAnsi="微软雅黑" w:eastAsia="微软雅黑" w:cs="微软雅黑"/>
        </w:rPr>
        <w:t>5．责任分担与致害事件处置规程。责任按自主等级分档界定：L1／L2 由操作民警承担操作责任，L3 及以上由装备使用单位承担使用管理责任，厂商对产品缺陷承担产品责任。同时建立致害事件的上报、调查与归责规程，明确调查主体与时限；引入产品责任保险与科技保险，把标准符合性作为费率因子。</w:t>
      </w:r>
    </w:p>
    <w:p w14:paraId="1D401D6A">
      <w:pPr>
        <w:rPr>
          <w:rFonts w:hint="eastAsia" w:ascii="微软雅黑" w:hAnsi="微软雅黑" w:eastAsia="微软雅黑" w:cs="微软雅黑"/>
        </w:rPr>
      </w:pPr>
      <w:r>
        <w:rPr>
          <w:rFonts w:hint="eastAsia" w:ascii="微软雅黑" w:hAnsi="微软雅黑" w:eastAsia="微软雅黑" w:cs="微软雅黑"/>
        </w:rPr>
        <w:t>6．数据与内容管控要求。涉警数据分类分级、最小必要、境内存储、脱敏共享与销毁；机器人搭载人脸识别能力的，执行《人脸识别技术应用安全管理办法》的刚性要求：以显著方式告知并取得单独同意，事前进行个人信息保护影响评估且报告与处理记录至少保存 3 年，人脸信息存储于设备内不得经互联网对外传输，公共场所存在其他验证方式时不得作为唯一验证方式，私密空间禁止安装，达到规定规模须向省级以上网信部门备案；对外输出的合成语音、文本与图像按规定加注标识，衔接 GB 45438-2025。</w:t>
      </w:r>
    </w:p>
    <w:p w14:paraId="374BEEFC">
      <w:pPr>
        <w:rPr>
          <w:rFonts w:hint="eastAsia" w:ascii="微软雅黑" w:hAnsi="微软雅黑" w:eastAsia="微软雅黑" w:cs="微软雅黑"/>
        </w:rPr>
      </w:pPr>
      <w:r>
        <w:rPr>
          <w:rFonts w:hint="eastAsia" w:ascii="微软雅黑" w:hAnsi="微软雅黑" w:eastAsia="微软雅黑" w:cs="微软雅黑"/>
        </w:rPr>
        <w:t>上下位依赖：上位受《人民警察法》《人民警察使用警械和武器条例》《数据安全法》《个人信息保护法》《网络数据安全管理条例》及《人脸识别技术应用安全管理办法》约束；横向依赖技术标准界定“能力上限”（不得授权超出技术能力的权限）；向下为管理标准提供使用规则。</w:t>
      </w:r>
    </w:p>
    <w:p w14:paraId="6CCA22E6">
      <w:pPr>
        <w:rPr>
          <w:rFonts w:hint="eastAsia" w:ascii="微软雅黑" w:hAnsi="微软雅黑" w:eastAsia="微软雅黑" w:cs="微软雅黑"/>
        </w:rPr>
      </w:pPr>
      <w:r>
        <w:rPr>
          <w:rFonts w:hint="eastAsia" w:ascii="微软雅黑" w:hAnsi="微软雅黑" w:eastAsia="微软雅黑" w:cs="微软雅黑"/>
        </w:rPr>
        <w:t>特别提示：标准不能创制法律授权。凡涉及执法授权层级、行为性质认定的事项，只能由部门规章层级的专门规定解决；标准的职责是把技术要求和判据细化落地，两者不可相互替代。管控类标准之所以必须与立法、规章同步推进，原因就在这里。</w:t>
      </w:r>
    </w:p>
    <w:p w14:paraId="15B56599">
      <w:pPr>
        <w:rPr>
          <w:rFonts w:hint="eastAsia" w:ascii="微软雅黑" w:hAnsi="微软雅黑" w:eastAsia="微软雅黑" w:cs="微软雅黑"/>
        </w:rPr>
      </w:pPr>
      <w:r>
        <w:rPr>
          <w:rFonts w:hint="eastAsia" w:ascii="微软雅黑" w:hAnsi="微软雅黑" w:eastAsia="微软雅黑" w:cs="微软雅黑"/>
        </w:rPr>
        <w:t>拟制定重点：6 项。其中《行为边界与分级授权规则》《责任分担与致害事件处置规程》应最先启动。</w:t>
      </w:r>
    </w:p>
    <w:p w14:paraId="0D2A1E76">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（五）管理标准</w:t>
      </w:r>
    </w:p>
    <w:p w14:paraId="5918E6F7">
      <w:pPr>
        <w:rPr>
          <w:rFonts w:hint="eastAsia" w:ascii="微软雅黑" w:hAnsi="微软雅黑" w:eastAsia="微软雅黑" w:cs="微软雅黑"/>
        </w:rPr>
      </w:pPr>
      <w:r>
        <w:rPr>
          <w:rFonts w:hint="eastAsia" w:ascii="微软雅黑" w:hAnsi="微软雅黑" w:eastAsia="微软雅黑" w:cs="微软雅黑"/>
        </w:rPr>
        <w:t>定位：解决装备进入警务工作流之后的组织与维持问题。技术再好的装备，如果不知道该配多少、怎么编组、谁有资格操作，仍然无法形成战斗力。</w:t>
      </w:r>
    </w:p>
    <w:p w14:paraId="00F934B3">
      <w:pPr>
        <w:rPr>
          <w:rFonts w:hint="eastAsia" w:ascii="微软雅黑" w:hAnsi="微软雅黑" w:eastAsia="微软雅黑" w:cs="微软雅黑"/>
        </w:rPr>
      </w:pPr>
      <w:r>
        <w:rPr>
          <w:rFonts w:hint="eastAsia" w:ascii="微软雅黑" w:hAnsi="微软雅黑" w:eastAsia="微软雅黑" w:cs="微软雅黑"/>
        </w:rPr>
        <w:t>覆盖范围：配备编制、列装管理、勤务组织、训练考核、运行维护、备件保障、退役处置。</w:t>
      </w:r>
    </w:p>
    <w:p w14:paraId="4AF151DA">
      <w:pPr>
        <w:rPr>
          <w:rFonts w:hint="eastAsia" w:ascii="微软雅黑" w:hAnsi="微软雅黑" w:eastAsia="微软雅黑" w:cs="微软雅黑"/>
        </w:rPr>
      </w:pPr>
      <w:r>
        <w:rPr>
          <w:rFonts w:hint="eastAsia" w:ascii="微软雅黑" w:hAnsi="微软雅黑" w:eastAsia="微软雅黑" w:cs="微软雅黑"/>
        </w:rPr>
        <w:t>关键内容：</w:t>
      </w:r>
    </w:p>
    <w:p w14:paraId="533CEC85">
      <w:pPr>
        <w:rPr>
          <w:rFonts w:hint="eastAsia" w:ascii="微软雅黑" w:hAnsi="微软雅黑" w:eastAsia="微软雅黑" w:cs="微软雅黑"/>
        </w:rPr>
      </w:pPr>
      <w:r>
        <w:rPr>
          <w:rFonts w:hint="eastAsia" w:ascii="微软雅黑" w:hAnsi="微软雅黑" w:eastAsia="微软雅黑" w:cs="微软雅黑"/>
        </w:rPr>
        <w:t>1．配备编制与列装管理。按任务类型与警力规模给出编成选取方法与参考区间，不直接规定固定的编组数字；具体数值由试点实测确定。</w:t>
      </w:r>
    </w:p>
    <w:p w14:paraId="6E139CE6">
      <w:pPr>
        <w:rPr>
          <w:rFonts w:hint="eastAsia" w:ascii="微软雅黑" w:hAnsi="微软雅黑" w:eastAsia="微软雅黑" w:cs="微软雅黑"/>
        </w:rPr>
      </w:pPr>
      <w:r>
        <w:rPr>
          <w:rFonts w:hint="eastAsia" w:ascii="微软雅黑" w:hAnsi="微软雅黑" w:eastAsia="微软雅黑" w:cs="微软雅黑"/>
        </w:rPr>
        <w:t>2．人机协同勤务规程。规定指挥流程、口令体系、应急预案，以及与 110 接处警流程的对接规则（派单规则、审批环节、处置闭环），避免形成体系外的“第二指挥链”。</w:t>
      </w:r>
    </w:p>
    <w:p w14:paraId="1AC5ECB3">
      <w:pPr>
        <w:rPr>
          <w:rFonts w:hint="eastAsia" w:ascii="微软雅黑" w:hAnsi="微软雅黑" w:eastAsia="微软雅黑" w:cs="微软雅黑"/>
        </w:rPr>
      </w:pPr>
      <w:r>
        <w:rPr>
          <w:rFonts w:hint="eastAsia" w:ascii="微软雅黑" w:hAnsi="微软雅黑" w:eastAsia="微软雅黑" w:cs="微软雅黑"/>
        </w:rPr>
        <w:t>3．训练与考核规范。操作与协同人员持证上岗，训练大纲、模拟训练系统与考核标准同步建设，明确复训周期与资质有效期。</w:t>
      </w:r>
    </w:p>
    <w:p w14:paraId="60001ABE">
      <w:pPr>
        <w:rPr>
          <w:rFonts w:hint="eastAsia" w:ascii="微软雅黑" w:hAnsi="微软雅黑" w:eastAsia="微软雅黑" w:cs="微软雅黑"/>
        </w:rPr>
      </w:pPr>
      <w:r>
        <w:rPr>
          <w:rFonts w:hint="eastAsia" w:ascii="微软雅黑" w:hAnsi="微软雅黑" w:eastAsia="微软雅黑" w:cs="微软雅黑"/>
        </w:rPr>
        <w:t>4．运行维护与备件保障规范。规定维护保障响应时效、备件供应、软件升级与版本管理，以及日常点验与状态检查要求。</w:t>
      </w:r>
    </w:p>
    <w:p w14:paraId="0EB5F2C9">
      <w:pPr>
        <w:rPr>
          <w:rFonts w:hint="eastAsia" w:ascii="微软雅黑" w:hAnsi="微软雅黑" w:eastAsia="微软雅黑" w:cs="微软雅黑"/>
        </w:rPr>
      </w:pPr>
      <w:r>
        <w:rPr>
          <w:rFonts w:hint="eastAsia" w:ascii="微软雅黑" w:hAnsi="微软雅黑" w:eastAsia="微软雅黑" w:cs="微软雅黑"/>
        </w:rPr>
        <w:t>5．退役与处置规范。规定数据清除与介质销毁要求、装备处置办法与责任界定，防止退役环节形成数据与安全的“最后一公里”漏洞。</w:t>
      </w:r>
    </w:p>
    <w:p w14:paraId="4C7DB345">
      <w:pPr>
        <w:rPr>
          <w:rFonts w:hint="eastAsia" w:ascii="微软雅黑" w:hAnsi="微软雅黑" w:eastAsia="微软雅黑" w:cs="微软雅黑"/>
        </w:rPr>
      </w:pPr>
      <w:r>
        <w:rPr>
          <w:rFonts w:hint="eastAsia" w:ascii="微软雅黑" w:hAnsi="微软雅黑" w:eastAsia="微软雅黑" w:cs="微软雅黑"/>
        </w:rPr>
        <w:t>上下位依赖：受管控标准的使用规则约束；其“响应时效”“持证要求”等可检验条款须由检查规则或测试标准提供验证方式。</w:t>
      </w:r>
    </w:p>
    <w:p w14:paraId="17D0D768">
      <w:pPr>
        <w:rPr>
          <w:rFonts w:hint="eastAsia" w:ascii="微软雅黑" w:hAnsi="微软雅黑" w:eastAsia="微软雅黑" w:cs="微软雅黑"/>
        </w:rPr>
      </w:pPr>
      <w:r>
        <w:rPr>
          <w:rFonts w:hint="eastAsia" w:ascii="微软雅黑" w:hAnsi="微软雅黑" w:eastAsia="微软雅黑" w:cs="微软雅黑"/>
        </w:rPr>
        <w:t>拟制定重点：5 项。其中《人机协同勤务规程》《配备编制与列装管理规范》为急用。</w:t>
      </w:r>
    </w:p>
    <w:p w14:paraId="5E079C3F">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（六）测试标准</w:t>
      </w:r>
    </w:p>
    <w:p w14:paraId="3D243AC0">
      <w:pPr>
        <w:rPr>
          <w:rFonts w:hint="eastAsia" w:ascii="微软雅黑" w:hAnsi="微软雅黑" w:eastAsia="微软雅黑" w:cs="微软雅黑"/>
        </w:rPr>
      </w:pPr>
      <w:r>
        <w:rPr>
          <w:rFonts w:hint="eastAsia" w:ascii="微软雅黑" w:hAnsi="微软雅黑" w:eastAsia="微软雅黑" w:cs="微软雅黑"/>
        </w:rPr>
        <w:t>定位：把技术要求与管控要求转化为可复现、可复算的判据，是体系的“可验证性保障”。没有测试标准，前面所有的要求都只是声明。</w:t>
      </w:r>
    </w:p>
    <w:p w14:paraId="2EC2E8CD">
      <w:pPr>
        <w:rPr>
          <w:rFonts w:hint="eastAsia" w:ascii="微软雅黑" w:hAnsi="微软雅黑" w:eastAsia="微软雅黑" w:cs="微软雅黑"/>
        </w:rPr>
      </w:pPr>
      <w:r>
        <w:rPr>
          <w:rFonts w:hint="eastAsia" w:ascii="微软雅黑" w:hAnsi="微软雅黑" w:eastAsia="微软雅黑" w:cs="微软雅黑"/>
        </w:rPr>
        <w:t>覆盖范围：试验方法总则、性能与可靠性试验、环境适应性试验、对抗测试、接管与失效安全测试、实战化场景演练、基准测试与测试数据集。</w:t>
      </w:r>
    </w:p>
    <w:p w14:paraId="2FAA55FA">
      <w:pPr>
        <w:rPr>
          <w:rFonts w:hint="eastAsia" w:ascii="微软雅黑" w:hAnsi="微软雅黑" w:eastAsia="微软雅黑" w:cs="微软雅黑"/>
        </w:rPr>
      </w:pPr>
      <w:r>
        <w:rPr>
          <w:rFonts w:hint="eastAsia" w:ascii="微软雅黑" w:hAnsi="微软雅黑" w:eastAsia="微软雅黑" w:cs="微软雅黑"/>
        </w:rPr>
        <w:t>关键内容：</w:t>
      </w:r>
    </w:p>
    <w:p w14:paraId="176A726A">
      <w:pPr>
        <w:rPr>
          <w:rFonts w:hint="eastAsia" w:ascii="微软雅黑" w:hAnsi="微软雅黑" w:eastAsia="微软雅黑" w:cs="微软雅黑"/>
        </w:rPr>
      </w:pPr>
      <w:r>
        <w:rPr>
          <w:rFonts w:hint="eastAsia" w:ascii="微软雅黑" w:hAnsi="微软雅黑" w:eastAsia="微软雅黑" w:cs="微软雅黑"/>
        </w:rPr>
        <w:t>1．试验方法总则。规定实验室型式试验（准入）、实战场景演练（准入）、试点长期运行（评价）三级测试体系，明确各级的通过判据与“不通过”的处置规则。三级的职责要分清：型式试验管“能不能进”，实战演练管“能不能用”，试点运行管“耐不耐用”。</w:t>
      </w:r>
    </w:p>
    <w:p w14:paraId="0788C1B7">
      <w:pPr>
        <w:rPr>
          <w:rFonts w:hint="eastAsia" w:ascii="微软雅黑" w:hAnsi="微软雅黑" w:eastAsia="微软雅黑" w:cs="微软雅黑"/>
        </w:rPr>
      </w:pPr>
      <w:r>
        <w:rPr>
          <w:rFonts w:hint="eastAsia" w:ascii="微软雅黑" w:hAnsi="微软雅黑" w:eastAsia="微软雅黑" w:cs="微软雅黑"/>
        </w:rPr>
        <w:t>2．性能与可靠性试验方法。给出指标的测量条件、样机数量、样本量与统计判定规则；指标口径须与技术标准逐条对应，不得出现“技术标准说一个口径、测试标准按另一个口径测”的情况。</w:t>
      </w:r>
    </w:p>
    <w:p w14:paraId="3961DFF8">
      <w:pPr>
        <w:rPr>
          <w:rFonts w:hint="eastAsia" w:ascii="微软雅黑" w:hAnsi="微软雅黑" w:eastAsia="微软雅黑" w:cs="微软雅黑"/>
        </w:rPr>
      </w:pPr>
      <w:r>
        <w:rPr>
          <w:rFonts w:hint="eastAsia" w:ascii="微软雅黑" w:hAnsi="微软雅黑" w:eastAsia="微软雅黑" w:cs="微软雅黑"/>
        </w:rPr>
        <w:t>3．环境适应性试验方法。按环境分区设定试验剖面，引用 GB/T 2423 系列与 GB/T 17626 系列。</w:t>
      </w:r>
    </w:p>
    <w:p w14:paraId="0AE61BC6">
      <w:pPr>
        <w:rPr>
          <w:rFonts w:hint="eastAsia" w:ascii="微软雅黑" w:hAnsi="微软雅黑" w:eastAsia="微软雅黑" w:cs="微软雅黑"/>
        </w:rPr>
      </w:pPr>
      <w:r>
        <w:rPr>
          <w:rFonts w:hint="eastAsia" w:ascii="微软雅黑" w:hAnsi="微软雅黑" w:eastAsia="微软雅黑" w:cs="微软雅黑"/>
        </w:rPr>
        <w:t>4．对抗测试方法。设置电磁干扰、卫星定位欺骗、视觉欺骗、对抗样本攻击、通信劫持、断电断网等科目，明确红队测试的组织方式与强度分级，并规定测试环境的最低条件。</w:t>
      </w:r>
    </w:p>
    <w:p w14:paraId="3232A8F6">
      <w:pPr>
        <w:rPr>
          <w:rFonts w:hint="eastAsia" w:ascii="微软雅黑" w:hAnsi="微软雅黑" w:eastAsia="微软雅黑" w:cs="微软雅黑"/>
        </w:rPr>
      </w:pPr>
      <w:r>
        <w:rPr>
          <w:rFonts w:hint="eastAsia" w:ascii="微软雅黑" w:hAnsi="微软雅黑" w:eastAsia="微软雅黑" w:cs="微软雅黑"/>
        </w:rPr>
        <w:t>5．接管与失效安全测试方法。测量接管响应时延、安全状态切换正确率、失效后功能收敛情况，并给出判定规则。</w:t>
      </w:r>
    </w:p>
    <w:p w14:paraId="2194092A">
      <w:pPr>
        <w:rPr>
          <w:rFonts w:hint="eastAsia" w:ascii="微软雅黑" w:hAnsi="微软雅黑" w:eastAsia="微软雅黑" w:cs="微软雅黑"/>
        </w:rPr>
      </w:pPr>
      <w:r>
        <w:rPr>
          <w:rFonts w:hint="eastAsia" w:ascii="微软雅黑" w:hAnsi="微软雅黑" w:eastAsia="微软雅黑" w:cs="微软雅黑"/>
        </w:rPr>
        <w:t>6．实战化场景演练与科目设置。五类标准测试场景（街面巡逻、检查核查、排爆处置、应急救援、大型活动安保）的科目、脚本、评分方法与裁判规则。</w:t>
      </w:r>
    </w:p>
    <w:p w14:paraId="464FE57F">
      <w:pPr>
        <w:rPr>
          <w:rFonts w:hint="eastAsia" w:ascii="微软雅黑" w:hAnsi="微软雅黑" w:eastAsia="微软雅黑" w:cs="微软雅黑"/>
        </w:rPr>
      </w:pPr>
      <w:r>
        <w:rPr>
          <w:rFonts w:hint="eastAsia" w:ascii="微软雅黑" w:hAnsi="微软雅黑" w:eastAsia="微软雅黑" w:cs="微软雅黑"/>
        </w:rPr>
        <w:t>7．基准测试与测试数据集规范。规定测试数据集的采集、标注、质量验收与可复现性要求，沉淀可共享的标准化数据集与基准，衔接 YD/T 6770-2026。</w:t>
      </w:r>
    </w:p>
    <w:p w14:paraId="685CA43C">
      <w:pPr>
        <w:rPr>
          <w:rFonts w:hint="eastAsia" w:ascii="微软雅黑" w:hAnsi="微软雅黑" w:eastAsia="微软雅黑" w:cs="微软雅黑"/>
        </w:rPr>
      </w:pPr>
      <w:r>
        <w:rPr>
          <w:rFonts w:hint="eastAsia" w:ascii="微软雅黑" w:hAnsi="微软雅黑" w:eastAsia="微软雅黑" w:cs="微软雅黑"/>
        </w:rPr>
        <w:t>上下位依赖：不产生新要求，只把技术标准与管控标准的要求“可检验化”；其判据被评价标准引用以形成等级与结论。</w:t>
      </w:r>
    </w:p>
    <w:p w14:paraId="04449E7F">
      <w:pPr>
        <w:rPr>
          <w:rFonts w:hint="eastAsia" w:ascii="微软雅黑" w:hAnsi="微软雅黑" w:eastAsia="微软雅黑" w:cs="微软雅黑"/>
        </w:rPr>
      </w:pPr>
      <w:r>
        <w:rPr>
          <w:rFonts w:hint="eastAsia" w:ascii="微软雅黑" w:hAnsi="微软雅黑" w:eastAsia="微软雅黑" w:cs="微软雅黑"/>
        </w:rPr>
        <w:t>拟制定重点：7 项。其中《试验方法总则》《性能与可靠性试验方法》《对抗测试方法》为急用。</w:t>
      </w:r>
    </w:p>
    <w:p w14:paraId="7CF9B5D0">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（七）评价标准</w:t>
      </w:r>
    </w:p>
    <w:p w14:paraId="2E5800FD">
      <w:pPr>
        <w:rPr>
          <w:rFonts w:hint="eastAsia" w:ascii="微软雅黑" w:hAnsi="微软雅黑" w:eastAsia="微软雅黑" w:cs="微软雅黑"/>
        </w:rPr>
      </w:pPr>
      <w:r>
        <w:rPr>
          <w:rFonts w:hint="eastAsia" w:ascii="微软雅黑" w:hAnsi="微软雅黑" w:eastAsia="微软雅黑" w:cs="微软雅黑"/>
        </w:rPr>
        <w:t>定位：把测试结果转化为准入与采购决策依据，是体系“闭环”的收口环节。测试出结果而不用于决策，等于白测。</w:t>
      </w:r>
    </w:p>
    <w:p w14:paraId="4414E1C2">
      <w:pPr>
        <w:rPr>
          <w:rFonts w:hint="eastAsia" w:ascii="微软雅黑" w:hAnsi="微软雅黑" w:eastAsia="微软雅黑" w:cs="微软雅黑"/>
        </w:rPr>
      </w:pPr>
      <w:r>
        <w:rPr>
          <w:rFonts w:hint="eastAsia" w:ascii="微软雅黑" w:hAnsi="微软雅黑" w:eastAsia="微软雅黑" w:cs="微软雅黑"/>
        </w:rPr>
        <w:t>覆盖范围：能力等级评定、实战效能评估、全寿命周期成本评估、检测认证与标识管理。</w:t>
      </w:r>
    </w:p>
    <w:p w14:paraId="7ED9DDDF">
      <w:pPr>
        <w:rPr>
          <w:rFonts w:hint="eastAsia" w:ascii="微软雅黑" w:hAnsi="微软雅黑" w:eastAsia="微软雅黑" w:cs="微软雅黑"/>
        </w:rPr>
      </w:pPr>
      <w:r>
        <w:rPr>
          <w:rFonts w:hint="eastAsia" w:ascii="微软雅黑" w:hAnsi="微软雅黑" w:eastAsia="微软雅黑" w:cs="微软雅黑"/>
        </w:rPr>
        <w:t>关键内容：</w:t>
      </w:r>
    </w:p>
    <w:p w14:paraId="3C8BC8A2">
      <w:pPr>
        <w:rPr>
          <w:rFonts w:hint="eastAsia" w:ascii="微软雅黑" w:hAnsi="微软雅黑" w:eastAsia="微软雅黑" w:cs="微软雅黑"/>
        </w:rPr>
      </w:pPr>
      <w:r>
        <w:rPr>
          <w:rFonts w:hint="eastAsia" w:ascii="微软雅黑" w:hAnsi="微软雅黑" w:eastAsia="微软雅黑" w:cs="微软雅黑"/>
        </w:rPr>
        <w:t>1．能力等级评定方法。依据自主等级与风险等级矩阵，给出各等级的能力项达标清单与评定规则，使“这台机器算几级”成为可复算的结论，而不是主观判断。</w:t>
      </w:r>
    </w:p>
    <w:p w14:paraId="2AE08073">
      <w:pPr>
        <w:rPr>
          <w:rFonts w:hint="eastAsia" w:ascii="微软雅黑" w:hAnsi="微软雅黑" w:eastAsia="微软雅黑" w:cs="微软雅黑"/>
        </w:rPr>
      </w:pPr>
      <w:r>
        <w:rPr>
          <w:rFonts w:hint="eastAsia" w:ascii="微软雅黑" w:hAnsi="微软雅黑" w:eastAsia="微软雅黑" w:cs="微软雅黑"/>
        </w:rPr>
        <w:t>2．实战效能评估方法。以替代人力工时、警情响应提速幅度、人员风险暴露下降率、全寿命周期成本四个维度量化。评估基线必须明确：试点前采集不少于 12 个月的人力量、警情响应时长、风险暴露事件等历史数据，否则“提升幅度”无从计算。</w:t>
      </w:r>
    </w:p>
    <w:p w14:paraId="0D8F6409">
      <w:pPr>
        <w:rPr>
          <w:rFonts w:hint="eastAsia" w:ascii="微软雅黑" w:hAnsi="微软雅黑" w:eastAsia="微软雅黑" w:cs="微软雅黑"/>
        </w:rPr>
      </w:pPr>
      <w:r>
        <w:rPr>
          <w:rFonts w:hint="eastAsia" w:ascii="微软雅黑" w:hAnsi="微软雅黑" w:eastAsia="微软雅黑" w:cs="微软雅黑"/>
        </w:rPr>
        <w:t>3．全寿命周期成本评估方法。统一成本口径（采购＋能源＋维护＋备件＋培训＋退役处置，按五年折现），防止“低价中标、高价运维”。</w:t>
      </w:r>
    </w:p>
    <w:p w14:paraId="5B4CE6C7">
      <w:pPr>
        <w:rPr>
          <w:rFonts w:hint="eastAsia" w:ascii="微软雅黑" w:hAnsi="微软雅黑" w:eastAsia="微软雅黑" w:cs="微软雅黑"/>
        </w:rPr>
      </w:pPr>
      <w:r>
        <w:rPr>
          <w:rFonts w:hint="eastAsia" w:ascii="微软雅黑" w:hAnsi="微软雅黑" w:eastAsia="微软雅黑" w:cs="微软雅黑"/>
        </w:rPr>
        <w:t>4．检测认证与标识管理要求。警用装备不走强制性产品认证路径，应参照现行警用装备定型与检测制度，实行“产品定型检测＋场景准入”双证管理；检测机构须具备相应资质并经指定认可，检测报告可溯源；建立检测机构间年度比对机制，确保检测尺度一致。</w:t>
      </w:r>
    </w:p>
    <w:p w14:paraId="4D597F09">
      <w:pPr>
        <w:rPr>
          <w:rFonts w:hint="eastAsia" w:ascii="微软雅黑" w:hAnsi="微软雅黑" w:eastAsia="微软雅黑" w:cs="微软雅黑"/>
        </w:rPr>
      </w:pPr>
      <w:r>
        <w:rPr>
          <w:rFonts w:hint="eastAsia" w:ascii="微软雅黑" w:hAnsi="微软雅黑" w:eastAsia="微软雅黑" w:cs="微软雅黑"/>
        </w:rPr>
        <w:t>与测试标准的边界：测试标准管“方法与判据”，评价标准管“等级与结论”，两者不得就同一内容重复制定。实际工作中，重复劳动最容易出现在这里。</w:t>
      </w:r>
    </w:p>
    <w:p w14:paraId="70CA1AB2">
      <w:pPr>
        <w:rPr>
          <w:rFonts w:hint="eastAsia" w:ascii="微软雅黑" w:hAnsi="微软雅黑" w:eastAsia="微软雅黑" w:cs="微软雅黑"/>
        </w:rPr>
      </w:pPr>
      <w:r>
        <w:rPr>
          <w:rFonts w:hint="eastAsia" w:ascii="微软雅黑" w:hAnsi="微软雅黑" w:eastAsia="微软雅黑" w:cs="微软雅黑"/>
        </w:rPr>
        <w:t>上下位依赖：引用测试标准的测试结果；其结论被管理标准（列装）与管控标准（准入）引用。</w:t>
      </w:r>
    </w:p>
    <w:p w14:paraId="2A611711">
      <w:pPr>
        <w:rPr>
          <w:rFonts w:hint="eastAsia" w:ascii="微软雅黑" w:hAnsi="微软雅黑" w:eastAsia="微软雅黑" w:cs="微软雅黑"/>
        </w:rPr>
      </w:pPr>
      <w:r>
        <w:rPr>
          <w:rFonts w:hint="eastAsia" w:ascii="微软雅黑" w:hAnsi="微软雅黑" w:eastAsia="微软雅黑" w:cs="微软雅黑"/>
        </w:rPr>
        <w:t>拟制定重点：4 项。</w:t>
      </w:r>
    </w:p>
    <w:p w14:paraId="684E0BF4">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（八）安全要求（贯穿性，不单独成层）</w:t>
      </w:r>
    </w:p>
    <w:p w14:paraId="293FE14E">
      <w:pPr>
        <w:rPr>
          <w:rFonts w:hint="eastAsia" w:ascii="微软雅黑" w:hAnsi="微软雅黑" w:eastAsia="微软雅黑" w:cs="微软雅黑"/>
        </w:rPr>
      </w:pPr>
      <w:r>
        <w:rPr>
          <w:rFonts w:hint="eastAsia" w:ascii="微软雅黑" w:hAnsi="微软雅黑" w:eastAsia="微软雅黑" w:cs="微软雅黑"/>
        </w:rPr>
        <w:t>定位：不单独成层，以“要求＋验证”的形式横贯所有层次与门类，落到每一个标准化对象上。</w:t>
      </w:r>
    </w:p>
    <w:p w14:paraId="49885099">
      <w:pPr>
        <w:rPr>
          <w:rFonts w:hint="eastAsia" w:ascii="微软雅黑" w:hAnsi="微软雅黑" w:eastAsia="微软雅黑" w:cs="微软雅黑"/>
        </w:rPr>
      </w:pPr>
      <w:r>
        <w:rPr>
          <w:rFonts w:hint="eastAsia" w:ascii="微软雅黑" w:hAnsi="微软雅黑" w:eastAsia="微软雅黑" w:cs="微软雅黑"/>
        </w:rPr>
        <w:t>覆盖范围：功能安全、信息安全、数据安全与个人信息保护、伦理合规、内容标识。</w:t>
      </w:r>
    </w:p>
    <w:p w14:paraId="43C8BD72">
      <w:pPr>
        <w:rPr>
          <w:rFonts w:hint="eastAsia" w:ascii="微软雅黑" w:hAnsi="微软雅黑" w:eastAsia="微软雅黑" w:cs="微软雅黑"/>
        </w:rPr>
      </w:pPr>
      <w:r>
        <w:rPr>
          <w:rFonts w:hint="eastAsia" w:ascii="微软雅黑" w:hAnsi="微软雅黑" w:eastAsia="微软雅黑" w:cs="微软雅黑"/>
        </w:rPr>
        <w:t>关键内容与承载方式：</w:t>
      </w:r>
    </w:p>
    <w:p w14:paraId="60384DB2">
      <w:pPr>
        <w:rPr>
          <w:rFonts w:hint="eastAsia" w:ascii="微软雅黑" w:hAnsi="微软雅黑" w:eastAsia="微软雅黑" w:cs="微软雅黑"/>
        </w:rPr>
      </w:pPr>
      <w:r>
        <w:rPr>
          <w:rFonts w:hint="eastAsia" w:ascii="微软雅黑" w:hAnsi="微软雅黑" w:eastAsia="微软雅黑" w:cs="微软雅黑"/>
        </w:rPr>
        <w:t>1．功能安全。失效行为与安全状态的定义与验证，方法引用 GB/T 16855.1、GB/T 20438；由技术标准承载、测试标准验证。</w:t>
      </w:r>
    </w:p>
    <w:p w14:paraId="05AF92A1">
      <w:pPr>
        <w:rPr>
          <w:rFonts w:hint="eastAsia" w:ascii="微软雅黑" w:hAnsi="微软雅黑" w:eastAsia="微软雅黑" w:cs="微软雅黑"/>
        </w:rPr>
      </w:pPr>
      <w:r>
        <w:rPr>
          <w:rFonts w:hint="eastAsia" w:ascii="微软雅黑" w:hAnsi="微软雅黑" w:eastAsia="微软雅黑" w:cs="微软雅黑"/>
        </w:rPr>
        <w:t>2．信息安全。数据链加密、设备与平台双向身份认证、控制指令签名防重放；密码应用符合国家商用密码要求；按 GB/T 22239 定级并开展网络安全等级保护。由技术标准承载、测试标准验证。</w:t>
      </w:r>
    </w:p>
    <w:p w14:paraId="49EA39E9">
      <w:pPr>
        <w:rPr>
          <w:rFonts w:hint="eastAsia" w:ascii="微软雅黑" w:hAnsi="微软雅黑" w:eastAsia="微软雅黑" w:cs="微软雅黑"/>
        </w:rPr>
      </w:pPr>
      <w:r>
        <w:rPr>
          <w:rFonts w:hint="eastAsia" w:ascii="微软雅黑" w:hAnsi="微软雅黑" w:eastAsia="微软雅黑" w:cs="微软雅黑"/>
        </w:rPr>
        <w:t>3．数据安全与个人信息保护。分类分级（可参照 GB/T 43697 的数据分类分级思路落地为行业要求）、最小必要、境内存储、脱敏共享；由管控标准承载、检查规则验证。</w:t>
      </w:r>
    </w:p>
    <w:p w14:paraId="07A02053">
      <w:pPr>
        <w:rPr>
          <w:rFonts w:hint="eastAsia" w:ascii="微软雅黑" w:hAnsi="微软雅黑" w:eastAsia="微软雅黑" w:cs="微软雅黑"/>
        </w:rPr>
      </w:pPr>
      <w:r>
        <w:rPr>
          <w:rFonts w:hint="eastAsia" w:ascii="微软雅黑" w:hAnsi="微软雅黑" w:eastAsia="微软雅黑" w:cs="微软雅黑"/>
        </w:rPr>
        <w:t>4．伦理合规。算法影响评估、伦理审查、对特定群体的差异性影响、可解释性与人工干预可行性；由管控标准与评价标准共同承载。</w:t>
      </w:r>
    </w:p>
    <w:p w14:paraId="57171117">
      <w:pPr>
        <w:rPr>
          <w:rFonts w:hint="eastAsia" w:ascii="微软雅黑" w:hAnsi="微软雅黑" w:eastAsia="微软雅黑" w:cs="微软雅黑"/>
        </w:rPr>
      </w:pPr>
      <w:r>
        <w:rPr>
          <w:rFonts w:hint="eastAsia" w:ascii="微软雅黑" w:hAnsi="微软雅黑" w:eastAsia="微软雅黑" w:cs="微软雅黑"/>
        </w:rPr>
        <w:t>5．内容标识。机器人播报的合成语音、自动生成的警情分析文本与合成图像的标识，衔接 GB 45438-2025（强制性国家标准）。</w:t>
      </w:r>
    </w:p>
    <w:p w14:paraId="51F0381C">
      <w:pPr>
        <w:rPr>
          <w:rFonts w:hint="eastAsia" w:ascii="微软雅黑" w:hAnsi="微软雅黑" w:eastAsia="微软雅黑" w:cs="微软雅黑"/>
        </w:rPr>
      </w:pPr>
      <w:r>
        <w:rPr>
          <w:rFonts w:hint="eastAsia" w:ascii="微软雅黑" w:hAnsi="微软雅黑" w:eastAsia="微软雅黑" w:cs="微软雅黑"/>
        </w:rPr>
        <w:t>承载方式总结为八个字：分散承载、集中审查。具体要求由技术标准、管控标准承载，验证方法由测试标准提供；总体标准中的体系维护规则要求“每条安全要求必须能定位到具体标准条款与对应试验方法”，报批前完成核验。</w:t>
      </w:r>
    </w:p>
    <w:p w14:paraId="589D34A8">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四、标准之间的衔接方式与依赖关系</w:t>
      </w:r>
    </w:p>
    <w:p w14:paraId="292C600B">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（一）纵向衔接：上位定框架，下位细化加严</w:t>
      </w:r>
    </w:p>
    <w:p w14:paraId="1A82B01E">
      <w:pPr>
        <w:rPr>
          <w:rFonts w:hint="eastAsia" w:ascii="微软雅黑" w:hAnsi="微软雅黑" w:eastAsia="微软雅黑" w:cs="微软雅黑"/>
        </w:rPr>
      </w:pPr>
      <w:r>
        <w:rPr>
          <w:rFonts w:hint="eastAsia" w:ascii="微软雅黑" w:hAnsi="微软雅黑" w:eastAsia="微软雅黑" w:cs="微软雅黑"/>
        </w:rPr>
        <w:t>1．概念一致性。全部标准中的术语、分类、分级，一律引用总体标准的定义，不自行定义；确需新增术语的，先修订总体标准，再在具体标准中使用。</w:t>
      </w:r>
    </w:p>
    <w:p w14:paraId="7C77C61C">
      <w:pPr>
        <w:rPr>
          <w:rFonts w:hint="eastAsia" w:ascii="微软雅黑" w:hAnsi="微软雅黑" w:eastAsia="微软雅黑" w:cs="微软雅黑"/>
        </w:rPr>
      </w:pPr>
      <w:r>
        <w:rPr>
          <w:rFonts w:hint="eastAsia" w:ascii="微软雅黑" w:hAnsi="微软雅黑" w:eastAsia="微软雅黑" w:cs="微软雅黑"/>
        </w:rPr>
        <w:t>2．指标加严原则。专用标准可在门类标准基础上提高指标，但不得降低安全底线指标。确需降低的唯一例外，是经风险评估并说明适用边界的差异化设定，且须在标准中明示。</w:t>
      </w:r>
    </w:p>
    <w:p w14:paraId="6DF78CA6">
      <w:pPr>
        <w:rPr>
          <w:rFonts w:hint="eastAsia" w:ascii="微软雅黑" w:hAnsi="微软雅黑" w:eastAsia="微软雅黑" w:cs="微软雅黑"/>
        </w:rPr>
      </w:pPr>
      <w:r>
        <w:rPr>
          <w:rFonts w:hint="eastAsia" w:ascii="微软雅黑" w:hAnsi="微软雅黑" w:eastAsia="微软雅黑" w:cs="微软雅黑"/>
        </w:rPr>
        <w:t>3．层次唯一性。按 GB/T 13016-2018 的要求，同一标准不得同时列入两个子体系；同一标准化对象只在一个门类中规定。</w:t>
      </w:r>
    </w:p>
    <w:p w14:paraId="40C05557">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（二）横向衔接：三类引用关系</w:t>
      </w:r>
    </w:p>
    <w:p w14:paraId="70555D8F">
      <w:pPr>
        <w:rPr>
          <w:rFonts w:hint="eastAsia" w:ascii="微软雅黑" w:hAnsi="微软雅黑" w:eastAsia="微软雅黑" w:cs="微软雅黑"/>
        </w:rPr>
      </w:pPr>
      <w:r>
        <w:rPr>
          <w:rFonts w:hint="eastAsia" w:ascii="微软雅黑" w:hAnsi="微软雅黑" w:eastAsia="微软雅黑" w:cs="微软雅黑"/>
        </w:rPr>
        <w:t>标准之间的引用统一采用三种关系，并一律在引用映射表中登记：</w:t>
      </w:r>
    </w:p>
    <w:p w14:paraId="3297FBE2">
      <w:pPr>
        <w:rPr>
          <w:rFonts w:hint="eastAsia" w:ascii="微软雅黑" w:hAnsi="微软雅黑" w:eastAsia="微软雅黑" w:cs="微软雅黑"/>
        </w:rPr>
      </w:pPr>
      <w:r>
        <w:rPr>
          <w:rFonts w:hint="eastAsia" w:ascii="微软雅黑" w:hAnsi="微软雅黑" w:eastAsia="微软雅黑" w:cs="微软雅黑"/>
        </w:rPr>
        <w:t>1．规范性引用。被引用标准的条款构成本标准的组成部分，必须执行。适用于安全底线、术语定义、指标计算方法等。</w:t>
      </w:r>
    </w:p>
    <w:p w14:paraId="27BADBE8">
      <w:pPr>
        <w:rPr>
          <w:rFonts w:hint="eastAsia" w:ascii="微软雅黑" w:hAnsi="微软雅黑" w:eastAsia="微软雅黑" w:cs="微软雅黑"/>
        </w:rPr>
      </w:pPr>
      <w:r>
        <w:rPr>
          <w:rFonts w:hint="eastAsia" w:ascii="微软雅黑" w:hAnsi="微软雅黑" w:eastAsia="微软雅黑" w:cs="微软雅黑"/>
        </w:rPr>
        <w:t>2．资料性参考。仅作为背景或方法参考，不作为符合性判据。适用于方法学、国际对标、经验做法。</w:t>
      </w:r>
    </w:p>
    <w:p w14:paraId="7A56AAA8">
      <w:pPr>
        <w:rPr>
          <w:rFonts w:hint="eastAsia" w:ascii="微软雅黑" w:hAnsi="微软雅黑" w:eastAsia="微软雅黑" w:cs="微软雅黑"/>
        </w:rPr>
      </w:pPr>
      <w:r>
        <w:rPr>
          <w:rFonts w:hint="eastAsia" w:ascii="微软雅黑" w:hAnsi="微软雅黑" w:eastAsia="微软雅黑" w:cs="微软雅黑"/>
        </w:rPr>
        <w:t>3．裁剪或不采用。本可引用，但基于公共安全场景的特殊性决定不采用，须在标准中说明理由与替代做法。三类登记中，裁剪类的留痕最有价值：它把“为什么跟别人不一样”变成可查证的事实，事后不会被当成遗漏，同一个问题也不用反复争论。</w:t>
      </w:r>
    </w:p>
    <w:p w14:paraId="577EF3CB">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（三）三条主依赖链</w:t>
      </w:r>
    </w:p>
    <w:p w14:paraId="57CC2116">
      <w:pPr>
        <w:rPr>
          <w:rFonts w:hint="eastAsia" w:ascii="微软雅黑" w:hAnsi="微软雅黑" w:eastAsia="微软雅黑" w:cs="微软雅黑"/>
        </w:rPr>
      </w:pPr>
      <w:r>
        <w:rPr>
          <w:rFonts w:hint="eastAsia" w:ascii="微软雅黑" w:hAnsi="微软雅黑" w:eastAsia="微软雅黑" w:cs="微软雅黑"/>
        </w:rPr>
        <w:t>标准之间的依赖关系，集中体现在三条跨门类、跨层次的主链条上：</w:t>
      </w:r>
    </w:p>
    <w:p w14:paraId="202AD899">
      <w:pPr>
        <w:rPr>
          <w:rFonts w:hint="eastAsia" w:ascii="微软雅黑" w:hAnsi="微软雅黑" w:eastAsia="微软雅黑" w:cs="微软雅黑"/>
        </w:rPr>
      </w:pPr>
      <w:r>
        <w:rPr>
          <w:rFonts w:hint="eastAsia" w:ascii="微软雅黑" w:hAnsi="微软雅黑" w:eastAsia="微软雅黑" w:cs="微软雅黑"/>
        </w:rPr>
        <w:t>1．能力链：需求模型（总体）→能力分级（总体）→技术要求（技术）→测试方法（测试）→等级与结论（评价）→列装准入（管理、管控）。断链后果：有要求无方法，要求形同虚设；有测试无等级，测试结果无法用于决策。</w:t>
      </w:r>
    </w:p>
    <w:p w14:paraId="0B6845B2">
      <w:pPr>
        <w:rPr>
          <w:rFonts w:hint="eastAsia" w:ascii="微软雅黑" w:hAnsi="微软雅黑" w:eastAsia="微软雅黑" w:cs="微软雅黑"/>
        </w:rPr>
      </w:pPr>
      <w:r>
        <w:rPr>
          <w:rFonts w:hint="eastAsia" w:ascii="微软雅黑" w:hAnsi="微软雅黑" w:eastAsia="微软雅黑" w:cs="微软雅黑"/>
        </w:rPr>
        <w:t>2．数据链：分类分级（管控、安全）→采集与标注（技术）→传输、存储与共享（技术、管控）→内容标识（安全）→销毁（管理）。断链后果：数据合规要求无法落到具体环节，容易变成纸面要求。</w:t>
      </w:r>
    </w:p>
    <w:p w14:paraId="5DB365DB">
      <w:pPr>
        <w:rPr>
          <w:rFonts w:hint="eastAsia" w:ascii="微软雅黑" w:hAnsi="微软雅黑" w:eastAsia="微软雅黑" w:cs="微软雅黑"/>
        </w:rPr>
      </w:pPr>
      <w:r>
        <w:rPr>
          <w:rFonts w:hint="eastAsia" w:ascii="微软雅黑" w:hAnsi="微软雅黑" w:eastAsia="微软雅黑" w:cs="微软雅黑"/>
        </w:rPr>
        <w:t>3．权责链：行为边界（管控）→分级授权（管控）→接管与失效安全（管控、技术）→留痕留证（管控）→责任分担与归责（管控＋保险）。断链后果：一线“不敢用”，或者用了之后无法定责。</w:t>
      </w:r>
    </w:p>
    <w:p w14:paraId="774FD2D1">
      <w:pPr>
        <w:rPr>
          <w:rFonts w:hint="eastAsia" w:ascii="微软雅黑" w:hAnsi="微软雅黑" w:eastAsia="微软雅黑" w:cs="微软雅黑"/>
        </w:rPr>
      </w:pPr>
      <w:r>
        <w:rPr>
          <w:rFonts w:hint="eastAsia" w:ascii="微软雅黑" w:hAnsi="微软雅黑" w:eastAsia="微软雅黑" w:cs="微软雅黑"/>
        </w:rPr>
        <w:t>三条链都跨门类、跨层次，这就决定了体系维护要按链检查，不能只按门类检查。按门类检查，最多发现“某一类少了几项”；按链检查，才能看出“整条链断在哪里”。方法上，这一点是本方案特别想推动的。</w:t>
      </w:r>
    </w:p>
    <w:p w14:paraId="6BEBB1A8">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（四）与外部标准体系的接口</w:t>
      </w:r>
    </w:p>
    <w:p w14:paraId="7F5496A7">
      <w:pPr>
        <w:rPr>
          <w:rFonts w:hint="eastAsia" w:ascii="微软雅黑" w:hAnsi="微软雅黑" w:eastAsia="微软雅黑" w:cs="微软雅黑"/>
        </w:rPr>
      </w:pPr>
      <w:r>
        <w:rPr>
          <w:rFonts w:hint="eastAsia" w:ascii="微软雅黑" w:hAnsi="微软雅黑" w:eastAsia="微软雅黑" w:cs="微软雅黑"/>
        </w:rPr>
        <w:t>本体系不是孤立体系，须与四类外部体系建立接口，并在体系表中设“相关标准”专栏。GB/T 13016-2018 已明确“相关标准”的概念，指与本体系关系密切、需直接采用的其他体系内的标准。</w:t>
      </w:r>
    </w:p>
    <w:p w14:paraId="291EBEBD">
      <w:pPr>
        <w:rPr>
          <w:rFonts w:hint="eastAsia" w:ascii="微软雅黑" w:hAnsi="微软雅黑" w:eastAsia="微软雅黑" w:cs="微软雅黑"/>
        </w:rPr>
      </w:pPr>
      <w:r>
        <w:rPr>
          <w:rFonts w:hint="eastAsia" w:ascii="微软雅黑" w:hAnsi="微软雅黑" w:eastAsia="微软雅黑" w:cs="微软雅黑"/>
        </w:rPr>
        <w:t>1．警用装备标准体系。全国警用装备标准化技术委员会（SAC/TC561）归口范围已涵盖警用无人机和机器人，本体系与其按“谁归口、谁制定、其余引用”处理分工。</w:t>
      </w:r>
    </w:p>
    <w:p w14:paraId="14971431">
      <w:pPr>
        <w:rPr>
          <w:rFonts w:hint="eastAsia" w:ascii="微软雅黑" w:hAnsi="微软雅黑" w:eastAsia="微软雅黑" w:cs="微软雅黑"/>
        </w:rPr>
      </w:pPr>
      <w:r>
        <w:rPr>
          <w:rFonts w:hint="eastAsia" w:ascii="微软雅黑" w:hAnsi="微软雅黑" w:eastAsia="微软雅黑" w:cs="微软雅黑"/>
        </w:rPr>
        <w:t>2．安全防范与公共安全管理标准体系。SAC/TC100（视频监控、防爆安检、生物特征识别）、SAC/TC577（爆炸物品与排爆作业）、公安部信标委（指挥信息系统与数据接口）。</w:t>
      </w:r>
    </w:p>
    <w:p w14:paraId="2D28831F">
      <w:pPr>
        <w:rPr>
          <w:rFonts w:hint="eastAsia" w:ascii="微软雅黑" w:hAnsi="微软雅黑" w:eastAsia="微软雅黑" w:cs="微软雅黑"/>
        </w:rPr>
      </w:pPr>
      <w:r>
        <w:rPr>
          <w:rFonts w:hint="eastAsia" w:ascii="微软雅黑" w:hAnsi="微软雅黑" w:eastAsia="微软雅黑" w:cs="微软雅黑"/>
        </w:rPr>
        <w:t>3．机器人与人工智能产业标准体系。SAC/TC591（机器人，对口 ISO/TC299）、工业和信息化部人形机器人与具身智能标准化技术委员会。本体系与《人形机器人与具身智能标准体系（2026版）》的六个部分（基础共性、类脑与智算、肢体与部组件、整机与系统、应用、安全伦理）建立对应映射：产业侧标准承接“产品怎么做”，本体系承接“公共安全场景怎么用、怎么管、怎么验”。</w:t>
      </w:r>
    </w:p>
    <w:p w14:paraId="4C026451">
      <w:pPr>
        <w:rPr>
          <w:rFonts w:hint="eastAsia" w:ascii="微软雅黑" w:hAnsi="微软雅黑" w:eastAsia="微软雅黑" w:cs="微软雅黑"/>
        </w:rPr>
      </w:pPr>
      <w:r>
        <w:rPr>
          <w:rFonts w:hint="eastAsia" w:ascii="微软雅黑" w:hAnsi="微软雅黑" w:eastAsia="微软雅黑" w:cs="微软雅黑"/>
        </w:rPr>
        <w:t>4．国际标准。ISO/TC299、ISO 10218 系列（工业机器人安全）、ISO/IEC 42001（人工智能管理体系）、IEC 62443 系列（工业与物联网信息安全）、ISO 31000（风险管理），用于国际对标与标准国际化路径设计。</w:t>
      </w:r>
    </w:p>
    <w:p w14:paraId="0516BCEF">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（五）交叉与冲突的处理规则</w:t>
      </w:r>
    </w:p>
    <w:p w14:paraId="65CC2165">
      <w:pPr>
        <w:rPr>
          <w:rFonts w:hint="eastAsia" w:ascii="微软雅黑" w:hAnsi="微软雅黑" w:eastAsia="微软雅黑" w:cs="微软雅黑"/>
        </w:rPr>
      </w:pPr>
      <w:r>
        <w:rPr>
          <w:rFonts w:hint="eastAsia" w:ascii="微软雅黑" w:hAnsi="微软雅黑" w:eastAsia="微软雅黑" w:cs="微软雅黑"/>
        </w:rPr>
        <w:t>1．归口优先。同一事项存在多个归口机构时，按“谁归口、谁制定、其余引用”处理，不重复制定。</w:t>
      </w:r>
    </w:p>
    <w:p w14:paraId="09748A1F">
      <w:pPr>
        <w:rPr>
          <w:rFonts w:hint="eastAsia" w:ascii="微软雅黑" w:hAnsi="微软雅黑" w:eastAsia="微软雅黑" w:cs="微软雅黑"/>
        </w:rPr>
      </w:pPr>
      <w:r>
        <w:rPr>
          <w:rFonts w:hint="eastAsia" w:ascii="微软雅黑" w:hAnsi="微软雅黑" w:eastAsia="微软雅黑" w:cs="微软雅黑"/>
        </w:rPr>
        <w:t>2．加严不停用。警用要求严于民用要求时，不否定民用标准，而是在专用标准中加严并说明理由。</w:t>
      </w:r>
    </w:p>
    <w:p w14:paraId="6D3E0EE9">
      <w:pPr>
        <w:rPr>
          <w:rFonts w:hint="eastAsia" w:ascii="微软雅黑" w:hAnsi="微软雅黑" w:eastAsia="微软雅黑" w:cs="微软雅黑"/>
        </w:rPr>
      </w:pPr>
      <w:r>
        <w:rPr>
          <w:rFonts w:hint="eastAsia" w:ascii="微软雅黑" w:hAnsi="微软雅黑" w:eastAsia="微软雅黑" w:cs="微软雅黑"/>
        </w:rPr>
        <w:t>3．同名不同义必须消歧。同一术语在不同体系含义不同时，须在术语标准中显式标注适用域。</w:t>
      </w:r>
    </w:p>
    <w:p w14:paraId="74F4F77A">
      <w:pPr>
        <w:rPr>
          <w:rFonts w:hint="eastAsia" w:ascii="微软雅黑" w:hAnsi="微软雅黑" w:eastAsia="微软雅黑" w:cs="微软雅黑"/>
        </w:rPr>
      </w:pPr>
      <w:r>
        <w:rPr>
          <w:rFonts w:hint="eastAsia" w:ascii="微软雅黑" w:hAnsi="微软雅黑" w:eastAsia="微软雅黑" w:cs="微软雅黑"/>
        </w:rPr>
        <w:t>4．冲突上报。发现强制性标准之间冲突，按《标准化法》规定的程序上报协调，不得由起草单位自行取舍；协调结论须记入引用映射表。</w:t>
      </w:r>
    </w:p>
    <w:p w14:paraId="16C50C6F">
      <w:pPr>
        <w:rPr>
          <w:rFonts w:hint="eastAsia" w:ascii="微软雅黑" w:hAnsi="微软雅黑" w:eastAsia="微软雅黑" w:cs="微软雅黑"/>
        </w:rPr>
      </w:pPr>
      <w:r>
        <w:rPr>
          <w:rFonts w:hint="eastAsia" w:ascii="微软雅黑" w:hAnsi="微软雅黑" w:eastAsia="微软雅黑" w:cs="微软雅黑"/>
        </w:rPr>
        <w:t>5．对在研标准保持跟踪。对处于征求意见、报批等阶段的在研标准，在引用映射表中标注状态与预计发布时间，避免引用“将变未变”的条款。</w:t>
      </w:r>
    </w:p>
    <w:p w14:paraId="51B86535">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五、确保体系完整性与一致性的组织方式</w:t>
      </w:r>
    </w:p>
    <w:p w14:paraId="5533C4D3">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（一）组织架构与职责分工</w:t>
      </w:r>
    </w:p>
    <w:p w14:paraId="1CC82E3D">
      <w:pPr>
        <w:rPr>
          <w:rFonts w:hint="eastAsia" w:ascii="微软雅黑" w:hAnsi="微软雅黑" w:eastAsia="微软雅黑" w:cs="微软雅黑"/>
        </w:rPr>
      </w:pPr>
      <w:r>
        <w:rPr>
          <w:rFonts w:hint="eastAsia" w:ascii="微软雅黑" w:hAnsi="微软雅黑" w:eastAsia="微软雅黑" w:cs="微软雅黑"/>
        </w:rPr>
        <w:t>1．归口与牵头。建议由公安部科技信息化部门牵头，SAC/TC561 归口本体系标准的制修订。</w:t>
      </w:r>
    </w:p>
    <w:p w14:paraId="3681A456">
      <w:pPr>
        <w:rPr>
          <w:rFonts w:hint="eastAsia" w:ascii="微软雅黑" w:hAnsi="微软雅黑" w:eastAsia="微软雅黑" w:cs="微软雅黑"/>
        </w:rPr>
      </w:pPr>
      <w:r>
        <w:rPr>
          <w:rFonts w:hint="eastAsia" w:ascii="微软雅黑" w:hAnsi="微软雅黑" w:eastAsia="微软雅黑" w:cs="微软雅黑"/>
        </w:rPr>
        <w:t>2．标准化工作组。组建公共安全具身智能机器人标准化工作组，下设总体、基础、技术、管控、管理、测试评价六个分组，与六个门类一一对应，保证每个门类都有明确的责任分组，不出现“无人负责的门类”。</w:t>
      </w:r>
    </w:p>
    <w:p w14:paraId="141FB45C">
      <w:pPr>
        <w:rPr>
          <w:rFonts w:hint="eastAsia" w:ascii="微软雅黑" w:hAnsi="微软雅黑" w:eastAsia="微软雅黑" w:cs="微软雅黑"/>
        </w:rPr>
      </w:pPr>
      <w:r>
        <w:rPr>
          <w:rFonts w:hint="eastAsia" w:ascii="微软雅黑" w:hAnsi="微软雅黑" w:eastAsia="微软雅黑" w:cs="微软雅黑"/>
        </w:rPr>
        <w:t>3．双组长制。重要标准实行技术组长与业务组长双组长制：技术组长负责技术正确性，业务组长负责场景适用性与管控合规性。</w:t>
      </w:r>
    </w:p>
    <w:p w14:paraId="02BA5FEC">
      <w:pPr>
        <w:rPr>
          <w:rFonts w:hint="eastAsia" w:ascii="微软雅黑" w:hAnsi="微软雅黑" w:eastAsia="微软雅黑" w:cs="微软雅黑"/>
        </w:rPr>
      </w:pPr>
      <w:r>
        <w:rPr>
          <w:rFonts w:hint="eastAsia" w:ascii="微软雅黑" w:hAnsi="微软雅黑" w:eastAsia="微软雅黑" w:cs="微软雅黑"/>
        </w:rPr>
        <w:t>4．部际协调。建立公共安全智能装备部际协调机制并实行年度会商，下设标准、试点、检测认证、数据安全四个专项组，明确成员单位、联络员与响应时限。</w:t>
      </w:r>
    </w:p>
    <w:p w14:paraId="7DE555D5">
      <w:pPr>
        <w:rPr>
          <w:rFonts w:hint="eastAsia" w:ascii="微软雅黑" w:hAnsi="微软雅黑" w:eastAsia="微软雅黑" w:cs="微软雅黑"/>
        </w:rPr>
      </w:pPr>
      <w:r>
        <w:rPr>
          <w:rFonts w:hint="eastAsia" w:ascii="微软雅黑" w:hAnsi="微软雅黑" w:eastAsia="微软雅黑" w:cs="微软雅黑"/>
        </w:rPr>
        <w:t>5．委员结构。为保障公共安全的公共利益属性，管理与使用部门、科研院所及检测机构委员占比不宜低于 50%，企业委员占比予以适度安排。</w:t>
      </w:r>
    </w:p>
    <w:p w14:paraId="5D942703">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（二）四项一致性维护机制</w:t>
      </w:r>
    </w:p>
    <w:p w14:paraId="41ED3345">
      <w:pPr>
        <w:rPr>
          <w:rFonts w:hint="eastAsia" w:ascii="微软雅黑" w:hAnsi="微软雅黑" w:eastAsia="微软雅黑" w:cs="微软雅黑"/>
        </w:rPr>
      </w:pPr>
      <w:r>
        <w:rPr>
          <w:rFonts w:hint="eastAsia" w:ascii="微软雅黑" w:hAnsi="微软雅黑" w:eastAsia="微软雅黑" w:cs="微软雅黑"/>
        </w:rPr>
        <w:t>1．体系表动态维护。体系表实行年度修订，同步发布《标准缺口清单》，明确缺口、责任单位与拟立项时间，接受社会监督与提案。</w:t>
      </w:r>
    </w:p>
    <w:p w14:paraId="6F4DD464">
      <w:pPr>
        <w:rPr>
          <w:rFonts w:hint="eastAsia" w:ascii="微软雅黑" w:hAnsi="微软雅黑" w:eastAsia="微软雅黑" w:cs="微软雅黑"/>
        </w:rPr>
      </w:pPr>
      <w:r>
        <w:rPr>
          <w:rFonts w:hint="eastAsia" w:ascii="微软雅黑" w:hAnsi="微软雅黑" w:eastAsia="微软雅黑" w:cs="微软雅黑"/>
        </w:rPr>
        <w:t>2．引用映射表。对每一处对外引用，登记“引用对象、引用方式、引用条款范围、适用边界说明”，作为下一次修订时的比对基线。这是防止体系在多次修订后出现“隐性冲突”最有效的办法。</w:t>
      </w:r>
    </w:p>
    <w:p w14:paraId="695DA088">
      <w:pPr>
        <w:rPr>
          <w:rFonts w:hint="eastAsia" w:ascii="微软雅黑" w:hAnsi="微软雅黑" w:eastAsia="微软雅黑" w:cs="微软雅黑"/>
        </w:rPr>
      </w:pPr>
      <w:r>
        <w:rPr>
          <w:rFonts w:hint="eastAsia" w:ascii="微软雅黑" w:hAnsi="微软雅黑" w:eastAsia="微软雅黑" w:cs="微软雅黑"/>
        </w:rPr>
        <w:t>3．术语一致性校验。任何标准报批前，须完成与总体标准术语的一致性校验并提交校验记录；不得出现未经总体标准定义的领域专有术语。</w:t>
      </w:r>
    </w:p>
    <w:p w14:paraId="06DC9BA1">
      <w:pPr>
        <w:rPr>
          <w:rFonts w:hint="eastAsia" w:ascii="微软雅黑" w:hAnsi="微软雅黑" w:eastAsia="微软雅黑" w:cs="微软雅黑"/>
        </w:rPr>
      </w:pPr>
      <w:r>
        <w:rPr>
          <w:rFonts w:hint="eastAsia" w:ascii="微软雅黑" w:hAnsi="微软雅黑" w:eastAsia="微软雅黑" w:cs="微软雅黑"/>
        </w:rPr>
        <w:t>4．要求—方法配对校验。标准报批前核对“凡提出的要求，是否都有可复现的试验方法或检查规则”。未配对的不得报批，或降格为指导性技术文件。这条机制是把“成套性”从口号变成硬约束的关键。</w:t>
      </w:r>
    </w:p>
    <w:p w14:paraId="5CEAB3B2">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（三）完整性校验方法</w:t>
      </w:r>
    </w:p>
    <w:p w14:paraId="074ABB0B">
      <w:pPr>
        <w:rPr>
          <w:rFonts w:hint="eastAsia" w:ascii="微软雅黑" w:hAnsi="微软雅黑" w:eastAsia="微软雅黑" w:cs="微软雅黑"/>
        </w:rPr>
      </w:pPr>
      <w:r>
        <w:rPr>
          <w:rFonts w:hint="eastAsia" w:ascii="微软雅黑" w:hAnsi="微软雅黑" w:eastAsia="微软雅黑" w:cs="微软雅黑"/>
        </w:rPr>
        <w:t>1．三维覆盖度检查。按对象维度、过程维度、场景维度制作覆盖矩阵，逐格标注“已覆盖／在研／缺口”，每年更新一次。</w:t>
      </w:r>
    </w:p>
    <w:p w14:paraId="2A330ADE">
      <w:pPr>
        <w:rPr>
          <w:rFonts w:hint="eastAsia" w:ascii="微软雅黑" w:hAnsi="微软雅黑" w:eastAsia="微软雅黑" w:cs="微软雅黑"/>
        </w:rPr>
      </w:pPr>
      <w:r>
        <w:rPr>
          <w:rFonts w:hint="eastAsia" w:ascii="微软雅黑" w:hAnsi="微软雅黑" w:eastAsia="微软雅黑" w:cs="微软雅黑"/>
        </w:rPr>
        <w:t>2．依赖链断点检查。对三条主依赖链逐环节检查是否存在标准空位，重点看“跨门类接口处”。从以往体系建设的情况看，断链多数发生在两个门类的交界上，很少出在某一门类的内部。</w:t>
      </w:r>
    </w:p>
    <w:p w14:paraId="0377533D">
      <w:pPr>
        <w:rPr>
          <w:rFonts w:hint="eastAsia" w:ascii="微软雅黑" w:hAnsi="微软雅黑" w:eastAsia="微软雅黑" w:cs="微软雅黑"/>
        </w:rPr>
      </w:pPr>
      <w:r>
        <w:rPr>
          <w:rFonts w:hint="eastAsia" w:ascii="微软雅黑" w:hAnsi="微软雅黑" w:eastAsia="微软雅黑" w:cs="微软雅黑"/>
        </w:rPr>
        <w:t>3．要求方法配对率统计。以“已配对要求数／要求总数”作为体系健康度指标，逐年公开，目标值不低于 95%。</w:t>
      </w:r>
    </w:p>
    <w:p w14:paraId="7DA4AF5D">
      <w:pPr>
        <w:rPr>
          <w:rFonts w:hint="eastAsia" w:ascii="微软雅黑" w:hAnsi="微软雅黑" w:eastAsia="微软雅黑" w:cs="微软雅黑"/>
        </w:rPr>
      </w:pPr>
      <w:r>
        <w:rPr>
          <w:rFonts w:hint="eastAsia" w:ascii="微软雅黑" w:hAnsi="微软雅黑" w:eastAsia="微软雅黑" w:cs="微软雅黑"/>
        </w:rPr>
        <w:t>4．外部接口比对。每年核对一次与 SAC/TC561、SAC/TC100、SAC/TC577、SAC/TC591、工业和信息化部人形机器人与具身智能标准化技术委员会及国际标准的最新版本，更新引用映射表，防止引用过时条款。</w:t>
      </w:r>
    </w:p>
    <w:p w14:paraId="0F09ECAE">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（四）研制与落地闭环</w:t>
      </w:r>
    </w:p>
    <w:p w14:paraId="672EC586">
      <w:pPr>
        <w:rPr>
          <w:rFonts w:hint="eastAsia" w:ascii="微软雅黑" w:hAnsi="微软雅黑" w:eastAsia="微软雅黑" w:cs="微软雅黑"/>
        </w:rPr>
      </w:pPr>
      <w:r>
        <w:rPr>
          <w:rFonts w:hint="eastAsia" w:ascii="微软雅黑" w:hAnsi="微软雅黑" w:eastAsia="微软雅黑" w:cs="微软雅黑"/>
        </w:rPr>
        <w:t>建立“标准研制—试点验证—检测认证—列装采购—反馈修订”的闭环：</w:t>
      </w:r>
    </w:p>
    <w:p w14:paraId="729E3DE4">
      <w:pPr>
        <w:rPr>
          <w:rFonts w:hint="eastAsia" w:ascii="微软雅黑" w:hAnsi="微软雅黑" w:eastAsia="微软雅黑" w:cs="微软雅黑"/>
        </w:rPr>
      </w:pPr>
      <w:r>
        <w:rPr>
          <w:rFonts w:hint="eastAsia" w:ascii="微软雅黑" w:hAnsi="微软雅黑" w:eastAsia="微软雅黑" w:cs="微软雅黑"/>
        </w:rPr>
        <w:t>1．标准立项时同步明确检测能力建设方案（检测机构、设备、人员、经费来源与能力验证周期），防止“有标准、无检测”。</w:t>
      </w:r>
    </w:p>
    <w:p w14:paraId="5FE0D114">
      <w:pPr>
        <w:rPr>
          <w:rFonts w:hint="eastAsia" w:ascii="微软雅黑" w:hAnsi="微软雅黑" w:eastAsia="微软雅黑" w:cs="微软雅黑"/>
        </w:rPr>
      </w:pPr>
      <w:r>
        <w:rPr>
          <w:rFonts w:hint="eastAsia" w:ascii="微软雅黑" w:hAnsi="微软雅黑" w:eastAsia="微软雅黑" w:cs="微软雅黑"/>
        </w:rPr>
        <w:t>2．每个急用标准配置 1 个试点验证单位，以实战数据校核指标阈值，试点数据反哺标准修订。</w:t>
      </w:r>
    </w:p>
    <w:p w14:paraId="21AF82C5">
      <w:pPr>
        <w:rPr>
          <w:rFonts w:hint="eastAsia" w:ascii="微软雅黑" w:hAnsi="微软雅黑" w:eastAsia="微软雅黑" w:cs="微软雅黑"/>
        </w:rPr>
      </w:pPr>
      <w:r>
        <w:rPr>
          <w:rFonts w:hint="eastAsia" w:ascii="微软雅黑" w:hAnsi="微软雅黑" w:eastAsia="微软雅黑" w:cs="微软雅黑"/>
        </w:rPr>
        <w:t>3．成熟标准直接对接装备列装目录与采购技术需求书；《标准符合性目录》与标准发布同步更新。</w:t>
      </w:r>
    </w:p>
    <w:p w14:paraId="6BBC00FB">
      <w:pPr>
        <w:rPr>
          <w:rFonts w:hint="eastAsia" w:ascii="微软雅黑" w:hAnsi="微软雅黑" w:eastAsia="微软雅黑" w:cs="微软雅黑"/>
        </w:rPr>
      </w:pPr>
      <w:r>
        <w:rPr>
          <w:rFonts w:hint="eastAsia" w:ascii="微软雅黑" w:hAnsi="微软雅黑" w:eastAsia="微软雅黑" w:cs="微软雅黑"/>
        </w:rPr>
        <w:t>4．对快速迭代对象采用双轨制：框架标准保持稳定，技术规范以指导性技术文件形式快速发布（建议 6 个月内），并明确其效力与过渡安排。</w:t>
      </w:r>
    </w:p>
    <w:p w14:paraId="3A59B6CA">
      <w:pPr>
        <w:rPr>
          <w:rFonts w:hint="eastAsia" w:ascii="微软雅黑" w:hAnsi="微软雅黑" w:eastAsia="微软雅黑" w:cs="微软雅黑"/>
        </w:rPr>
      </w:pPr>
      <w:r>
        <w:rPr>
          <w:rFonts w:hint="eastAsia" w:ascii="微软雅黑" w:hAnsi="微软雅黑" w:eastAsia="微软雅黑" w:cs="微软雅黑"/>
        </w:rPr>
        <w:t>5．无标准窗口期设合规路径：建立沙盒／试点豁免机制，允许在满足安全底线项前提下按“一事一议”备案试用未定型装备，实测数据作为指标阈值修订依据，并设强制退出触发条件。</w:t>
      </w:r>
    </w:p>
    <w:p w14:paraId="43F1421C">
      <w:pPr>
        <w:keepNext w:val="1"/>
        <w:keepLines w:val="1"/>
        <w:spacing w:before="100" w:beforeAutospacing="1" w:after="100" w:afterAutospacing="1"/>
        <w:outlineLvl w:val="2"/>
        <w:rPr>
          <w:rFonts w:hint="eastAsia" w:ascii="微软雅黑" w:hAnsi="微软雅黑" w:eastAsia="微软雅黑" w:cs="微软雅黑"/>
          <w:sz w:val="32"/>
          <w:szCs w:val="32"/>
        </w:rPr>
      </w:pPr>
      <w:r>
        <w:rPr>
          <w:rFonts w:hint="eastAsia" w:ascii="微软雅黑" w:hAnsi="微软雅黑" w:eastAsia="微软雅黑" w:cs="微软雅黑"/>
          <w:b w:val="1"/>
          <w:sz w:val="32"/>
        </w:rPr>
        <w:t>（五）三阶段推进安排</w:t>
      </w:r>
    </w:p>
    <w:tbl>
      <w:tblPr>
        <w:tblStyle w:val="00000d"/>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00"/>
        <w:gridCol w:w="1300"/>
        <w:gridCol w:w="3100"/>
        <w:gridCol w:w="3000"/>
      </w:tblGrid>
      <w:tr>
        <w:trPr>
          <w:tblHeader w:val="1"/>
        </w:trPr>
        <w:tc>
          <w:tcPr>
            <w:tcW w:w="1100" w:type="dxa"/>
            <w:shd w:val="clear" w:color="auto" w:fill="95B3D7" w:themeFill="accent1" w:themeFillTint="99"/>
          </w:tcPr>
          <w:p w14:paraId="5FE0126D">
            <w:pPr>
              <w:jc w:val="center"/>
              <w:rPr>
                <w:rFonts w:hint="eastAsia" w:ascii="微软雅黑" w:hAnsi="微软雅黑" w:eastAsia="微软雅黑" w:cs="微软雅黑"/>
                <w:b w:val="1"/>
                <w:bCs w:val="1"/>
              </w:rPr>
            </w:pPr>
            <w:r>
              <w:rPr>
                <w:rFonts w:hint="eastAsia" w:ascii="微软雅黑" w:hAnsi="微软雅黑" w:eastAsia="微软雅黑" w:cs="微软雅黑"/>
                <w:b w:val="1"/>
              </w:rPr>
              <w:t>阶段</w:t>
            </w:r>
          </w:p>
        </w:tc>
        <w:tc>
          <w:tcPr>
            <w:tcW w:w="1300" w:type="dxa"/>
            <w:shd w:val="clear" w:color="auto" w:fill="95B3D7" w:themeFill="accent1" w:themeFillTint="99"/>
          </w:tcPr>
          <w:p w14:paraId="62876E7B">
            <w:pPr>
              <w:jc w:val="center"/>
              <w:rPr>
                <w:rFonts w:hint="eastAsia" w:ascii="微软雅黑" w:hAnsi="微软雅黑" w:eastAsia="微软雅黑" w:cs="微软雅黑"/>
                <w:b w:val="1"/>
                <w:bCs w:val="1"/>
              </w:rPr>
            </w:pPr>
            <w:r>
              <w:rPr>
                <w:rFonts w:hint="eastAsia" w:ascii="微软雅黑" w:hAnsi="微软雅黑" w:eastAsia="微软雅黑" w:cs="微软雅黑"/>
                <w:b w:val="1"/>
              </w:rPr>
              <w:t>时间</w:t>
            </w:r>
          </w:p>
        </w:tc>
        <w:tc>
          <w:tcPr>
            <w:tcW w:w="3100" w:type="dxa"/>
            <w:shd w:val="clear" w:color="auto" w:fill="95B3D7" w:themeFill="accent1" w:themeFillTint="99"/>
          </w:tcPr>
          <w:p w14:paraId="4E31E3BF">
            <w:pPr>
              <w:jc w:val="center"/>
              <w:rPr>
                <w:rFonts w:hint="eastAsia" w:ascii="微软雅黑" w:hAnsi="微软雅黑" w:eastAsia="微软雅黑" w:cs="微软雅黑"/>
                <w:b w:val="1"/>
                <w:bCs w:val="1"/>
              </w:rPr>
            </w:pPr>
            <w:r>
              <w:rPr>
                <w:rFonts w:hint="eastAsia" w:ascii="微软雅黑" w:hAnsi="微软雅黑" w:eastAsia="微软雅黑" w:cs="微软雅黑"/>
                <w:b w:val="1"/>
              </w:rPr>
              <w:t>重点任务</w:t>
            </w:r>
          </w:p>
        </w:tc>
        <w:tc>
          <w:tcPr>
            <w:tcW w:w="3000" w:type="dxa"/>
            <w:shd w:val="clear" w:color="auto" w:fill="95B3D7" w:themeFill="accent1" w:themeFillTint="99"/>
          </w:tcPr>
          <w:p w14:paraId="7E30E086">
            <w:pPr>
              <w:jc w:val="center"/>
              <w:rPr>
                <w:rFonts w:hint="eastAsia" w:ascii="微软雅黑" w:hAnsi="微软雅黑" w:eastAsia="微软雅黑" w:cs="微软雅黑"/>
                <w:b w:val="1"/>
                <w:bCs w:val="1"/>
              </w:rPr>
            </w:pPr>
            <w:r>
              <w:rPr>
                <w:rFonts w:hint="eastAsia" w:ascii="微软雅黑" w:hAnsi="微软雅黑" w:eastAsia="微软雅黑" w:cs="微软雅黑"/>
                <w:b w:val="1"/>
              </w:rPr>
              <w:t>标志性成果</w:t>
            </w:r>
          </w:p>
        </w:tc>
      </w:tr>
      <w:tr>
        <w:trPr/>
        <w:tc>
          <w:tcPr>
            <w:tcW w:w="1100" w:type="dxa"/>
          </w:tcPr>
          <w:p w14:paraId="6A7AD5B8">
            <w:pPr>
              <w:jc w:val="center"/>
              <w:rPr>
                <w:rFonts w:hint="eastAsia" w:ascii="微软雅黑" w:hAnsi="微软雅黑" w:eastAsia="微软雅黑" w:cs="微软雅黑"/>
              </w:rPr>
            </w:pPr>
            <w:r>
              <w:rPr>
                <w:rFonts w:hint="eastAsia" w:ascii="微软雅黑" w:hAnsi="微软雅黑" w:eastAsia="微软雅黑" w:cs="微软雅黑"/>
              </w:rPr>
              <w:t>第一阶段</w:t>
            </w:r>
          </w:p>
        </w:tc>
        <w:tc>
          <w:tcPr>
            <w:tcW w:w="1300" w:type="dxa"/>
          </w:tcPr>
          <w:p w14:paraId="2031137F">
            <w:pPr>
              <w:rPr>
                <w:rFonts w:hint="eastAsia" w:ascii="微软雅黑" w:hAnsi="微软雅黑" w:eastAsia="微软雅黑" w:cs="微软雅黑"/>
              </w:rPr>
            </w:pPr>
            <w:r>
              <w:rPr>
                <w:rFonts w:hint="eastAsia" w:ascii="微软雅黑" w:hAnsi="微软雅黑" w:eastAsia="微软雅黑" w:cs="微软雅黑"/>
              </w:rPr>
              <w:t>2026—2027年</w:t>
            </w:r>
          </w:p>
        </w:tc>
        <w:tc>
          <w:tcPr>
            <w:tcW w:w="3100" w:type="dxa"/>
          </w:tcPr>
          <w:p w14:paraId="6474E7AE">
            <w:pPr>
              <w:rPr>
                <w:rFonts w:hint="eastAsia" w:ascii="微软雅黑" w:hAnsi="微软雅黑" w:eastAsia="微软雅黑" w:cs="微软雅黑"/>
              </w:rPr>
            </w:pPr>
            <w:r>
              <w:rPr>
                <w:rFonts w:hint="eastAsia" w:ascii="微软雅黑" w:hAnsi="微软雅黑" w:eastAsia="微软雅黑" w:cs="微软雅黑"/>
              </w:rPr>
              <w:t>建成总体层与基础层，发布安全总则，完成 3 个急用场景的技术与测试标准</w:t>
            </w:r>
          </w:p>
        </w:tc>
        <w:tc>
          <w:tcPr>
            <w:tcW w:w="3000" w:type="dxa"/>
          </w:tcPr>
          <w:p w14:paraId="1E8A74F3">
            <w:pPr>
              <w:rPr>
                <w:rFonts w:hint="eastAsia" w:ascii="微软雅黑" w:hAnsi="微软雅黑" w:eastAsia="微软雅黑" w:cs="微软雅黑"/>
              </w:rPr>
            </w:pPr>
            <w:r>
              <w:rPr>
                <w:rFonts w:hint="eastAsia" w:ascii="微软雅黑" w:hAnsi="微软雅黑" w:eastAsia="微软雅黑" w:cs="微软雅黑"/>
              </w:rPr>
              <w:t>体系表、术语与定义、能力与风险分级方法，以及 3 个急用场景标准</w:t>
            </w:r>
          </w:p>
        </w:tc>
      </w:tr>
      <w:tr>
        <w:trPr/>
        <w:tc>
          <w:tcPr>
            <w:tcW w:w="1100" w:type="dxa"/>
          </w:tcPr>
          <w:p w14:paraId="55D933F9">
            <w:pPr>
              <w:jc w:val="center"/>
              <w:rPr>
                <w:rFonts w:hint="eastAsia" w:ascii="微软雅黑" w:hAnsi="微软雅黑" w:eastAsia="微软雅黑" w:cs="微软雅黑"/>
              </w:rPr>
            </w:pPr>
            <w:r>
              <w:rPr>
                <w:rFonts w:hint="eastAsia" w:ascii="微软雅黑" w:hAnsi="微软雅黑" w:eastAsia="微软雅黑" w:cs="微软雅黑"/>
              </w:rPr>
              <w:t>第二阶段</w:t>
            </w:r>
          </w:p>
        </w:tc>
        <w:tc>
          <w:tcPr>
            <w:tcW w:w="1300" w:type="dxa"/>
          </w:tcPr>
          <w:p w14:paraId="0314CD3D">
            <w:pPr>
              <w:rPr>
                <w:rFonts w:hint="eastAsia" w:ascii="微软雅黑" w:hAnsi="微软雅黑" w:eastAsia="微软雅黑" w:cs="微软雅黑"/>
              </w:rPr>
            </w:pPr>
            <w:r>
              <w:rPr>
                <w:rFonts w:hint="eastAsia" w:ascii="微软雅黑" w:hAnsi="微软雅黑" w:eastAsia="微软雅黑" w:cs="微软雅黑"/>
              </w:rPr>
              <w:t>2027—2029年</w:t>
            </w:r>
          </w:p>
        </w:tc>
        <w:tc>
          <w:tcPr>
            <w:tcW w:w="3100" w:type="dxa"/>
          </w:tcPr>
          <w:p w14:paraId="7CB65A9A">
            <w:pPr>
              <w:rPr>
                <w:rFonts w:hint="eastAsia" w:ascii="微软雅黑" w:hAnsi="微软雅黑" w:eastAsia="微软雅黑" w:cs="微软雅黑"/>
              </w:rPr>
            </w:pPr>
            <w:r>
              <w:rPr>
                <w:rFonts w:hint="eastAsia" w:ascii="微软雅黑" w:hAnsi="微软雅黑" w:eastAsia="微软雅黑" w:cs="微软雅黑"/>
              </w:rPr>
              <w:t>补齐六门类通用要求与配套试验方法，启动管控类标准与部门规章配套</w:t>
            </w:r>
          </w:p>
        </w:tc>
        <w:tc>
          <w:tcPr>
            <w:tcW w:w="3000" w:type="dxa"/>
          </w:tcPr>
          <w:p w14:paraId="7D8E7E7A">
            <w:pPr>
              <w:rPr>
                <w:rFonts w:hint="eastAsia" w:ascii="微软雅黑" w:hAnsi="微软雅黑" w:eastAsia="微软雅黑" w:cs="微软雅黑"/>
              </w:rPr>
            </w:pPr>
            <w:r>
              <w:rPr>
                <w:rFonts w:hint="eastAsia" w:ascii="微软雅黑" w:hAnsi="微软雅黑" w:eastAsia="微软雅黑" w:cs="微软雅黑"/>
              </w:rPr>
              <w:t>六门类通用标准全覆盖，要求—方法配对率不低于 90%</w:t>
            </w:r>
          </w:p>
        </w:tc>
      </w:tr>
      <w:tr>
        <w:trPr/>
        <w:tc>
          <w:tcPr>
            <w:tcW w:w="1100" w:type="dxa"/>
          </w:tcPr>
          <w:p w14:paraId="6F00F085">
            <w:pPr>
              <w:jc w:val="center"/>
              <w:rPr>
                <w:rFonts w:hint="eastAsia" w:ascii="微软雅黑" w:hAnsi="微软雅黑" w:eastAsia="微软雅黑" w:cs="微软雅黑"/>
              </w:rPr>
            </w:pPr>
            <w:r>
              <w:rPr>
                <w:rFonts w:hint="eastAsia" w:ascii="微软雅黑" w:hAnsi="微软雅黑" w:eastAsia="微软雅黑" w:cs="微软雅黑"/>
              </w:rPr>
              <w:t>第三阶段</w:t>
            </w:r>
          </w:p>
        </w:tc>
        <w:tc>
          <w:tcPr>
            <w:tcW w:w="1300" w:type="dxa"/>
          </w:tcPr>
          <w:p w14:paraId="595807EB">
            <w:pPr>
              <w:rPr>
                <w:rFonts w:hint="eastAsia" w:ascii="微软雅黑" w:hAnsi="微软雅黑" w:eastAsia="微软雅黑" w:cs="微软雅黑"/>
              </w:rPr>
            </w:pPr>
            <w:r>
              <w:rPr>
                <w:rFonts w:hint="eastAsia" w:ascii="微软雅黑" w:hAnsi="微软雅黑" w:eastAsia="微软雅黑" w:cs="微软雅黑"/>
              </w:rPr>
              <w:t>2029—2031年</w:t>
            </w:r>
          </w:p>
        </w:tc>
        <w:tc>
          <w:tcPr>
            <w:tcW w:w="3100" w:type="dxa"/>
          </w:tcPr>
          <w:p w14:paraId="08666AC7">
            <w:pPr>
              <w:rPr>
                <w:rFonts w:hint="eastAsia" w:ascii="微软雅黑" w:hAnsi="微软雅黑" w:eastAsia="微软雅黑" w:cs="微软雅黑"/>
              </w:rPr>
            </w:pPr>
            <w:r>
              <w:rPr>
                <w:rFonts w:hint="eastAsia" w:ascii="微软雅黑" w:hAnsi="微软雅黑" w:eastAsia="微软雅黑" w:cs="微软雅黑"/>
              </w:rPr>
              <w:t>完成专用层标准，建成评价与认证体系，转入动态迭代</w:t>
            </w:r>
          </w:p>
        </w:tc>
        <w:tc>
          <w:tcPr>
            <w:tcW w:w="3000" w:type="dxa"/>
          </w:tcPr>
          <w:p w14:paraId="7735C8A5">
            <w:pPr>
              <w:rPr>
                <w:rFonts w:hint="eastAsia" w:ascii="微软雅黑" w:hAnsi="微软雅黑" w:eastAsia="微软雅黑" w:cs="微软雅黑"/>
              </w:rPr>
            </w:pPr>
            <w:r>
              <w:rPr>
                <w:rFonts w:hint="eastAsia" w:ascii="微软雅黑" w:hAnsi="微软雅黑" w:eastAsia="微软雅黑" w:cs="微软雅黑"/>
              </w:rPr>
              <w:t>检测认证体系运行，要求—方法配对率不低于 95%，体系表年度维护常态化</w:t>
            </w:r>
          </w:p>
        </w:tc>
      </w:tr>
    </w:tbl>
    <w:p w14:paraId="17F64768">
      <w:pPr>
        <w:rPr>
          <w:rFonts w:hint="eastAsia" w:ascii="微软雅黑" w:hAnsi="微软雅黑" w:eastAsia="微软雅黑" w:cs="微软雅黑"/>
        </w:rPr>
        <w:sectPr>
          <w:footerReference r:id="rId7" w:type="first"/>
          <w:footerReference r:id="rId6" w:type="default"/>
          <w:footerReference r:id="rId8" w:type="even"/>
          <w:pgSz w:w="11906" w:h="16838"/>
          <w:pgMar w:top="1440" w:right="1700" w:bottom="1440" w:left="1700" w:header="720" w:footer="720" w:gutter="0"/>
          <w:pgNumType w:fmt="decimal" w:start="1"/>
          <w:cols w:space="720" w:num="1"/>
        </w:sectPr>
      </w:pPr>
    </w:p>
    <w:p w14:paraId="3E352947">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附表 1　公共安全具身智能机器人标准体系拟制定标准清单</w:t>
      </w:r>
    </w:p>
    <w:p w14:paraId="239941A9">
      <w:pPr>
        <w:rPr>
          <w:rFonts w:hint="eastAsia" w:ascii="微软雅黑" w:hAnsi="微软雅黑" w:eastAsia="微软雅黑" w:cs="微软雅黑"/>
        </w:rPr>
      </w:pPr>
      <w:r>
        <w:rPr>
          <w:rFonts w:hint="eastAsia" w:ascii="微软雅黑" w:hAnsi="微软雅黑" w:eastAsia="微软雅黑" w:cs="微软雅黑"/>
        </w:rPr>
        <w:t>（按门类列示，共 39 项；“层次”栏中 L1 为总体层、L2 为门类层、L3 为专用层；“优先级”栏中第一阶段对应 2026—2027 年、第二阶段对应 2027—2029 年、第三阶段对应 2029—2031 年）</w:t>
      </w:r>
    </w:p>
    <w:tbl>
      <w:tblPr>
        <w:tblStyle w:val="00000d"/>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20"/>
        <w:gridCol w:w="3300"/>
        <w:gridCol w:w="780"/>
        <w:gridCol w:w="700"/>
        <w:gridCol w:w="1300"/>
        <w:gridCol w:w="7300"/>
        <w:gridCol w:w="1340"/>
      </w:tblGrid>
      <w:tr>
        <w:trPr>
          <w:tblHeader w:val="1"/>
        </w:trPr>
        <w:tc>
          <w:tcPr>
            <w:tcW w:w="420" w:type="dxa"/>
            <w:shd w:val="clear" w:color="auto" w:fill="95B3D7" w:themeFill="accent1" w:themeFillTint="99"/>
          </w:tcPr>
          <w:p w14:paraId="40C9E17C">
            <w:pPr>
              <w:jc w:val="center"/>
              <w:rPr>
                <w:rFonts w:hint="eastAsia" w:ascii="微软雅黑" w:hAnsi="微软雅黑" w:eastAsia="微软雅黑" w:cs="微软雅黑"/>
                <w:b w:val="1"/>
                <w:bCs w:val="1"/>
              </w:rPr>
            </w:pPr>
            <w:r>
              <w:rPr>
                <w:rFonts w:hint="eastAsia" w:ascii="微软雅黑" w:hAnsi="微软雅黑" w:eastAsia="微软雅黑" w:cs="微软雅黑"/>
                <w:b w:val="1"/>
                <w:sz w:val="16"/>
              </w:rPr>
              <w:t>编号</w:t>
            </w:r>
          </w:p>
        </w:tc>
        <w:tc>
          <w:tcPr>
            <w:tcW w:w="3300" w:type="dxa"/>
            <w:shd w:val="clear" w:color="auto" w:fill="95B3D7" w:themeFill="accent1" w:themeFillTint="99"/>
          </w:tcPr>
          <w:p w14:paraId="192CCF20">
            <w:pPr>
              <w:jc w:val="center"/>
              <w:rPr>
                <w:rFonts w:hint="eastAsia" w:ascii="微软雅黑" w:hAnsi="微软雅黑" w:eastAsia="微软雅黑" w:cs="微软雅黑"/>
                <w:b w:val="1"/>
                <w:bCs w:val="1"/>
              </w:rPr>
            </w:pPr>
            <w:r>
              <w:rPr>
                <w:rFonts w:hint="eastAsia" w:ascii="微软雅黑" w:hAnsi="微软雅黑" w:eastAsia="微软雅黑" w:cs="微软雅黑"/>
                <w:b w:val="1"/>
                <w:sz w:val="16"/>
              </w:rPr>
              <w:t>标准名称</w:t>
            </w:r>
          </w:p>
        </w:tc>
        <w:tc>
          <w:tcPr>
            <w:tcW w:w="780" w:type="dxa"/>
            <w:shd w:val="clear" w:color="auto" w:fill="95B3D7" w:themeFill="accent1" w:themeFillTint="99"/>
          </w:tcPr>
          <w:p w14:paraId="5C8E3DE7">
            <w:pPr>
              <w:jc w:val="center"/>
              <w:rPr>
                <w:rFonts w:hint="eastAsia" w:ascii="微软雅黑" w:hAnsi="微软雅黑" w:eastAsia="微软雅黑" w:cs="微软雅黑"/>
                <w:b w:val="1"/>
                <w:bCs w:val="1"/>
              </w:rPr>
            </w:pPr>
            <w:r>
              <w:rPr>
                <w:rFonts w:hint="eastAsia" w:ascii="微软雅黑" w:hAnsi="微软雅黑" w:eastAsia="微软雅黑" w:cs="微软雅黑"/>
                <w:b w:val="1"/>
                <w:sz w:val="16"/>
              </w:rPr>
              <w:t>门类</w:t>
            </w:r>
          </w:p>
        </w:tc>
        <w:tc>
          <w:tcPr>
            <w:tcW w:w="700" w:type="dxa"/>
            <w:shd w:val="clear" w:color="auto" w:fill="95B3D7" w:themeFill="accent1" w:themeFillTint="99"/>
          </w:tcPr>
          <w:p w14:paraId="2CD60521">
            <w:pPr>
              <w:jc w:val="center"/>
              <w:rPr>
                <w:rFonts w:hint="eastAsia" w:ascii="微软雅黑" w:hAnsi="微软雅黑" w:eastAsia="微软雅黑" w:cs="微软雅黑"/>
                <w:b w:val="1"/>
                <w:bCs w:val="1"/>
              </w:rPr>
            </w:pPr>
            <w:r>
              <w:rPr>
                <w:rFonts w:hint="eastAsia" w:ascii="微软雅黑" w:hAnsi="微软雅黑" w:eastAsia="微软雅黑" w:cs="微软雅黑"/>
                <w:b w:val="1"/>
                <w:sz w:val="16"/>
              </w:rPr>
              <w:t>层次</w:t>
            </w:r>
          </w:p>
        </w:tc>
        <w:tc>
          <w:tcPr>
            <w:tcW w:w="1300" w:type="dxa"/>
            <w:shd w:val="clear" w:color="auto" w:fill="95B3D7" w:themeFill="accent1" w:themeFillTint="99"/>
          </w:tcPr>
          <w:p w14:paraId="2B780A25">
            <w:pPr>
              <w:jc w:val="center"/>
              <w:rPr>
                <w:rFonts w:hint="eastAsia" w:ascii="微软雅黑" w:hAnsi="微软雅黑" w:eastAsia="微软雅黑" w:cs="微软雅黑"/>
                <w:b w:val="1"/>
                <w:bCs w:val="1"/>
              </w:rPr>
            </w:pPr>
            <w:r>
              <w:rPr>
                <w:rFonts w:hint="eastAsia" w:ascii="微软雅黑" w:hAnsi="微软雅黑" w:eastAsia="微软雅黑" w:cs="微软雅黑"/>
                <w:b w:val="1"/>
                <w:sz w:val="16"/>
              </w:rPr>
              <w:t>类型·性质</w:t>
            </w:r>
          </w:p>
        </w:tc>
        <w:tc>
          <w:tcPr>
            <w:tcW w:w="7300" w:type="dxa"/>
            <w:shd w:val="clear" w:color="auto" w:fill="95B3D7" w:themeFill="accent1" w:themeFillTint="99"/>
          </w:tcPr>
          <w:p w14:paraId="398EC394">
            <w:pPr>
              <w:jc w:val="center"/>
              <w:rPr>
                <w:rFonts w:hint="eastAsia" w:ascii="微软雅黑" w:hAnsi="微软雅黑" w:eastAsia="微软雅黑" w:cs="微软雅黑"/>
                <w:b w:val="1"/>
                <w:bCs w:val="1"/>
              </w:rPr>
            </w:pPr>
            <w:r>
              <w:rPr>
                <w:rFonts w:hint="eastAsia" w:ascii="微软雅黑" w:hAnsi="微软雅黑" w:eastAsia="微软雅黑" w:cs="微软雅黑"/>
                <w:b w:val="1"/>
                <w:sz w:val="16"/>
              </w:rPr>
              <w:t>定位与关键内容</w:t>
            </w:r>
          </w:p>
        </w:tc>
        <w:tc>
          <w:tcPr>
            <w:tcW w:w="1340" w:type="dxa"/>
          </w:tcPr>
          <w:p w14:paraId="1D21A83E">
            <w:pPr>
              <w:rPr>
                <w:rFonts w:hint="eastAsia" w:ascii="微软雅黑" w:hAnsi="微软雅黑" w:eastAsia="微软雅黑" w:cs="微软雅黑"/>
                <w:b w:val="1"/>
                <w:bCs w:val="1"/>
              </w:rPr>
            </w:pPr>
            <w:r>
              <w:rPr>
                <w:rFonts w:hint="eastAsia" w:ascii="微软雅黑" w:hAnsi="微软雅黑" w:eastAsia="微软雅黑" w:cs="微软雅黑"/>
                <w:b w:val="1"/>
                <w:sz w:val="16"/>
              </w:rPr>
              <w:t>优先级</w:t>
            </w:r>
          </w:p>
        </w:tc>
      </w:tr>
      <w:tr>
        <w:trPr/>
        <w:tc>
          <w:tcPr>
            <w:tcW w:w="420" w:type="dxa"/>
          </w:tcPr>
          <w:p w14:paraId="0C15ACCC">
            <w:pPr>
              <w:jc w:val="center"/>
              <w:rPr>
                <w:rFonts w:hint="eastAsia" w:ascii="微软雅黑" w:hAnsi="微软雅黑" w:eastAsia="微软雅黑" w:cs="微软雅黑"/>
              </w:rPr>
            </w:pPr>
            <w:r>
              <w:rPr>
                <w:rFonts w:hint="eastAsia" w:ascii="微软雅黑" w:hAnsi="微软雅黑" w:eastAsia="微软雅黑" w:cs="微软雅黑"/>
                <w:sz w:val="16"/>
              </w:rPr>
              <w:t>A1</w:t>
            </w:r>
          </w:p>
        </w:tc>
        <w:tc>
          <w:tcPr>
            <w:tcW w:w="3300" w:type="dxa"/>
          </w:tcPr>
          <w:p w14:paraId="552E5531">
            <w:pPr>
              <w:rPr>
                <w:rFonts w:hint="eastAsia" w:ascii="微软雅黑" w:hAnsi="微软雅黑" w:eastAsia="微软雅黑" w:cs="微软雅黑"/>
              </w:rPr>
            </w:pPr>
            <w:r>
              <w:rPr>
                <w:rFonts w:hint="eastAsia" w:ascii="微软雅黑" w:hAnsi="微软雅黑" w:eastAsia="微软雅黑" w:cs="微软雅黑"/>
                <w:sz w:val="16"/>
              </w:rPr>
              <w:t>公共安全具身智能机器人标准体系表</w:t>
            </w:r>
          </w:p>
        </w:tc>
        <w:tc>
          <w:tcPr>
            <w:tcW w:w="780" w:type="dxa"/>
          </w:tcPr>
          <w:p w14:paraId="502B2656">
            <w:pPr>
              <w:rPr>
                <w:rFonts w:hint="eastAsia" w:ascii="微软雅黑" w:hAnsi="微软雅黑" w:eastAsia="微软雅黑" w:cs="微软雅黑"/>
              </w:rPr>
            </w:pPr>
            <w:r>
              <w:rPr>
                <w:rFonts w:hint="eastAsia" w:ascii="微软雅黑" w:hAnsi="微软雅黑" w:eastAsia="微软雅黑" w:cs="微软雅黑"/>
                <w:sz w:val="16"/>
              </w:rPr>
              <w:t>总体</w:t>
            </w:r>
          </w:p>
        </w:tc>
        <w:tc>
          <w:tcPr>
            <w:tcW w:w="700" w:type="dxa"/>
          </w:tcPr>
          <w:p w14:paraId="7F3D1FBA">
            <w:pPr>
              <w:rPr>
                <w:rFonts w:hint="eastAsia" w:ascii="微软雅黑" w:hAnsi="微软雅黑" w:eastAsia="微软雅黑" w:cs="微软雅黑"/>
              </w:rPr>
            </w:pPr>
            <w:r>
              <w:rPr>
                <w:rFonts w:hint="eastAsia" w:ascii="微软雅黑" w:hAnsi="微软雅黑" w:eastAsia="微软雅黑" w:cs="微软雅黑"/>
                <w:sz w:val="16"/>
              </w:rPr>
              <w:t>L1</w:t>
            </w:r>
          </w:p>
        </w:tc>
        <w:tc>
          <w:tcPr>
            <w:tcW w:w="1300" w:type="dxa"/>
          </w:tcPr>
          <w:p w14:paraId="040E7570">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07587A7A">
            <w:pPr>
              <w:rPr>
                <w:rFonts w:hint="eastAsia" w:ascii="微软雅黑" w:hAnsi="微软雅黑" w:eastAsia="微软雅黑" w:cs="微软雅黑"/>
              </w:rPr>
            </w:pPr>
            <w:r>
              <w:rPr>
                <w:rFonts w:hint="eastAsia" w:ascii="微软雅黑" w:hAnsi="微软雅黑" w:eastAsia="微软雅黑" w:cs="微软雅黑"/>
                <w:sz w:val="16"/>
              </w:rPr>
              <w:t>体系结构图＋标准明细表，明确层次、门类、编号规则与“相关标准”专栏；体系维护的基础文件</w:t>
            </w:r>
          </w:p>
        </w:tc>
        <w:tc>
          <w:tcPr>
            <w:tcW w:w="1340" w:type="dxa"/>
          </w:tcPr>
          <w:p w14:paraId="3F5A8EC9">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4DA7D544">
            <w:pPr>
              <w:jc w:val="center"/>
              <w:rPr>
                <w:rFonts w:hint="eastAsia" w:ascii="微软雅黑" w:hAnsi="微软雅黑" w:eastAsia="微软雅黑" w:cs="微软雅黑"/>
              </w:rPr>
            </w:pPr>
            <w:r>
              <w:rPr>
                <w:rFonts w:hint="eastAsia" w:ascii="微软雅黑" w:hAnsi="微软雅黑" w:eastAsia="微软雅黑" w:cs="微软雅黑"/>
                <w:sz w:val="16"/>
              </w:rPr>
              <w:t>A2</w:t>
            </w:r>
          </w:p>
        </w:tc>
        <w:tc>
          <w:tcPr>
            <w:tcW w:w="3300" w:type="dxa"/>
          </w:tcPr>
          <w:p w14:paraId="10C2547A">
            <w:pPr>
              <w:rPr>
                <w:rFonts w:hint="eastAsia" w:ascii="微软雅黑" w:hAnsi="微软雅黑" w:eastAsia="微软雅黑" w:cs="微软雅黑"/>
              </w:rPr>
            </w:pPr>
            <w:r>
              <w:rPr>
                <w:rFonts w:hint="eastAsia" w:ascii="微软雅黑" w:hAnsi="微软雅黑" w:eastAsia="微软雅黑" w:cs="微软雅黑"/>
                <w:sz w:val="16"/>
              </w:rPr>
              <w:t>公共安全具身智能机器人　术语与定义</w:t>
            </w:r>
          </w:p>
        </w:tc>
        <w:tc>
          <w:tcPr>
            <w:tcW w:w="780" w:type="dxa"/>
          </w:tcPr>
          <w:p w14:paraId="6BAED691">
            <w:pPr>
              <w:rPr>
                <w:rFonts w:hint="eastAsia" w:ascii="微软雅黑" w:hAnsi="微软雅黑" w:eastAsia="微软雅黑" w:cs="微软雅黑"/>
              </w:rPr>
            </w:pPr>
            <w:r>
              <w:rPr>
                <w:rFonts w:hint="eastAsia" w:ascii="微软雅黑" w:hAnsi="微软雅黑" w:eastAsia="微软雅黑" w:cs="微软雅黑"/>
                <w:sz w:val="16"/>
              </w:rPr>
              <w:t>总体</w:t>
            </w:r>
          </w:p>
        </w:tc>
        <w:tc>
          <w:tcPr>
            <w:tcW w:w="700" w:type="dxa"/>
          </w:tcPr>
          <w:p w14:paraId="4A6A1043">
            <w:pPr>
              <w:rPr>
                <w:rFonts w:hint="eastAsia" w:ascii="微软雅黑" w:hAnsi="微软雅黑" w:eastAsia="微软雅黑" w:cs="微软雅黑"/>
              </w:rPr>
            </w:pPr>
            <w:r>
              <w:rPr>
                <w:rFonts w:hint="eastAsia" w:ascii="微软雅黑" w:hAnsi="微软雅黑" w:eastAsia="微软雅黑" w:cs="微软雅黑"/>
                <w:sz w:val="16"/>
              </w:rPr>
              <w:t>L1</w:t>
            </w:r>
          </w:p>
        </w:tc>
        <w:tc>
          <w:tcPr>
            <w:tcW w:w="1300" w:type="dxa"/>
          </w:tcPr>
          <w:p w14:paraId="6F5175C2">
            <w:pPr>
              <w:rPr>
                <w:rFonts w:hint="eastAsia" w:ascii="微软雅黑" w:hAnsi="微软雅黑" w:eastAsia="微软雅黑" w:cs="微软雅黑"/>
              </w:rPr>
            </w:pPr>
            <w:r>
              <w:rPr>
                <w:rFonts w:hint="eastAsia" w:ascii="微软雅黑" w:hAnsi="微软雅黑" w:eastAsia="微软雅黑" w:cs="微软雅黑"/>
                <w:sz w:val="16"/>
              </w:rPr>
              <w:t>国家标准·推荐性</w:t>
            </w:r>
          </w:p>
        </w:tc>
        <w:tc>
          <w:tcPr>
            <w:tcW w:w="7300" w:type="dxa"/>
          </w:tcPr>
          <w:p w14:paraId="6B6A670D">
            <w:pPr>
              <w:rPr>
                <w:rFonts w:hint="eastAsia" w:ascii="微软雅黑" w:hAnsi="微软雅黑" w:eastAsia="微软雅黑" w:cs="微软雅黑"/>
              </w:rPr>
            </w:pPr>
            <w:r>
              <w:rPr>
                <w:rFonts w:hint="eastAsia" w:ascii="微软雅黑" w:hAnsi="微软雅黑" w:eastAsia="微软雅黑" w:cs="微软雅黑"/>
                <w:sz w:val="16"/>
              </w:rPr>
              <w:t>与 GB/T 12643 等上位术语标准映射，统一自主等级、接管、安全状态等高频词</w:t>
            </w:r>
          </w:p>
        </w:tc>
        <w:tc>
          <w:tcPr>
            <w:tcW w:w="1340" w:type="dxa"/>
          </w:tcPr>
          <w:p w14:paraId="64565868">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2B965F50">
            <w:pPr>
              <w:jc w:val="center"/>
              <w:rPr>
                <w:rFonts w:hint="eastAsia" w:ascii="微软雅黑" w:hAnsi="微软雅黑" w:eastAsia="微软雅黑" w:cs="微软雅黑"/>
              </w:rPr>
            </w:pPr>
            <w:r>
              <w:rPr>
                <w:rFonts w:hint="eastAsia" w:ascii="微软雅黑" w:hAnsi="微软雅黑" w:eastAsia="微软雅黑" w:cs="微软雅黑"/>
                <w:sz w:val="16"/>
              </w:rPr>
              <w:t>A3</w:t>
            </w:r>
          </w:p>
        </w:tc>
        <w:tc>
          <w:tcPr>
            <w:tcW w:w="3300" w:type="dxa"/>
          </w:tcPr>
          <w:p w14:paraId="11669310">
            <w:pPr>
              <w:rPr>
                <w:rFonts w:hint="eastAsia" w:ascii="微软雅黑" w:hAnsi="微软雅黑" w:eastAsia="微软雅黑" w:cs="微软雅黑"/>
              </w:rPr>
            </w:pPr>
            <w:r>
              <w:rPr>
                <w:rFonts w:hint="eastAsia" w:ascii="微软雅黑" w:hAnsi="微软雅黑" w:eastAsia="微软雅黑" w:cs="微软雅黑"/>
                <w:sz w:val="16"/>
              </w:rPr>
              <w:t>公共安全具身智能机器人　能力分级与风险分级方法</w:t>
            </w:r>
          </w:p>
        </w:tc>
        <w:tc>
          <w:tcPr>
            <w:tcW w:w="780" w:type="dxa"/>
          </w:tcPr>
          <w:p w14:paraId="13014D05">
            <w:pPr>
              <w:rPr>
                <w:rFonts w:hint="eastAsia" w:ascii="微软雅黑" w:hAnsi="微软雅黑" w:eastAsia="微软雅黑" w:cs="微软雅黑"/>
              </w:rPr>
            </w:pPr>
            <w:r>
              <w:rPr>
                <w:rFonts w:hint="eastAsia" w:ascii="微软雅黑" w:hAnsi="微软雅黑" w:eastAsia="微软雅黑" w:cs="微软雅黑"/>
                <w:sz w:val="16"/>
              </w:rPr>
              <w:t>总体</w:t>
            </w:r>
          </w:p>
        </w:tc>
        <w:tc>
          <w:tcPr>
            <w:tcW w:w="700" w:type="dxa"/>
          </w:tcPr>
          <w:p w14:paraId="6ABA83BC">
            <w:pPr>
              <w:rPr>
                <w:rFonts w:hint="eastAsia" w:ascii="微软雅黑" w:hAnsi="微软雅黑" w:eastAsia="微软雅黑" w:cs="微软雅黑"/>
              </w:rPr>
            </w:pPr>
            <w:r>
              <w:rPr>
                <w:rFonts w:hint="eastAsia" w:ascii="微软雅黑" w:hAnsi="微软雅黑" w:eastAsia="微软雅黑" w:cs="微软雅黑"/>
                <w:sz w:val="16"/>
              </w:rPr>
              <w:t>L1</w:t>
            </w:r>
          </w:p>
        </w:tc>
        <w:tc>
          <w:tcPr>
            <w:tcW w:w="1300" w:type="dxa"/>
          </w:tcPr>
          <w:p w14:paraId="0355AB39">
            <w:pPr>
              <w:rPr>
                <w:rFonts w:hint="eastAsia" w:ascii="微软雅黑" w:hAnsi="微软雅黑" w:eastAsia="微软雅黑" w:cs="微软雅黑"/>
              </w:rPr>
            </w:pPr>
            <w:r>
              <w:rPr>
                <w:rFonts w:hint="eastAsia" w:ascii="微软雅黑" w:hAnsi="微软雅黑" w:eastAsia="微软雅黑" w:cs="微软雅黑"/>
                <w:sz w:val="16"/>
              </w:rPr>
              <w:t>国家标准·推荐性</w:t>
            </w:r>
          </w:p>
        </w:tc>
        <w:tc>
          <w:tcPr>
            <w:tcW w:w="7300" w:type="dxa"/>
          </w:tcPr>
          <w:p w14:paraId="4C7341E9">
            <w:pPr>
              <w:rPr>
                <w:rFonts w:hint="eastAsia" w:ascii="微软雅黑" w:hAnsi="微软雅黑" w:eastAsia="微软雅黑" w:cs="微软雅黑"/>
              </w:rPr>
            </w:pPr>
            <w:r>
              <w:rPr>
                <w:rFonts w:hint="eastAsia" w:ascii="微软雅黑" w:hAnsi="微软雅黑" w:eastAsia="微软雅黑" w:cs="微软雅黑"/>
                <w:sz w:val="16"/>
              </w:rPr>
              <w:t>自主等级 L1—L5 × 风险等级 R1—R4 双维矩阵，明确操作主体、接管要求与授权范围；全体系牵引性标准</w:t>
            </w:r>
          </w:p>
        </w:tc>
        <w:tc>
          <w:tcPr>
            <w:tcW w:w="1340" w:type="dxa"/>
          </w:tcPr>
          <w:p w14:paraId="7A6E42EE">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0A6F24A7">
            <w:pPr>
              <w:jc w:val="center"/>
              <w:rPr>
                <w:rFonts w:hint="eastAsia" w:ascii="微软雅黑" w:hAnsi="微软雅黑" w:eastAsia="微软雅黑" w:cs="微软雅黑"/>
              </w:rPr>
            </w:pPr>
            <w:r>
              <w:rPr>
                <w:rFonts w:hint="eastAsia" w:ascii="微软雅黑" w:hAnsi="微软雅黑" w:eastAsia="微软雅黑" w:cs="微软雅黑"/>
                <w:sz w:val="16"/>
              </w:rPr>
              <w:t>A4</w:t>
            </w:r>
          </w:p>
        </w:tc>
        <w:tc>
          <w:tcPr>
            <w:tcW w:w="3300" w:type="dxa"/>
          </w:tcPr>
          <w:p w14:paraId="4C1F9A19">
            <w:pPr>
              <w:rPr>
                <w:rFonts w:hint="eastAsia" w:ascii="微软雅黑" w:hAnsi="微软雅黑" w:eastAsia="微软雅黑" w:cs="微软雅黑"/>
              </w:rPr>
            </w:pPr>
            <w:r>
              <w:rPr>
                <w:rFonts w:hint="eastAsia" w:ascii="微软雅黑" w:hAnsi="微软雅黑" w:eastAsia="微软雅黑" w:cs="微软雅黑"/>
                <w:sz w:val="16"/>
              </w:rPr>
              <w:t>公共安全具身智能机器人　需求模型与场景参考架构</w:t>
            </w:r>
          </w:p>
        </w:tc>
        <w:tc>
          <w:tcPr>
            <w:tcW w:w="780" w:type="dxa"/>
          </w:tcPr>
          <w:p w14:paraId="367C6E05">
            <w:pPr>
              <w:rPr>
                <w:rFonts w:hint="eastAsia" w:ascii="微软雅黑" w:hAnsi="微软雅黑" w:eastAsia="微软雅黑" w:cs="微软雅黑"/>
              </w:rPr>
            </w:pPr>
            <w:r>
              <w:rPr>
                <w:rFonts w:hint="eastAsia" w:ascii="微软雅黑" w:hAnsi="微软雅黑" w:eastAsia="微软雅黑" w:cs="微软雅黑"/>
                <w:sz w:val="16"/>
              </w:rPr>
              <w:t>总体</w:t>
            </w:r>
          </w:p>
        </w:tc>
        <w:tc>
          <w:tcPr>
            <w:tcW w:w="700" w:type="dxa"/>
          </w:tcPr>
          <w:p w14:paraId="16EF8C3C">
            <w:pPr>
              <w:rPr>
                <w:rFonts w:hint="eastAsia" w:ascii="微软雅黑" w:hAnsi="微软雅黑" w:eastAsia="微软雅黑" w:cs="微软雅黑"/>
              </w:rPr>
            </w:pPr>
            <w:r>
              <w:rPr>
                <w:rFonts w:hint="eastAsia" w:ascii="微软雅黑" w:hAnsi="微软雅黑" w:eastAsia="微软雅黑" w:cs="微软雅黑"/>
                <w:sz w:val="16"/>
              </w:rPr>
              <w:t>L1</w:t>
            </w:r>
          </w:p>
        </w:tc>
        <w:tc>
          <w:tcPr>
            <w:tcW w:w="1300" w:type="dxa"/>
          </w:tcPr>
          <w:p w14:paraId="420F0026">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3217A2A7">
            <w:pPr>
              <w:rPr>
                <w:rFonts w:hint="eastAsia" w:ascii="微软雅黑" w:hAnsi="微软雅黑" w:eastAsia="微软雅黑" w:cs="微软雅黑"/>
              </w:rPr>
            </w:pPr>
            <w:r>
              <w:rPr>
                <w:rFonts w:hint="eastAsia" w:ascii="微软雅黑" w:hAnsi="微软雅黑" w:eastAsia="微软雅黑" w:cs="微软雅黑"/>
                <w:sz w:val="16"/>
              </w:rPr>
              <w:t>把业务需求转译为可标准化能力项，为技术标准提供需求侧输入，避免产品先行</w:t>
            </w:r>
          </w:p>
        </w:tc>
        <w:tc>
          <w:tcPr>
            <w:tcW w:w="1340" w:type="dxa"/>
          </w:tcPr>
          <w:p w14:paraId="14277EA7">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605F402B">
            <w:pPr>
              <w:jc w:val="center"/>
              <w:rPr>
                <w:rFonts w:hint="eastAsia" w:ascii="微软雅黑" w:hAnsi="微软雅黑" w:eastAsia="微软雅黑" w:cs="微软雅黑"/>
              </w:rPr>
            </w:pPr>
            <w:r>
              <w:rPr>
                <w:rFonts w:hint="eastAsia" w:ascii="微软雅黑" w:hAnsi="微软雅黑" w:eastAsia="微软雅黑" w:cs="微软雅黑"/>
                <w:sz w:val="16"/>
              </w:rPr>
              <w:t>A5</w:t>
            </w:r>
          </w:p>
        </w:tc>
        <w:tc>
          <w:tcPr>
            <w:tcW w:w="3300" w:type="dxa"/>
          </w:tcPr>
          <w:p w14:paraId="16773297">
            <w:pPr>
              <w:rPr>
                <w:rFonts w:hint="eastAsia" w:ascii="微软雅黑" w:hAnsi="微软雅黑" w:eastAsia="微软雅黑" w:cs="微软雅黑"/>
              </w:rPr>
            </w:pPr>
            <w:r>
              <w:rPr>
                <w:rFonts w:hint="eastAsia" w:ascii="微软雅黑" w:hAnsi="微软雅黑" w:eastAsia="微软雅黑" w:cs="微软雅黑"/>
                <w:sz w:val="16"/>
              </w:rPr>
              <w:t>公共安全具身智能机器人　体系维护与标准编写导则</w:t>
            </w:r>
          </w:p>
        </w:tc>
        <w:tc>
          <w:tcPr>
            <w:tcW w:w="780" w:type="dxa"/>
          </w:tcPr>
          <w:p w14:paraId="6393B325">
            <w:pPr>
              <w:rPr>
                <w:rFonts w:hint="eastAsia" w:ascii="微软雅黑" w:hAnsi="微软雅黑" w:eastAsia="微软雅黑" w:cs="微软雅黑"/>
              </w:rPr>
            </w:pPr>
            <w:r>
              <w:rPr>
                <w:rFonts w:hint="eastAsia" w:ascii="微软雅黑" w:hAnsi="微软雅黑" w:eastAsia="微软雅黑" w:cs="微软雅黑"/>
                <w:sz w:val="16"/>
              </w:rPr>
              <w:t>总体</w:t>
            </w:r>
          </w:p>
        </w:tc>
        <w:tc>
          <w:tcPr>
            <w:tcW w:w="700" w:type="dxa"/>
          </w:tcPr>
          <w:p w14:paraId="7B1DE188">
            <w:pPr>
              <w:rPr>
                <w:rFonts w:hint="eastAsia" w:ascii="微软雅黑" w:hAnsi="微软雅黑" w:eastAsia="微软雅黑" w:cs="微软雅黑"/>
              </w:rPr>
            </w:pPr>
            <w:r>
              <w:rPr>
                <w:rFonts w:hint="eastAsia" w:ascii="微软雅黑" w:hAnsi="微软雅黑" w:eastAsia="微软雅黑" w:cs="微软雅黑"/>
                <w:sz w:val="16"/>
              </w:rPr>
              <w:t>L1</w:t>
            </w:r>
          </w:p>
        </w:tc>
        <w:tc>
          <w:tcPr>
            <w:tcW w:w="1300" w:type="dxa"/>
          </w:tcPr>
          <w:p w14:paraId="39016D14">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6024F9B4">
            <w:pPr>
              <w:rPr>
                <w:rFonts w:hint="eastAsia" w:ascii="微软雅黑" w:hAnsi="微软雅黑" w:eastAsia="微软雅黑" w:cs="微软雅黑"/>
              </w:rPr>
            </w:pPr>
            <w:r>
              <w:rPr>
                <w:rFonts w:hint="eastAsia" w:ascii="微软雅黑" w:hAnsi="微软雅黑" w:eastAsia="微软雅黑" w:cs="微软雅黑"/>
                <w:sz w:val="16"/>
              </w:rPr>
              <w:t>规定体系表年度维护、缺口清单形成与公开、引用映射表编制与引用写法</w:t>
            </w:r>
          </w:p>
        </w:tc>
        <w:tc>
          <w:tcPr>
            <w:tcW w:w="1340" w:type="dxa"/>
          </w:tcPr>
          <w:p w14:paraId="4C358324">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7E6B56D9">
            <w:pPr>
              <w:jc w:val="center"/>
              <w:rPr>
                <w:rFonts w:hint="eastAsia" w:ascii="微软雅黑" w:hAnsi="微软雅黑" w:eastAsia="微软雅黑" w:cs="微软雅黑"/>
              </w:rPr>
            </w:pPr>
            <w:r>
              <w:rPr>
                <w:rFonts w:hint="eastAsia" w:ascii="微软雅黑" w:hAnsi="微软雅黑" w:eastAsia="微软雅黑" w:cs="微软雅黑"/>
                <w:sz w:val="16"/>
              </w:rPr>
              <w:t>B1</w:t>
            </w:r>
          </w:p>
        </w:tc>
        <w:tc>
          <w:tcPr>
            <w:tcW w:w="3300" w:type="dxa"/>
          </w:tcPr>
          <w:p w14:paraId="11DD8AAC">
            <w:pPr>
              <w:rPr>
                <w:rFonts w:hint="eastAsia" w:ascii="微软雅黑" w:hAnsi="微软雅黑" w:eastAsia="微软雅黑" w:cs="微软雅黑"/>
              </w:rPr>
            </w:pPr>
            <w:r>
              <w:rPr>
                <w:rFonts w:hint="eastAsia" w:ascii="微软雅黑" w:hAnsi="微软雅黑" w:eastAsia="微软雅黑" w:cs="微软雅黑"/>
                <w:sz w:val="16"/>
              </w:rPr>
              <w:t>公共安全具身智能机器人　标识与编码规则</w:t>
            </w:r>
          </w:p>
        </w:tc>
        <w:tc>
          <w:tcPr>
            <w:tcW w:w="780" w:type="dxa"/>
          </w:tcPr>
          <w:p w14:paraId="310D2847">
            <w:pPr>
              <w:rPr>
                <w:rFonts w:hint="eastAsia" w:ascii="微软雅黑" w:hAnsi="微软雅黑" w:eastAsia="微软雅黑" w:cs="微软雅黑"/>
              </w:rPr>
            </w:pPr>
            <w:r>
              <w:rPr>
                <w:rFonts w:hint="eastAsia" w:ascii="微软雅黑" w:hAnsi="微软雅黑" w:eastAsia="微软雅黑" w:cs="微软雅黑"/>
                <w:sz w:val="16"/>
              </w:rPr>
              <w:t>基础</w:t>
            </w:r>
          </w:p>
        </w:tc>
        <w:tc>
          <w:tcPr>
            <w:tcW w:w="700" w:type="dxa"/>
          </w:tcPr>
          <w:p w14:paraId="4CC07AF2">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144F36D8">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1823CD0D">
            <w:pPr>
              <w:rPr>
                <w:rFonts w:hint="eastAsia" w:ascii="微软雅黑" w:hAnsi="微软雅黑" w:eastAsia="微软雅黑" w:cs="微软雅黑"/>
              </w:rPr>
            </w:pPr>
            <w:r>
              <w:rPr>
                <w:rFonts w:hint="eastAsia" w:ascii="微软雅黑" w:hAnsi="微软雅黑" w:eastAsia="微软雅黑" w:cs="微软雅黑"/>
                <w:sz w:val="16"/>
              </w:rPr>
              <w:t>设备唯一标识编码规则，参照 GB/T 41300-2022 结构思路，并与备案、登记、注销流程对应</w:t>
            </w:r>
          </w:p>
        </w:tc>
        <w:tc>
          <w:tcPr>
            <w:tcW w:w="1340" w:type="dxa"/>
          </w:tcPr>
          <w:p w14:paraId="5B4307D0">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6C0371C7">
            <w:pPr>
              <w:jc w:val="center"/>
              <w:rPr>
                <w:rFonts w:hint="eastAsia" w:ascii="微软雅黑" w:hAnsi="微软雅黑" w:eastAsia="微软雅黑" w:cs="微软雅黑"/>
              </w:rPr>
            </w:pPr>
            <w:r>
              <w:rPr>
                <w:rFonts w:hint="eastAsia" w:ascii="微软雅黑" w:hAnsi="微软雅黑" w:eastAsia="微软雅黑" w:cs="微软雅黑"/>
                <w:sz w:val="16"/>
              </w:rPr>
              <w:t>B2</w:t>
            </w:r>
          </w:p>
        </w:tc>
        <w:tc>
          <w:tcPr>
            <w:tcW w:w="3300" w:type="dxa"/>
          </w:tcPr>
          <w:p w14:paraId="44E6158D">
            <w:pPr>
              <w:rPr>
                <w:rFonts w:hint="eastAsia" w:ascii="微软雅黑" w:hAnsi="微软雅黑" w:eastAsia="微软雅黑" w:cs="微软雅黑"/>
              </w:rPr>
            </w:pPr>
            <w:r>
              <w:rPr>
                <w:rFonts w:hint="eastAsia" w:ascii="微软雅黑" w:hAnsi="微软雅黑" w:eastAsia="微软雅黑" w:cs="微软雅黑"/>
                <w:sz w:val="16"/>
              </w:rPr>
              <w:t>公共安全具身智能机器人　数据元与元数据规范</w:t>
            </w:r>
          </w:p>
        </w:tc>
        <w:tc>
          <w:tcPr>
            <w:tcW w:w="780" w:type="dxa"/>
          </w:tcPr>
          <w:p w14:paraId="3F07F931">
            <w:pPr>
              <w:rPr>
                <w:rFonts w:hint="eastAsia" w:ascii="微软雅黑" w:hAnsi="微软雅黑" w:eastAsia="微软雅黑" w:cs="微软雅黑"/>
              </w:rPr>
            </w:pPr>
            <w:r>
              <w:rPr>
                <w:rFonts w:hint="eastAsia" w:ascii="微软雅黑" w:hAnsi="微软雅黑" w:eastAsia="微软雅黑" w:cs="微软雅黑"/>
                <w:sz w:val="16"/>
              </w:rPr>
              <w:t>基础</w:t>
            </w:r>
          </w:p>
        </w:tc>
        <w:tc>
          <w:tcPr>
            <w:tcW w:w="700" w:type="dxa"/>
          </w:tcPr>
          <w:p w14:paraId="52988EC4">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4A60503F">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69CEC4E9">
            <w:pPr>
              <w:rPr>
                <w:rFonts w:hint="eastAsia" w:ascii="微软雅黑" w:hAnsi="微软雅黑" w:eastAsia="微软雅黑" w:cs="微软雅黑"/>
              </w:rPr>
            </w:pPr>
            <w:r>
              <w:rPr>
                <w:rFonts w:hint="eastAsia" w:ascii="微软雅黑" w:hAnsi="微软雅黑" w:eastAsia="微软雅黑" w:cs="微软雅黑"/>
                <w:sz w:val="16"/>
              </w:rPr>
              <w:t>感知数据、告警事件、位姿轨迹、任务记录等核心数据对象的定义与元数据要求</w:t>
            </w:r>
          </w:p>
        </w:tc>
        <w:tc>
          <w:tcPr>
            <w:tcW w:w="1340" w:type="dxa"/>
          </w:tcPr>
          <w:p w14:paraId="30FF4292">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34C665BE">
            <w:pPr>
              <w:jc w:val="center"/>
              <w:rPr>
                <w:rFonts w:hint="eastAsia" w:ascii="微软雅黑" w:hAnsi="微软雅黑" w:eastAsia="微软雅黑" w:cs="微软雅黑"/>
              </w:rPr>
            </w:pPr>
            <w:r>
              <w:rPr>
                <w:rFonts w:hint="eastAsia" w:ascii="微软雅黑" w:hAnsi="微软雅黑" w:eastAsia="微软雅黑" w:cs="微软雅黑"/>
                <w:sz w:val="16"/>
              </w:rPr>
              <w:t>B3</w:t>
            </w:r>
          </w:p>
        </w:tc>
        <w:tc>
          <w:tcPr>
            <w:tcW w:w="3300" w:type="dxa"/>
          </w:tcPr>
          <w:p w14:paraId="4467A73A">
            <w:pPr>
              <w:rPr>
                <w:rFonts w:hint="eastAsia" w:ascii="微软雅黑" w:hAnsi="微软雅黑" w:eastAsia="微软雅黑" w:cs="微软雅黑"/>
              </w:rPr>
            </w:pPr>
            <w:r>
              <w:rPr>
                <w:rFonts w:hint="eastAsia" w:ascii="微软雅黑" w:hAnsi="微软雅黑" w:eastAsia="微软雅黑" w:cs="微软雅黑"/>
                <w:sz w:val="16"/>
              </w:rPr>
              <w:t>公共安全具身智能机器人　图形符号与图示</w:t>
            </w:r>
          </w:p>
        </w:tc>
        <w:tc>
          <w:tcPr>
            <w:tcW w:w="780" w:type="dxa"/>
          </w:tcPr>
          <w:p w14:paraId="49AA09DC">
            <w:pPr>
              <w:rPr>
                <w:rFonts w:hint="eastAsia" w:ascii="微软雅黑" w:hAnsi="微软雅黑" w:eastAsia="微软雅黑" w:cs="微软雅黑"/>
              </w:rPr>
            </w:pPr>
            <w:r>
              <w:rPr>
                <w:rFonts w:hint="eastAsia" w:ascii="微软雅黑" w:hAnsi="微软雅黑" w:eastAsia="微软雅黑" w:cs="微软雅黑"/>
                <w:sz w:val="16"/>
              </w:rPr>
              <w:t>基础</w:t>
            </w:r>
          </w:p>
        </w:tc>
        <w:tc>
          <w:tcPr>
            <w:tcW w:w="700" w:type="dxa"/>
          </w:tcPr>
          <w:p w14:paraId="27680C20">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185B758A">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7DBB2840">
            <w:pPr>
              <w:rPr>
                <w:rFonts w:hint="eastAsia" w:ascii="微软雅黑" w:hAnsi="微软雅黑" w:eastAsia="微软雅黑" w:cs="微软雅黑"/>
              </w:rPr>
            </w:pPr>
            <w:r>
              <w:rPr>
                <w:rFonts w:hint="eastAsia" w:ascii="微软雅黑" w:hAnsi="微软雅黑" w:eastAsia="微软雅黑" w:cs="微软雅黑"/>
                <w:sz w:val="16"/>
              </w:rPr>
              <w:t>人机界面符号与标识，满足公共安全场景可识别性要求</w:t>
            </w:r>
          </w:p>
        </w:tc>
        <w:tc>
          <w:tcPr>
            <w:tcW w:w="1340" w:type="dxa"/>
          </w:tcPr>
          <w:p w14:paraId="2DC07AB1">
            <w:pPr>
              <w:rPr>
                <w:rFonts w:hint="eastAsia" w:ascii="微软雅黑" w:hAnsi="微软雅黑" w:eastAsia="微软雅黑" w:cs="微软雅黑"/>
              </w:rPr>
            </w:pPr>
            <w:r>
              <w:rPr>
                <w:rFonts w:hint="eastAsia" w:ascii="微软雅黑" w:hAnsi="微软雅黑" w:eastAsia="微软雅黑" w:cs="微软雅黑"/>
                <w:sz w:val="16"/>
              </w:rPr>
              <w:t>第三阶段</w:t>
            </w:r>
          </w:p>
        </w:tc>
      </w:tr>
      <w:tr>
        <w:trPr/>
        <w:tc>
          <w:tcPr>
            <w:tcW w:w="420" w:type="dxa"/>
          </w:tcPr>
          <w:p w14:paraId="54B79EC9">
            <w:pPr>
              <w:jc w:val="center"/>
              <w:rPr>
                <w:rFonts w:hint="eastAsia" w:ascii="微软雅黑" w:hAnsi="微软雅黑" w:eastAsia="微软雅黑" w:cs="微软雅黑"/>
              </w:rPr>
            </w:pPr>
            <w:r>
              <w:rPr>
                <w:rFonts w:hint="eastAsia" w:ascii="微软雅黑" w:hAnsi="微软雅黑" w:eastAsia="微软雅黑" w:cs="微软雅黑"/>
                <w:sz w:val="16"/>
              </w:rPr>
              <w:t>C1</w:t>
            </w:r>
          </w:p>
        </w:tc>
        <w:tc>
          <w:tcPr>
            <w:tcW w:w="3300" w:type="dxa"/>
          </w:tcPr>
          <w:p w14:paraId="5389DE9C">
            <w:pPr>
              <w:rPr>
                <w:rFonts w:hint="eastAsia" w:ascii="微软雅黑" w:hAnsi="微软雅黑" w:eastAsia="微软雅黑" w:cs="微软雅黑"/>
              </w:rPr>
            </w:pPr>
            <w:r>
              <w:rPr>
                <w:rFonts w:hint="eastAsia" w:ascii="微软雅黑" w:hAnsi="微软雅黑" w:eastAsia="微软雅黑" w:cs="微软雅黑"/>
                <w:sz w:val="16"/>
              </w:rPr>
              <w:t>公共安全具身智能机器人　通用安全技术要求</w:t>
            </w:r>
          </w:p>
        </w:tc>
        <w:tc>
          <w:tcPr>
            <w:tcW w:w="780" w:type="dxa"/>
          </w:tcPr>
          <w:p w14:paraId="148C75DA">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3F2190AE">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733CDCBF">
            <w:pPr>
              <w:rPr>
                <w:rFonts w:hint="eastAsia" w:ascii="微软雅黑" w:hAnsi="微软雅黑" w:eastAsia="微软雅黑" w:cs="微软雅黑"/>
              </w:rPr>
            </w:pPr>
            <w:r>
              <w:rPr>
                <w:rFonts w:hint="eastAsia" w:ascii="微软雅黑" w:hAnsi="微软雅黑" w:eastAsia="微软雅黑" w:cs="微软雅黑"/>
                <w:sz w:val="16"/>
              </w:rPr>
              <w:t>行业标准·推荐性（含强制性条款建议）</w:t>
            </w:r>
          </w:p>
        </w:tc>
        <w:tc>
          <w:tcPr>
            <w:tcW w:w="7300" w:type="dxa"/>
          </w:tcPr>
          <w:p w14:paraId="114F6D70">
            <w:pPr>
              <w:rPr>
                <w:rFonts w:hint="eastAsia" w:ascii="微软雅黑" w:hAnsi="微软雅黑" w:eastAsia="微软雅黑" w:cs="微软雅黑"/>
              </w:rPr>
            </w:pPr>
            <w:r>
              <w:rPr>
                <w:rFonts w:hint="eastAsia" w:ascii="微软雅黑" w:hAnsi="微软雅黑" w:eastAsia="微软雅黑" w:cs="微软雅黑"/>
                <w:sz w:val="16"/>
              </w:rPr>
              <w:t>引用 GB/T 15706、GB/T 16855.1、GB/T 20438 方法论，规定安全状态、失效降级、急停与防误动作底线</w:t>
            </w:r>
          </w:p>
        </w:tc>
        <w:tc>
          <w:tcPr>
            <w:tcW w:w="1340" w:type="dxa"/>
          </w:tcPr>
          <w:p w14:paraId="3597DA64">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060F6F48">
            <w:pPr>
              <w:jc w:val="center"/>
              <w:rPr>
                <w:rFonts w:hint="eastAsia" w:ascii="微软雅黑" w:hAnsi="微软雅黑" w:eastAsia="微软雅黑" w:cs="微软雅黑"/>
              </w:rPr>
            </w:pPr>
            <w:r>
              <w:rPr>
                <w:rFonts w:hint="eastAsia" w:ascii="微软雅黑" w:hAnsi="微软雅黑" w:eastAsia="微软雅黑" w:cs="微软雅黑"/>
                <w:sz w:val="16"/>
              </w:rPr>
              <w:t>C2</w:t>
            </w:r>
          </w:p>
        </w:tc>
        <w:tc>
          <w:tcPr>
            <w:tcW w:w="3300" w:type="dxa"/>
          </w:tcPr>
          <w:p w14:paraId="551FC96B">
            <w:pPr>
              <w:rPr>
                <w:rFonts w:hint="eastAsia" w:ascii="微软雅黑" w:hAnsi="微软雅黑" w:eastAsia="微软雅黑" w:cs="微软雅黑"/>
              </w:rPr>
            </w:pPr>
            <w:r>
              <w:rPr>
                <w:rFonts w:hint="eastAsia" w:ascii="微软雅黑" w:hAnsi="微软雅黑" w:eastAsia="微软雅黑" w:cs="微软雅黑"/>
                <w:sz w:val="16"/>
              </w:rPr>
              <w:t>公共安全具身智能机器人　环境适应性与可靠性通用要求</w:t>
            </w:r>
          </w:p>
        </w:tc>
        <w:tc>
          <w:tcPr>
            <w:tcW w:w="780" w:type="dxa"/>
          </w:tcPr>
          <w:p w14:paraId="3008394F">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42121B73">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04B26D8B">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7B5F289A">
            <w:pPr>
              <w:rPr>
                <w:rFonts w:hint="eastAsia" w:ascii="微软雅黑" w:hAnsi="微软雅黑" w:eastAsia="微软雅黑" w:cs="微软雅黑"/>
              </w:rPr>
            </w:pPr>
            <w:r>
              <w:rPr>
                <w:rFonts w:hint="eastAsia" w:ascii="微软雅黑" w:hAnsi="微软雅黑" w:eastAsia="微软雅黑" w:cs="微软雅黑"/>
                <w:sz w:val="16"/>
              </w:rPr>
              <w:t>按室内、室外街面、雨雪涉水分区规定防护等级与温湿度、振动冲击、连续运行与平均无故障时间</w:t>
            </w:r>
          </w:p>
        </w:tc>
        <w:tc>
          <w:tcPr>
            <w:tcW w:w="1340" w:type="dxa"/>
          </w:tcPr>
          <w:p w14:paraId="613E8CC4">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21BFFF75">
            <w:pPr>
              <w:jc w:val="center"/>
              <w:rPr>
                <w:rFonts w:hint="eastAsia" w:ascii="微软雅黑" w:hAnsi="微软雅黑" w:eastAsia="微软雅黑" w:cs="微软雅黑"/>
              </w:rPr>
            </w:pPr>
            <w:r>
              <w:rPr>
                <w:rFonts w:hint="eastAsia" w:ascii="微软雅黑" w:hAnsi="微软雅黑" w:eastAsia="微软雅黑" w:cs="微软雅黑"/>
                <w:sz w:val="16"/>
              </w:rPr>
              <w:t>C3</w:t>
            </w:r>
          </w:p>
        </w:tc>
        <w:tc>
          <w:tcPr>
            <w:tcW w:w="3300" w:type="dxa"/>
          </w:tcPr>
          <w:p w14:paraId="72C37F8C">
            <w:pPr>
              <w:rPr>
                <w:rFonts w:hint="eastAsia" w:ascii="微软雅黑" w:hAnsi="微软雅黑" w:eastAsia="微软雅黑" w:cs="微软雅黑"/>
              </w:rPr>
            </w:pPr>
            <w:r>
              <w:rPr>
                <w:rFonts w:hint="eastAsia" w:ascii="微软雅黑" w:hAnsi="微软雅黑" w:eastAsia="微软雅黑" w:cs="微软雅黑"/>
                <w:sz w:val="16"/>
              </w:rPr>
              <w:t>公共安全具身智能机器人　部组件通用要求</w:t>
            </w:r>
          </w:p>
        </w:tc>
        <w:tc>
          <w:tcPr>
            <w:tcW w:w="780" w:type="dxa"/>
          </w:tcPr>
          <w:p w14:paraId="280E8F08">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63673ED8">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52FF2C89">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67C02773">
            <w:pPr>
              <w:rPr>
                <w:rFonts w:hint="eastAsia" w:ascii="微软雅黑" w:hAnsi="微软雅黑" w:eastAsia="微软雅黑" w:cs="微软雅黑"/>
              </w:rPr>
            </w:pPr>
            <w:r>
              <w:rPr>
                <w:rFonts w:hint="eastAsia" w:ascii="微软雅黑" w:hAnsi="微软雅黑" w:eastAsia="微软雅黑" w:cs="微软雅黑"/>
                <w:sz w:val="16"/>
              </w:rPr>
              <w:t>伺服电机、减速器、谐波传动、灵巧手、激光雷达、算力单元、电池的通用要求与互换性要求</w:t>
            </w:r>
          </w:p>
        </w:tc>
        <w:tc>
          <w:tcPr>
            <w:tcW w:w="1340" w:type="dxa"/>
          </w:tcPr>
          <w:p w14:paraId="2E949260">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05D82B1C">
            <w:pPr>
              <w:jc w:val="center"/>
              <w:rPr>
                <w:rFonts w:hint="eastAsia" w:ascii="微软雅黑" w:hAnsi="微软雅黑" w:eastAsia="微软雅黑" w:cs="微软雅黑"/>
              </w:rPr>
            </w:pPr>
            <w:r>
              <w:rPr>
                <w:rFonts w:hint="eastAsia" w:ascii="微软雅黑" w:hAnsi="微软雅黑" w:eastAsia="微软雅黑" w:cs="微软雅黑"/>
                <w:sz w:val="16"/>
              </w:rPr>
              <w:t>C4</w:t>
            </w:r>
          </w:p>
        </w:tc>
        <w:tc>
          <w:tcPr>
            <w:tcW w:w="3300" w:type="dxa"/>
          </w:tcPr>
          <w:p w14:paraId="4E23665F">
            <w:pPr>
              <w:rPr>
                <w:rFonts w:hint="eastAsia" w:ascii="微软雅黑" w:hAnsi="微软雅黑" w:eastAsia="微软雅黑" w:cs="微软雅黑"/>
              </w:rPr>
            </w:pPr>
            <w:r>
              <w:rPr>
                <w:rFonts w:hint="eastAsia" w:ascii="微软雅黑" w:hAnsi="微软雅黑" w:eastAsia="微软雅黑" w:cs="微软雅黑"/>
                <w:sz w:val="16"/>
              </w:rPr>
              <w:t>公共安全具身智能机器人　整机与本体通用要求</w:t>
            </w:r>
          </w:p>
        </w:tc>
        <w:tc>
          <w:tcPr>
            <w:tcW w:w="780" w:type="dxa"/>
          </w:tcPr>
          <w:p w14:paraId="00E83C18">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5F309D97">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5CCC6B47">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4F21AEB6">
            <w:pPr>
              <w:rPr>
                <w:rFonts w:hint="eastAsia" w:ascii="微软雅黑" w:hAnsi="微软雅黑" w:eastAsia="微软雅黑" w:cs="微软雅黑"/>
              </w:rPr>
            </w:pPr>
            <w:r>
              <w:rPr>
                <w:rFonts w:hint="eastAsia" w:ascii="微软雅黑" w:hAnsi="微软雅黑" w:eastAsia="微软雅黑" w:cs="微软雅黑"/>
                <w:sz w:val="16"/>
              </w:rPr>
              <w:t>形态、机动能力、续航与补能、载荷、自重与重心，明确各项指标量纲与测量条件</w:t>
            </w:r>
          </w:p>
        </w:tc>
        <w:tc>
          <w:tcPr>
            <w:tcW w:w="1340" w:type="dxa"/>
          </w:tcPr>
          <w:p w14:paraId="6D835DF8">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6D267E60">
            <w:pPr>
              <w:jc w:val="center"/>
              <w:rPr>
                <w:rFonts w:hint="eastAsia" w:ascii="微软雅黑" w:hAnsi="微软雅黑" w:eastAsia="微软雅黑" w:cs="微软雅黑"/>
              </w:rPr>
            </w:pPr>
            <w:r>
              <w:rPr>
                <w:rFonts w:hint="eastAsia" w:ascii="微软雅黑" w:hAnsi="微软雅黑" w:eastAsia="微软雅黑" w:cs="微软雅黑"/>
                <w:sz w:val="16"/>
              </w:rPr>
              <w:t>C5</w:t>
            </w:r>
          </w:p>
        </w:tc>
        <w:tc>
          <w:tcPr>
            <w:tcW w:w="3300" w:type="dxa"/>
          </w:tcPr>
          <w:p w14:paraId="53345000">
            <w:pPr>
              <w:rPr>
                <w:rFonts w:hint="eastAsia" w:ascii="微软雅黑" w:hAnsi="微软雅黑" w:eastAsia="微软雅黑" w:cs="微软雅黑"/>
              </w:rPr>
            </w:pPr>
            <w:r>
              <w:rPr>
                <w:rFonts w:hint="eastAsia" w:ascii="微软雅黑" w:hAnsi="微软雅黑" w:eastAsia="微软雅黑" w:cs="微软雅黑"/>
                <w:sz w:val="16"/>
              </w:rPr>
              <w:t>公共安全具身智能机器人　多模态感知与识别技术要求</w:t>
            </w:r>
          </w:p>
        </w:tc>
        <w:tc>
          <w:tcPr>
            <w:tcW w:w="780" w:type="dxa"/>
          </w:tcPr>
          <w:p w14:paraId="6BD3C1DC">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0786771A">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36D0C93A">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4EB68FBB">
            <w:pPr>
              <w:rPr>
                <w:rFonts w:hint="eastAsia" w:ascii="微软雅黑" w:hAnsi="微软雅黑" w:eastAsia="微软雅黑" w:cs="微软雅黑"/>
              </w:rPr>
            </w:pPr>
            <w:r>
              <w:rPr>
                <w:rFonts w:hint="eastAsia" w:ascii="微软雅黑" w:hAnsi="微软雅黑" w:eastAsia="微软雅黑" w:cs="微软雅黑"/>
                <w:sz w:val="16"/>
              </w:rPr>
              <w:t>夜间、雨雪、遮挡、逆光条件下感知性能；准确率、误报率、漏报率定义与统一分母口径</w:t>
            </w:r>
          </w:p>
        </w:tc>
        <w:tc>
          <w:tcPr>
            <w:tcW w:w="1340" w:type="dxa"/>
          </w:tcPr>
          <w:p w14:paraId="0CF91BFC">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2EE7F050">
            <w:pPr>
              <w:jc w:val="center"/>
              <w:rPr>
                <w:rFonts w:hint="eastAsia" w:ascii="微软雅黑" w:hAnsi="微软雅黑" w:eastAsia="微软雅黑" w:cs="微软雅黑"/>
              </w:rPr>
            </w:pPr>
            <w:r>
              <w:rPr>
                <w:rFonts w:hint="eastAsia" w:ascii="微软雅黑" w:hAnsi="微软雅黑" w:eastAsia="微软雅黑" w:cs="微软雅黑"/>
                <w:sz w:val="16"/>
              </w:rPr>
              <w:t>C6</w:t>
            </w:r>
          </w:p>
        </w:tc>
        <w:tc>
          <w:tcPr>
            <w:tcW w:w="3300" w:type="dxa"/>
          </w:tcPr>
          <w:p w14:paraId="1E1C10F1">
            <w:pPr>
              <w:rPr>
                <w:rFonts w:hint="eastAsia" w:ascii="微软雅黑" w:hAnsi="微软雅黑" w:eastAsia="微软雅黑" w:cs="微软雅黑"/>
              </w:rPr>
            </w:pPr>
            <w:r>
              <w:rPr>
                <w:rFonts w:hint="eastAsia" w:ascii="微软雅黑" w:hAnsi="微软雅黑" w:eastAsia="微软雅黑" w:cs="微软雅黑"/>
                <w:sz w:val="16"/>
              </w:rPr>
              <w:t>公共安全具身智能机器人　具身智能决策与大模型技术要求</w:t>
            </w:r>
          </w:p>
        </w:tc>
        <w:tc>
          <w:tcPr>
            <w:tcW w:w="780" w:type="dxa"/>
          </w:tcPr>
          <w:p w14:paraId="0DA2D21E">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4FB53D62">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205BA915">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582CA64E">
            <w:pPr>
              <w:rPr>
                <w:rFonts w:hint="eastAsia" w:ascii="微软雅黑" w:hAnsi="微软雅黑" w:eastAsia="微软雅黑" w:cs="微软雅黑"/>
              </w:rPr>
            </w:pPr>
            <w:r>
              <w:rPr>
                <w:rFonts w:hint="eastAsia" w:ascii="微软雅黑" w:hAnsi="微软雅黑" w:eastAsia="微软雅黑" w:cs="微软雅黑"/>
                <w:sz w:val="16"/>
              </w:rPr>
              <w:t>端侧推理、断网持续作业、模型版本管理与可回滚、涉警数据不出域；衔接 GB/T 45654-2025</w:t>
            </w:r>
          </w:p>
        </w:tc>
        <w:tc>
          <w:tcPr>
            <w:tcW w:w="1340" w:type="dxa"/>
          </w:tcPr>
          <w:p w14:paraId="6A017D65">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5D6E3055">
            <w:pPr>
              <w:jc w:val="center"/>
              <w:rPr>
                <w:rFonts w:hint="eastAsia" w:ascii="微软雅黑" w:hAnsi="微软雅黑" w:eastAsia="微软雅黑" w:cs="微软雅黑"/>
              </w:rPr>
            </w:pPr>
            <w:r>
              <w:rPr>
                <w:rFonts w:hint="eastAsia" w:ascii="微软雅黑" w:hAnsi="微软雅黑" w:eastAsia="微软雅黑" w:cs="微软雅黑"/>
                <w:sz w:val="16"/>
              </w:rPr>
              <w:t>C7</w:t>
            </w:r>
          </w:p>
        </w:tc>
        <w:tc>
          <w:tcPr>
            <w:tcW w:w="3300" w:type="dxa"/>
          </w:tcPr>
          <w:p w14:paraId="5A9DCAD6">
            <w:pPr>
              <w:rPr>
                <w:rFonts w:hint="eastAsia" w:ascii="微软雅黑" w:hAnsi="微软雅黑" w:eastAsia="微软雅黑" w:cs="微软雅黑"/>
              </w:rPr>
            </w:pPr>
            <w:r>
              <w:rPr>
                <w:rFonts w:hint="eastAsia" w:ascii="微软雅黑" w:hAnsi="微软雅黑" w:eastAsia="微软雅黑" w:cs="微软雅黑"/>
                <w:sz w:val="16"/>
              </w:rPr>
              <w:t>公共安全具身智能机器人　运动控制与灵巧作业技术要求</w:t>
            </w:r>
          </w:p>
        </w:tc>
        <w:tc>
          <w:tcPr>
            <w:tcW w:w="780" w:type="dxa"/>
          </w:tcPr>
          <w:p w14:paraId="1AB2DF9B">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180A81A8">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1DEE1EFA">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0233C3E9">
            <w:pPr>
              <w:rPr>
                <w:rFonts w:hint="eastAsia" w:ascii="微软雅黑" w:hAnsi="微软雅黑" w:eastAsia="微软雅黑" w:cs="微软雅黑"/>
              </w:rPr>
            </w:pPr>
            <w:r>
              <w:rPr>
                <w:rFonts w:hint="eastAsia" w:ascii="微软雅黑" w:hAnsi="微软雅黑" w:eastAsia="微软雅黑" w:cs="微软雅黑"/>
                <w:sz w:val="16"/>
              </w:rPr>
              <w:t>面向排爆剪线、开门、抓取等精细作业的控制精度、作业成功率与作业时限</w:t>
            </w:r>
          </w:p>
        </w:tc>
        <w:tc>
          <w:tcPr>
            <w:tcW w:w="1340" w:type="dxa"/>
          </w:tcPr>
          <w:p w14:paraId="355A0A98">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61707417">
            <w:pPr>
              <w:jc w:val="center"/>
              <w:rPr>
                <w:rFonts w:hint="eastAsia" w:ascii="微软雅黑" w:hAnsi="微软雅黑" w:eastAsia="微软雅黑" w:cs="微软雅黑"/>
              </w:rPr>
            </w:pPr>
            <w:r>
              <w:rPr>
                <w:rFonts w:hint="eastAsia" w:ascii="微软雅黑" w:hAnsi="微软雅黑" w:eastAsia="微软雅黑" w:cs="微软雅黑"/>
                <w:sz w:val="16"/>
              </w:rPr>
              <w:t>C8</w:t>
            </w:r>
          </w:p>
        </w:tc>
        <w:tc>
          <w:tcPr>
            <w:tcW w:w="3300" w:type="dxa"/>
          </w:tcPr>
          <w:p w14:paraId="6EF21D83">
            <w:pPr>
              <w:rPr>
                <w:rFonts w:hint="eastAsia" w:ascii="微软雅黑" w:hAnsi="微软雅黑" w:eastAsia="微软雅黑" w:cs="微软雅黑"/>
              </w:rPr>
            </w:pPr>
            <w:r>
              <w:rPr>
                <w:rFonts w:hint="eastAsia" w:ascii="微软雅黑" w:hAnsi="微软雅黑" w:eastAsia="微软雅黑" w:cs="微软雅黑"/>
                <w:sz w:val="16"/>
              </w:rPr>
              <w:t>公共安全具身智能机器人　系统集成与接口要求</w:t>
            </w:r>
          </w:p>
        </w:tc>
        <w:tc>
          <w:tcPr>
            <w:tcW w:w="780" w:type="dxa"/>
          </w:tcPr>
          <w:p w14:paraId="3ED96215">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2EB03505">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5FE38199">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4080733C">
            <w:pPr>
              <w:rPr>
                <w:rFonts w:hint="eastAsia" w:ascii="微软雅黑" w:hAnsi="微软雅黑" w:eastAsia="微软雅黑" w:cs="微软雅黑"/>
              </w:rPr>
            </w:pPr>
            <w:r>
              <w:rPr>
                <w:rFonts w:hint="eastAsia" w:ascii="微软雅黑" w:hAnsi="微软雅黑" w:eastAsia="微软雅黑" w:cs="微软雅黑"/>
                <w:sz w:val="16"/>
              </w:rPr>
              <w:t>端—边—云三级架构与失效降级策略；四类北向接口、模型算力接口、时间同步；引用 GB/T 28181-2022</w:t>
            </w:r>
          </w:p>
        </w:tc>
        <w:tc>
          <w:tcPr>
            <w:tcW w:w="1340" w:type="dxa"/>
          </w:tcPr>
          <w:p w14:paraId="596D7F50">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3A1A7A49">
            <w:pPr>
              <w:jc w:val="center"/>
              <w:rPr>
                <w:rFonts w:hint="eastAsia" w:ascii="微软雅黑" w:hAnsi="微软雅黑" w:eastAsia="微软雅黑" w:cs="微软雅黑"/>
              </w:rPr>
            </w:pPr>
            <w:r>
              <w:rPr>
                <w:rFonts w:hint="eastAsia" w:ascii="微软雅黑" w:hAnsi="微软雅黑" w:eastAsia="微软雅黑" w:cs="微软雅黑"/>
                <w:sz w:val="16"/>
              </w:rPr>
              <w:t>C9</w:t>
            </w:r>
          </w:p>
        </w:tc>
        <w:tc>
          <w:tcPr>
            <w:tcW w:w="3300" w:type="dxa"/>
          </w:tcPr>
          <w:p w14:paraId="1CCC8921">
            <w:pPr>
              <w:rPr>
                <w:rFonts w:hint="eastAsia" w:ascii="微软雅黑" w:hAnsi="微软雅黑" w:eastAsia="微软雅黑" w:cs="微软雅黑"/>
              </w:rPr>
            </w:pPr>
            <w:r>
              <w:rPr>
                <w:rFonts w:hint="eastAsia" w:ascii="微软雅黑" w:hAnsi="微软雅黑" w:eastAsia="微软雅黑" w:cs="微软雅黑"/>
                <w:sz w:val="16"/>
              </w:rPr>
              <w:t>公共安全多智能体（机器人—无人机—无人车）协同接口要求</w:t>
            </w:r>
          </w:p>
        </w:tc>
        <w:tc>
          <w:tcPr>
            <w:tcW w:w="780" w:type="dxa"/>
          </w:tcPr>
          <w:p w14:paraId="57FFDE35">
            <w:pPr>
              <w:rPr>
                <w:rFonts w:hint="eastAsia" w:ascii="微软雅黑" w:hAnsi="微软雅黑" w:eastAsia="微软雅黑" w:cs="微软雅黑"/>
              </w:rPr>
            </w:pPr>
            <w:r>
              <w:rPr>
                <w:rFonts w:hint="eastAsia" w:ascii="微软雅黑" w:hAnsi="微软雅黑" w:eastAsia="微软雅黑" w:cs="微软雅黑"/>
                <w:sz w:val="16"/>
              </w:rPr>
              <w:t>技术</w:t>
            </w:r>
          </w:p>
        </w:tc>
        <w:tc>
          <w:tcPr>
            <w:tcW w:w="700" w:type="dxa"/>
          </w:tcPr>
          <w:p w14:paraId="26BB11DA">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0AE65763">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7B2FFF6B">
            <w:pPr>
              <w:rPr>
                <w:rFonts w:hint="eastAsia" w:ascii="微软雅黑" w:hAnsi="微软雅黑" w:eastAsia="微软雅黑" w:cs="微软雅黑"/>
              </w:rPr>
            </w:pPr>
            <w:r>
              <w:rPr>
                <w:rFonts w:hint="eastAsia" w:ascii="微软雅黑" w:hAnsi="微软雅黑" w:eastAsia="微软雅黑" w:cs="微软雅黑"/>
                <w:sz w:val="16"/>
              </w:rPr>
              <w:t>空地异构协同的接口语义、数据模型与时序一致性；采取“约定语义、不指定实现”写法</w:t>
            </w:r>
          </w:p>
        </w:tc>
        <w:tc>
          <w:tcPr>
            <w:tcW w:w="1340" w:type="dxa"/>
          </w:tcPr>
          <w:p w14:paraId="0EFA143C">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66C4E208">
            <w:pPr>
              <w:jc w:val="center"/>
              <w:rPr>
                <w:rFonts w:hint="eastAsia" w:ascii="微软雅黑" w:hAnsi="微软雅黑" w:eastAsia="微软雅黑" w:cs="微软雅黑"/>
              </w:rPr>
            </w:pPr>
            <w:r>
              <w:rPr>
                <w:rFonts w:hint="eastAsia" w:ascii="微软雅黑" w:hAnsi="微软雅黑" w:eastAsia="微软雅黑" w:cs="微软雅黑"/>
                <w:sz w:val="16"/>
              </w:rPr>
              <w:t>D1</w:t>
            </w:r>
          </w:p>
        </w:tc>
        <w:tc>
          <w:tcPr>
            <w:tcW w:w="3300" w:type="dxa"/>
          </w:tcPr>
          <w:p w14:paraId="72E5952E">
            <w:pPr>
              <w:rPr>
                <w:rFonts w:hint="eastAsia" w:ascii="微软雅黑" w:hAnsi="微软雅黑" w:eastAsia="微软雅黑" w:cs="微软雅黑"/>
              </w:rPr>
            </w:pPr>
            <w:r>
              <w:rPr>
                <w:rFonts w:hint="eastAsia" w:ascii="微软雅黑" w:hAnsi="微软雅黑" w:eastAsia="微软雅黑" w:cs="微软雅黑"/>
                <w:sz w:val="16"/>
              </w:rPr>
              <w:t>公共安全具身智能机器人　行为边界与分级授权规则</w:t>
            </w:r>
          </w:p>
        </w:tc>
        <w:tc>
          <w:tcPr>
            <w:tcW w:w="780" w:type="dxa"/>
          </w:tcPr>
          <w:p w14:paraId="4D498B1A">
            <w:pPr>
              <w:rPr>
                <w:rFonts w:hint="eastAsia" w:ascii="微软雅黑" w:hAnsi="微软雅黑" w:eastAsia="微软雅黑" w:cs="微软雅黑"/>
              </w:rPr>
            </w:pPr>
            <w:r>
              <w:rPr>
                <w:rFonts w:hint="eastAsia" w:ascii="微软雅黑" w:hAnsi="微软雅黑" w:eastAsia="微软雅黑" w:cs="微软雅黑"/>
                <w:sz w:val="16"/>
              </w:rPr>
              <w:t>管控</w:t>
            </w:r>
          </w:p>
        </w:tc>
        <w:tc>
          <w:tcPr>
            <w:tcW w:w="700" w:type="dxa"/>
          </w:tcPr>
          <w:p w14:paraId="1DBD93CC">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4848777F">
            <w:pPr>
              <w:rPr>
                <w:rFonts w:hint="eastAsia" w:ascii="微软雅黑" w:hAnsi="微软雅黑" w:eastAsia="微软雅黑" w:cs="微软雅黑"/>
              </w:rPr>
            </w:pPr>
            <w:r>
              <w:rPr>
                <w:rFonts w:hint="eastAsia" w:ascii="微软雅黑" w:hAnsi="微软雅黑" w:eastAsia="微软雅黑" w:cs="微软雅黑"/>
                <w:sz w:val="16"/>
              </w:rPr>
              <w:t>行业标准·推荐性（含强制性条款建议）</w:t>
            </w:r>
          </w:p>
        </w:tc>
        <w:tc>
          <w:tcPr>
            <w:tcW w:w="7300" w:type="dxa"/>
          </w:tcPr>
          <w:p w14:paraId="066838F5">
            <w:pPr>
              <w:rPr>
                <w:rFonts w:hint="eastAsia" w:ascii="微软雅黑" w:hAnsi="微软雅黑" w:eastAsia="微软雅黑" w:cs="微软雅黑"/>
              </w:rPr>
            </w:pPr>
            <w:r>
              <w:rPr>
                <w:rFonts w:hint="eastAsia" w:ascii="微软雅黑" w:hAnsi="微软雅黑" w:eastAsia="微软雅黑" w:cs="微软雅黑"/>
                <w:sz w:val="16"/>
              </w:rPr>
              <w:t>决定权归人的底线条款；按自主等级列出可独立实施、须人工确认、禁止实施的行为清单</w:t>
            </w:r>
          </w:p>
        </w:tc>
        <w:tc>
          <w:tcPr>
            <w:tcW w:w="1340" w:type="dxa"/>
          </w:tcPr>
          <w:p w14:paraId="6012DF84">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5621EA65">
            <w:pPr>
              <w:jc w:val="center"/>
              <w:rPr>
                <w:rFonts w:hint="eastAsia" w:ascii="微软雅黑" w:hAnsi="微软雅黑" w:eastAsia="微软雅黑" w:cs="微软雅黑"/>
              </w:rPr>
            </w:pPr>
            <w:r>
              <w:rPr>
                <w:rFonts w:hint="eastAsia" w:ascii="微软雅黑" w:hAnsi="微软雅黑" w:eastAsia="微软雅黑" w:cs="微软雅黑"/>
                <w:sz w:val="16"/>
              </w:rPr>
              <w:t>D2</w:t>
            </w:r>
          </w:p>
        </w:tc>
        <w:tc>
          <w:tcPr>
            <w:tcW w:w="3300" w:type="dxa"/>
          </w:tcPr>
          <w:p w14:paraId="31474C9A">
            <w:pPr>
              <w:rPr>
                <w:rFonts w:hint="eastAsia" w:ascii="微软雅黑" w:hAnsi="微软雅黑" w:eastAsia="微软雅黑" w:cs="微软雅黑"/>
              </w:rPr>
            </w:pPr>
            <w:r>
              <w:rPr>
                <w:rFonts w:hint="eastAsia" w:ascii="微软雅黑" w:hAnsi="微软雅黑" w:eastAsia="微软雅黑" w:cs="微软雅黑"/>
                <w:sz w:val="16"/>
              </w:rPr>
              <w:t>公共安全具身智能机器人　准入、备案与标准符合性目录要求</w:t>
            </w:r>
          </w:p>
        </w:tc>
        <w:tc>
          <w:tcPr>
            <w:tcW w:w="780" w:type="dxa"/>
          </w:tcPr>
          <w:p w14:paraId="5D46D02F">
            <w:pPr>
              <w:rPr>
                <w:rFonts w:hint="eastAsia" w:ascii="微软雅黑" w:hAnsi="微软雅黑" w:eastAsia="微软雅黑" w:cs="微软雅黑"/>
              </w:rPr>
            </w:pPr>
            <w:r>
              <w:rPr>
                <w:rFonts w:hint="eastAsia" w:ascii="微软雅黑" w:hAnsi="微软雅黑" w:eastAsia="微软雅黑" w:cs="微软雅黑"/>
                <w:sz w:val="16"/>
              </w:rPr>
              <w:t>管控</w:t>
            </w:r>
          </w:p>
        </w:tc>
        <w:tc>
          <w:tcPr>
            <w:tcW w:w="700" w:type="dxa"/>
          </w:tcPr>
          <w:p w14:paraId="0E3895EA">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406F6324">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7DC99C6E">
            <w:pPr>
              <w:rPr>
                <w:rFonts w:hint="eastAsia" w:ascii="微软雅黑" w:hAnsi="微软雅黑" w:eastAsia="微软雅黑" w:cs="微软雅黑"/>
              </w:rPr>
            </w:pPr>
            <w:r>
              <w:rPr>
                <w:rFonts w:hint="eastAsia" w:ascii="微软雅黑" w:hAnsi="微软雅黑" w:eastAsia="微软雅黑" w:cs="微软雅黑"/>
                <w:sz w:val="16"/>
              </w:rPr>
              <w:t>产品备案＋应用备案双重备案；《标准符合性目录》与列装目录、采购技术需求书联动，3 年复审</w:t>
            </w:r>
          </w:p>
        </w:tc>
        <w:tc>
          <w:tcPr>
            <w:tcW w:w="1340" w:type="dxa"/>
          </w:tcPr>
          <w:p w14:paraId="52D01AC0">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75799E2A">
            <w:pPr>
              <w:jc w:val="center"/>
              <w:rPr>
                <w:rFonts w:hint="eastAsia" w:ascii="微软雅黑" w:hAnsi="微软雅黑" w:eastAsia="微软雅黑" w:cs="微软雅黑"/>
              </w:rPr>
            </w:pPr>
            <w:r>
              <w:rPr>
                <w:rFonts w:hint="eastAsia" w:ascii="微软雅黑" w:hAnsi="微软雅黑" w:eastAsia="微软雅黑" w:cs="微软雅黑"/>
                <w:sz w:val="16"/>
              </w:rPr>
              <w:t>D3</w:t>
            </w:r>
          </w:p>
        </w:tc>
        <w:tc>
          <w:tcPr>
            <w:tcW w:w="3300" w:type="dxa"/>
          </w:tcPr>
          <w:p w14:paraId="31A34193">
            <w:pPr>
              <w:rPr>
                <w:rFonts w:hint="eastAsia" w:ascii="微软雅黑" w:hAnsi="微软雅黑" w:eastAsia="微软雅黑" w:cs="微软雅黑"/>
              </w:rPr>
            </w:pPr>
            <w:r>
              <w:rPr>
                <w:rFonts w:hint="eastAsia" w:ascii="微软雅黑" w:hAnsi="微软雅黑" w:eastAsia="微软雅黑" w:cs="微软雅黑"/>
                <w:sz w:val="16"/>
              </w:rPr>
              <w:t>公共安全具身智能机器人　接管与失效安全管控要求</w:t>
            </w:r>
          </w:p>
        </w:tc>
        <w:tc>
          <w:tcPr>
            <w:tcW w:w="780" w:type="dxa"/>
          </w:tcPr>
          <w:p w14:paraId="2680131A">
            <w:pPr>
              <w:rPr>
                <w:rFonts w:hint="eastAsia" w:ascii="微软雅黑" w:hAnsi="微软雅黑" w:eastAsia="微软雅黑" w:cs="微软雅黑"/>
              </w:rPr>
            </w:pPr>
            <w:r>
              <w:rPr>
                <w:rFonts w:hint="eastAsia" w:ascii="微软雅黑" w:hAnsi="微软雅黑" w:eastAsia="微软雅黑" w:cs="微软雅黑"/>
                <w:sz w:val="16"/>
              </w:rPr>
              <w:t>管控</w:t>
            </w:r>
          </w:p>
        </w:tc>
        <w:tc>
          <w:tcPr>
            <w:tcW w:w="700" w:type="dxa"/>
          </w:tcPr>
          <w:p w14:paraId="133BD0EF">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17A0BF0E">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26A187BC">
            <w:pPr>
              <w:rPr>
                <w:rFonts w:hint="eastAsia" w:ascii="微软雅黑" w:hAnsi="微软雅黑" w:eastAsia="微软雅黑" w:cs="微软雅黑"/>
              </w:rPr>
            </w:pPr>
            <w:r>
              <w:rPr>
                <w:rFonts w:hint="eastAsia" w:ascii="微软雅黑" w:hAnsi="微软雅黑" w:eastAsia="微软雅黑" w:cs="微软雅黑"/>
                <w:sz w:val="16"/>
              </w:rPr>
              <w:t>全部自主状态支持人工接管；通信中断的安全状态切换判据、恢复条件与失效后功能清单</w:t>
            </w:r>
          </w:p>
        </w:tc>
        <w:tc>
          <w:tcPr>
            <w:tcW w:w="1340" w:type="dxa"/>
          </w:tcPr>
          <w:p w14:paraId="358CAEA0">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7AB71F5A">
            <w:pPr>
              <w:jc w:val="center"/>
              <w:rPr>
                <w:rFonts w:hint="eastAsia" w:ascii="微软雅黑" w:hAnsi="微软雅黑" w:eastAsia="微软雅黑" w:cs="微软雅黑"/>
              </w:rPr>
            </w:pPr>
            <w:r>
              <w:rPr>
                <w:rFonts w:hint="eastAsia" w:ascii="微软雅黑" w:hAnsi="微软雅黑" w:eastAsia="微软雅黑" w:cs="微软雅黑"/>
                <w:sz w:val="16"/>
              </w:rPr>
              <w:t>D4</w:t>
            </w:r>
          </w:p>
        </w:tc>
        <w:tc>
          <w:tcPr>
            <w:tcW w:w="3300" w:type="dxa"/>
          </w:tcPr>
          <w:p w14:paraId="1334D93A">
            <w:pPr>
              <w:rPr>
                <w:rFonts w:hint="eastAsia" w:ascii="微软雅黑" w:hAnsi="微软雅黑" w:eastAsia="微软雅黑" w:cs="微软雅黑"/>
              </w:rPr>
            </w:pPr>
            <w:r>
              <w:rPr>
                <w:rFonts w:hint="eastAsia" w:ascii="微软雅黑" w:hAnsi="微软雅黑" w:eastAsia="微软雅黑" w:cs="微软雅黑"/>
                <w:sz w:val="16"/>
              </w:rPr>
              <w:t>公共安全具身智能机器人　使用留痕与证据固定要求</w:t>
            </w:r>
          </w:p>
        </w:tc>
        <w:tc>
          <w:tcPr>
            <w:tcW w:w="780" w:type="dxa"/>
          </w:tcPr>
          <w:p w14:paraId="127158D1">
            <w:pPr>
              <w:rPr>
                <w:rFonts w:hint="eastAsia" w:ascii="微软雅黑" w:hAnsi="微软雅黑" w:eastAsia="微软雅黑" w:cs="微软雅黑"/>
              </w:rPr>
            </w:pPr>
            <w:r>
              <w:rPr>
                <w:rFonts w:hint="eastAsia" w:ascii="微软雅黑" w:hAnsi="微软雅黑" w:eastAsia="微软雅黑" w:cs="微软雅黑"/>
                <w:sz w:val="16"/>
              </w:rPr>
              <w:t>管控</w:t>
            </w:r>
          </w:p>
        </w:tc>
        <w:tc>
          <w:tcPr>
            <w:tcW w:w="700" w:type="dxa"/>
          </w:tcPr>
          <w:p w14:paraId="1A8E22C2">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4A32CAD0">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220B6124">
            <w:pPr>
              <w:rPr>
                <w:rFonts w:hint="eastAsia" w:ascii="微软雅黑" w:hAnsi="微软雅黑" w:eastAsia="微软雅黑" w:cs="微软雅黑"/>
              </w:rPr>
            </w:pPr>
            <w:r>
              <w:rPr>
                <w:rFonts w:hint="eastAsia" w:ascii="微软雅黑" w:hAnsi="微软雅黑" w:eastAsia="微软雅黑" w:cs="微软雅黑"/>
                <w:sz w:val="16"/>
              </w:rPr>
              <w:t>决策链全程留痕（感知输入—模型版本—决策输出—人工确认—执行结果），不可篡改与留存期限</w:t>
            </w:r>
          </w:p>
        </w:tc>
        <w:tc>
          <w:tcPr>
            <w:tcW w:w="1340" w:type="dxa"/>
          </w:tcPr>
          <w:p w14:paraId="0A9E1A14">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5CD3BCF3">
            <w:pPr>
              <w:jc w:val="center"/>
              <w:rPr>
                <w:rFonts w:hint="eastAsia" w:ascii="微软雅黑" w:hAnsi="微软雅黑" w:eastAsia="微软雅黑" w:cs="微软雅黑"/>
              </w:rPr>
            </w:pPr>
            <w:r>
              <w:rPr>
                <w:rFonts w:hint="eastAsia" w:ascii="微软雅黑" w:hAnsi="微软雅黑" w:eastAsia="微软雅黑" w:cs="微软雅黑"/>
                <w:sz w:val="16"/>
              </w:rPr>
              <w:t>D5</w:t>
            </w:r>
          </w:p>
        </w:tc>
        <w:tc>
          <w:tcPr>
            <w:tcW w:w="3300" w:type="dxa"/>
          </w:tcPr>
          <w:p w14:paraId="4E1FAFBC">
            <w:pPr>
              <w:rPr>
                <w:rFonts w:hint="eastAsia" w:ascii="微软雅黑" w:hAnsi="微软雅黑" w:eastAsia="微软雅黑" w:cs="微软雅黑"/>
              </w:rPr>
            </w:pPr>
            <w:r>
              <w:rPr>
                <w:rFonts w:hint="eastAsia" w:ascii="微软雅黑" w:hAnsi="微软雅黑" w:eastAsia="微软雅黑" w:cs="微软雅黑"/>
                <w:sz w:val="16"/>
              </w:rPr>
              <w:t>公共安全具身智能机器人　责任分担与致害事件处置规程</w:t>
            </w:r>
          </w:p>
        </w:tc>
        <w:tc>
          <w:tcPr>
            <w:tcW w:w="780" w:type="dxa"/>
          </w:tcPr>
          <w:p w14:paraId="760AC2BC">
            <w:pPr>
              <w:rPr>
                <w:rFonts w:hint="eastAsia" w:ascii="微软雅黑" w:hAnsi="微软雅黑" w:eastAsia="微软雅黑" w:cs="微软雅黑"/>
              </w:rPr>
            </w:pPr>
            <w:r>
              <w:rPr>
                <w:rFonts w:hint="eastAsia" w:ascii="微软雅黑" w:hAnsi="微软雅黑" w:eastAsia="微软雅黑" w:cs="微软雅黑"/>
                <w:sz w:val="16"/>
              </w:rPr>
              <w:t>管控</w:t>
            </w:r>
          </w:p>
        </w:tc>
        <w:tc>
          <w:tcPr>
            <w:tcW w:w="700" w:type="dxa"/>
          </w:tcPr>
          <w:p w14:paraId="586D7AD7">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468F59E1">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17BE2577">
            <w:pPr>
              <w:rPr>
                <w:rFonts w:hint="eastAsia" w:ascii="微软雅黑" w:hAnsi="微软雅黑" w:eastAsia="微软雅黑" w:cs="微软雅黑"/>
              </w:rPr>
            </w:pPr>
            <w:r>
              <w:rPr>
                <w:rFonts w:hint="eastAsia" w:ascii="微软雅黑" w:hAnsi="微软雅黑" w:eastAsia="微软雅黑" w:cs="微软雅黑"/>
                <w:sz w:val="16"/>
              </w:rPr>
              <w:t>按自主等级分档界定责任；致害事件上报、调查与归责规程；产品责任保险与费率因子</w:t>
            </w:r>
          </w:p>
        </w:tc>
        <w:tc>
          <w:tcPr>
            <w:tcW w:w="1340" w:type="dxa"/>
          </w:tcPr>
          <w:p w14:paraId="69509EFA">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56FF99BE">
            <w:pPr>
              <w:jc w:val="center"/>
              <w:rPr>
                <w:rFonts w:hint="eastAsia" w:ascii="微软雅黑" w:hAnsi="微软雅黑" w:eastAsia="微软雅黑" w:cs="微软雅黑"/>
              </w:rPr>
            </w:pPr>
            <w:r>
              <w:rPr>
                <w:rFonts w:hint="eastAsia" w:ascii="微软雅黑" w:hAnsi="微软雅黑" w:eastAsia="微软雅黑" w:cs="微软雅黑"/>
                <w:sz w:val="16"/>
              </w:rPr>
              <w:t>D6</w:t>
            </w:r>
          </w:p>
        </w:tc>
        <w:tc>
          <w:tcPr>
            <w:tcW w:w="3300" w:type="dxa"/>
          </w:tcPr>
          <w:p w14:paraId="77A15326">
            <w:pPr>
              <w:rPr>
                <w:rFonts w:hint="eastAsia" w:ascii="微软雅黑" w:hAnsi="微软雅黑" w:eastAsia="微软雅黑" w:cs="微软雅黑"/>
              </w:rPr>
            </w:pPr>
            <w:r>
              <w:rPr>
                <w:rFonts w:hint="eastAsia" w:ascii="微软雅黑" w:hAnsi="微软雅黑" w:eastAsia="微软雅黑" w:cs="微软雅黑"/>
                <w:sz w:val="16"/>
              </w:rPr>
              <w:t>公共安全具身智能机器人　数据与内容管控要求</w:t>
            </w:r>
          </w:p>
        </w:tc>
        <w:tc>
          <w:tcPr>
            <w:tcW w:w="780" w:type="dxa"/>
          </w:tcPr>
          <w:p w14:paraId="2B01C28C">
            <w:pPr>
              <w:rPr>
                <w:rFonts w:hint="eastAsia" w:ascii="微软雅黑" w:hAnsi="微软雅黑" w:eastAsia="微软雅黑" w:cs="微软雅黑"/>
              </w:rPr>
            </w:pPr>
            <w:r>
              <w:rPr>
                <w:rFonts w:hint="eastAsia" w:ascii="微软雅黑" w:hAnsi="微软雅黑" w:eastAsia="微软雅黑" w:cs="微软雅黑"/>
                <w:sz w:val="16"/>
              </w:rPr>
              <w:t>管控</w:t>
            </w:r>
          </w:p>
        </w:tc>
        <w:tc>
          <w:tcPr>
            <w:tcW w:w="700" w:type="dxa"/>
          </w:tcPr>
          <w:p w14:paraId="171B4E97">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65853A00">
            <w:pPr>
              <w:rPr>
                <w:rFonts w:hint="eastAsia" w:ascii="微软雅黑" w:hAnsi="微软雅黑" w:eastAsia="微软雅黑" w:cs="微软雅黑"/>
              </w:rPr>
            </w:pPr>
            <w:r>
              <w:rPr>
                <w:rFonts w:hint="eastAsia" w:ascii="微软雅黑" w:hAnsi="微软雅黑" w:eastAsia="微软雅黑" w:cs="微软雅黑"/>
                <w:sz w:val="16"/>
              </w:rPr>
              <w:t>行业标准·推荐性（含强制性条款建议）</w:t>
            </w:r>
          </w:p>
        </w:tc>
        <w:tc>
          <w:tcPr>
            <w:tcW w:w="7300" w:type="dxa"/>
          </w:tcPr>
          <w:p w14:paraId="40B3154F">
            <w:pPr>
              <w:rPr>
                <w:rFonts w:hint="eastAsia" w:ascii="微软雅黑" w:hAnsi="微软雅黑" w:eastAsia="微软雅黑" w:cs="微软雅黑"/>
              </w:rPr>
            </w:pPr>
            <w:r>
              <w:rPr>
                <w:rFonts w:hint="eastAsia" w:ascii="微软雅黑" w:hAnsi="微软雅黑" w:eastAsia="微软雅黑" w:cs="微软雅黑"/>
                <w:sz w:val="16"/>
              </w:rPr>
              <w:t>分类分级、最小必要、境内存储、脱敏共享；人脸识别刚性要求；输出内容标识（衔接 GB 45438-2025）</w:t>
            </w:r>
          </w:p>
        </w:tc>
        <w:tc>
          <w:tcPr>
            <w:tcW w:w="1340" w:type="dxa"/>
          </w:tcPr>
          <w:p w14:paraId="06490440">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661EE130">
            <w:pPr>
              <w:jc w:val="center"/>
              <w:rPr>
                <w:rFonts w:hint="eastAsia" w:ascii="微软雅黑" w:hAnsi="微软雅黑" w:eastAsia="微软雅黑" w:cs="微软雅黑"/>
              </w:rPr>
            </w:pPr>
            <w:r>
              <w:rPr>
                <w:rFonts w:hint="eastAsia" w:ascii="微软雅黑" w:hAnsi="微软雅黑" w:eastAsia="微软雅黑" w:cs="微软雅黑"/>
                <w:sz w:val="16"/>
              </w:rPr>
              <w:t>E1</w:t>
            </w:r>
          </w:p>
        </w:tc>
        <w:tc>
          <w:tcPr>
            <w:tcW w:w="3300" w:type="dxa"/>
          </w:tcPr>
          <w:p w14:paraId="21356760">
            <w:pPr>
              <w:rPr>
                <w:rFonts w:hint="eastAsia" w:ascii="微软雅黑" w:hAnsi="微软雅黑" w:eastAsia="微软雅黑" w:cs="微软雅黑"/>
              </w:rPr>
            </w:pPr>
            <w:r>
              <w:rPr>
                <w:rFonts w:hint="eastAsia" w:ascii="微软雅黑" w:hAnsi="微软雅黑" w:eastAsia="微软雅黑" w:cs="微软雅黑"/>
                <w:sz w:val="16"/>
              </w:rPr>
              <w:t>公共安全具身智能机器人　配备编制与列装管理规范</w:t>
            </w:r>
          </w:p>
        </w:tc>
        <w:tc>
          <w:tcPr>
            <w:tcW w:w="780" w:type="dxa"/>
          </w:tcPr>
          <w:p w14:paraId="1C383110">
            <w:pPr>
              <w:rPr>
                <w:rFonts w:hint="eastAsia" w:ascii="微软雅黑" w:hAnsi="微软雅黑" w:eastAsia="微软雅黑" w:cs="微软雅黑"/>
              </w:rPr>
            </w:pPr>
            <w:r>
              <w:rPr>
                <w:rFonts w:hint="eastAsia" w:ascii="微软雅黑" w:hAnsi="微软雅黑" w:eastAsia="微软雅黑" w:cs="微软雅黑"/>
                <w:sz w:val="16"/>
              </w:rPr>
              <w:t>管理</w:t>
            </w:r>
          </w:p>
        </w:tc>
        <w:tc>
          <w:tcPr>
            <w:tcW w:w="700" w:type="dxa"/>
          </w:tcPr>
          <w:p w14:paraId="38956EC8">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112208D6">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188CDFD1">
            <w:pPr>
              <w:rPr>
                <w:rFonts w:hint="eastAsia" w:ascii="微软雅黑" w:hAnsi="微软雅黑" w:eastAsia="微软雅黑" w:cs="微软雅黑"/>
              </w:rPr>
            </w:pPr>
            <w:r>
              <w:rPr>
                <w:rFonts w:hint="eastAsia" w:ascii="微软雅黑" w:hAnsi="微软雅黑" w:eastAsia="微软雅黑" w:cs="微软雅黑"/>
                <w:sz w:val="16"/>
              </w:rPr>
              <w:t>按任务类型与警力规模给出编成选取方法与参考区间，具体数值由试点实测确定</w:t>
            </w:r>
          </w:p>
        </w:tc>
        <w:tc>
          <w:tcPr>
            <w:tcW w:w="1340" w:type="dxa"/>
          </w:tcPr>
          <w:p w14:paraId="7F9E57BA">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5A2E8EA1">
            <w:pPr>
              <w:jc w:val="center"/>
              <w:rPr>
                <w:rFonts w:hint="eastAsia" w:ascii="微软雅黑" w:hAnsi="微软雅黑" w:eastAsia="微软雅黑" w:cs="微软雅黑"/>
              </w:rPr>
            </w:pPr>
            <w:r>
              <w:rPr>
                <w:rFonts w:hint="eastAsia" w:ascii="微软雅黑" w:hAnsi="微软雅黑" w:eastAsia="微软雅黑" w:cs="微软雅黑"/>
                <w:sz w:val="16"/>
              </w:rPr>
              <w:t>E2</w:t>
            </w:r>
          </w:p>
        </w:tc>
        <w:tc>
          <w:tcPr>
            <w:tcW w:w="3300" w:type="dxa"/>
          </w:tcPr>
          <w:p w14:paraId="28170846">
            <w:pPr>
              <w:rPr>
                <w:rFonts w:hint="eastAsia" w:ascii="微软雅黑" w:hAnsi="微软雅黑" w:eastAsia="微软雅黑" w:cs="微软雅黑"/>
              </w:rPr>
            </w:pPr>
            <w:r>
              <w:rPr>
                <w:rFonts w:hint="eastAsia" w:ascii="微软雅黑" w:hAnsi="微软雅黑" w:eastAsia="微软雅黑" w:cs="微软雅黑"/>
                <w:sz w:val="16"/>
              </w:rPr>
              <w:t>警用机器人人机协同勤务规程</w:t>
            </w:r>
          </w:p>
        </w:tc>
        <w:tc>
          <w:tcPr>
            <w:tcW w:w="780" w:type="dxa"/>
          </w:tcPr>
          <w:p w14:paraId="7B67B263">
            <w:pPr>
              <w:rPr>
                <w:rFonts w:hint="eastAsia" w:ascii="微软雅黑" w:hAnsi="微软雅黑" w:eastAsia="微软雅黑" w:cs="微软雅黑"/>
              </w:rPr>
            </w:pPr>
            <w:r>
              <w:rPr>
                <w:rFonts w:hint="eastAsia" w:ascii="微软雅黑" w:hAnsi="微软雅黑" w:eastAsia="微软雅黑" w:cs="微软雅黑"/>
                <w:sz w:val="16"/>
              </w:rPr>
              <w:t>管理</w:t>
            </w:r>
          </w:p>
        </w:tc>
        <w:tc>
          <w:tcPr>
            <w:tcW w:w="700" w:type="dxa"/>
          </w:tcPr>
          <w:p w14:paraId="3B219EE4">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6005B60C">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099E36FB">
            <w:pPr>
              <w:rPr>
                <w:rFonts w:hint="eastAsia" w:ascii="微软雅黑" w:hAnsi="微软雅黑" w:eastAsia="微软雅黑" w:cs="微软雅黑"/>
              </w:rPr>
            </w:pPr>
            <w:r>
              <w:rPr>
                <w:rFonts w:hint="eastAsia" w:ascii="微软雅黑" w:hAnsi="微软雅黑" w:eastAsia="微软雅黑" w:cs="微软雅黑"/>
                <w:sz w:val="16"/>
              </w:rPr>
              <w:t>指挥流程、口令体系、应急预案，以及与 110 接处警流程的派单规则与处置闭环</w:t>
            </w:r>
          </w:p>
        </w:tc>
        <w:tc>
          <w:tcPr>
            <w:tcW w:w="1340" w:type="dxa"/>
          </w:tcPr>
          <w:p w14:paraId="282541F1">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3D99DE0F">
            <w:pPr>
              <w:jc w:val="center"/>
              <w:rPr>
                <w:rFonts w:hint="eastAsia" w:ascii="微软雅黑" w:hAnsi="微软雅黑" w:eastAsia="微软雅黑" w:cs="微软雅黑"/>
              </w:rPr>
            </w:pPr>
            <w:r>
              <w:rPr>
                <w:rFonts w:hint="eastAsia" w:ascii="微软雅黑" w:hAnsi="微软雅黑" w:eastAsia="微软雅黑" w:cs="微软雅黑"/>
                <w:sz w:val="16"/>
              </w:rPr>
              <w:t>E3</w:t>
            </w:r>
          </w:p>
        </w:tc>
        <w:tc>
          <w:tcPr>
            <w:tcW w:w="3300" w:type="dxa"/>
          </w:tcPr>
          <w:p w14:paraId="6DCBB9F7">
            <w:pPr>
              <w:rPr>
                <w:rFonts w:hint="eastAsia" w:ascii="微软雅黑" w:hAnsi="微软雅黑" w:eastAsia="微软雅黑" w:cs="微软雅黑"/>
              </w:rPr>
            </w:pPr>
            <w:r>
              <w:rPr>
                <w:rFonts w:hint="eastAsia" w:ascii="微软雅黑" w:hAnsi="微软雅黑" w:eastAsia="微软雅黑" w:cs="微软雅黑"/>
                <w:sz w:val="16"/>
              </w:rPr>
              <w:t>公共安全具身智能机器人　训练与考核规范</w:t>
            </w:r>
          </w:p>
        </w:tc>
        <w:tc>
          <w:tcPr>
            <w:tcW w:w="780" w:type="dxa"/>
          </w:tcPr>
          <w:p w14:paraId="3805F651">
            <w:pPr>
              <w:rPr>
                <w:rFonts w:hint="eastAsia" w:ascii="微软雅黑" w:hAnsi="微软雅黑" w:eastAsia="微软雅黑" w:cs="微软雅黑"/>
              </w:rPr>
            </w:pPr>
            <w:r>
              <w:rPr>
                <w:rFonts w:hint="eastAsia" w:ascii="微软雅黑" w:hAnsi="微软雅黑" w:eastAsia="微软雅黑" w:cs="微软雅黑"/>
                <w:sz w:val="16"/>
              </w:rPr>
              <w:t>管理</w:t>
            </w:r>
          </w:p>
        </w:tc>
        <w:tc>
          <w:tcPr>
            <w:tcW w:w="700" w:type="dxa"/>
          </w:tcPr>
          <w:p w14:paraId="391A2155">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379649B5">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0BDE1610">
            <w:pPr>
              <w:rPr>
                <w:rFonts w:hint="eastAsia" w:ascii="微软雅黑" w:hAnsi="微软雅黑" w:eastAsia="微软雅黑" w:cs="微软雅黑"/>
              </w:rPr>
            </w:pPr>
            <w:r>
              <w:rPr>
                <w:rFonts w:hint="eastAsia" w:ascii="微软雅黑" w:hAnsi="微软雅黑" w:eastAsia="微软雅黑" w:cs="微软雅黑"/>
                <w:sz w:val="16"/>
              </w:rPr>
              <w:t>操作与协同人员持证上岗；训练大纲、模拟训练系统、复训周期与资质有效期</w:t>
            </w:r>
          </w:p>
        </w:tc>
        <w:tc>
          <w:tcPr>
            <w:tcW w:w="1340" w:type="dxa"/>
          </w:tcPr>
          <w:p w14:paraId="4AE04F0D">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6823412C">
            <w:pPr>
              <w:jc w:val="center"/>
              <w:rPr>
                <w:rFonts w:hint="eastAsia" w:ascii="微软雅黑" w:hAnsi="微软雅黑" w:eastAsia="微软雅黑" w:cs="微软雅黑"/>
              </w:rPr>
            </w:pPr>
            <w:r>
              <w:rPr>
                <w:rFonts w:hint="eastAsia" w:ascii="微软雅黑" w:hAnsi="微软雅黑" w:eastAsia="微软雅黑" w:cs="微软雅黑"/>
                <w:sz w:val="16"/>
              </w:rPr>
              <w:t>E4</w:t>
            </w:r>
          </w:p>
        </w:tc>
        <w:tc>
          <w:tcPr>
            <w:tcW w:w="3300" w:type="dxa"/>
          </w:tcPr>
          <w:p w14:paraId="236518E5">
            <w:pPr>
              <w:rPr>
                <w:rFonts w:hint="eastAsia" w:ascii="微软雅黑" w:hAnsi="微软雅黑" w:eastAsia="微软雅黑" w:cs="微软雅黑"/>
              </w:rPr>
            </w:pPr>
            <w:r>
              <w:rPr>
                <w:rFonts w:hint="eastAsia" w:ascii="微软雅黑" w:hAnsi="微软雅黑" w:eastAsia="微软雅黑" w:cs="微软雅黑"/>
                <w:sz w:val="16"/>
              </w:rPr>
              <w:t>公共安全具身智能机器人　运行维护与备件保障规范</w:t>
            </w:r>
          </w:p>
        </w:tc>
        <w:tc>
          <w:tcPr>
            <w:tcW w:w="780" w:type="dxa"/>
          </w:tcPr>
          <w:p w14:paraId="5A35CBCD">
            <w:pPr>
              <w:rPr>
                <w:rFonts w:hint="eastAsia" w:ascii="微软雅黑" w:hAnsi="微软雅黑" w:eastAsia="微软雅黑" w:cs="微软雅黑"/>
              </w:rPr>
            </w:pPr>
            <w:r>
              <w:rPr>
                <w:rFonts w:hint="eastAsia" w:ascii="微软雅黑" w:hAnsi="微软雅黑" w:eastAsia="微软雅黑" w:cs="微软雅黑"/>
                <w:sz w:val="16"/>
              </w:rPr>
              <w:t>管理</w:t>
            </w:r>
          </w:p>
        </w:tc>
        <w:tc>
          <w:tcPr>
            <w:tcW w:w="700" w:type="dxa"/>
          </w:tcPr>
          <w:p w14:paraId="74ED441B">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5BDFC5C0">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2F07D8A9">
            <w:pPr>
              <w:rPr>
                <w:rFonts w:hint="eastAsia" w:ascii="微软雅黑" w:hAnsi="微软雅黑" w:eastAsia="微软雅黑" w:cs="微软雅黑"/>
              </w:rPr>
            </w:pPr>
            <w:r>
              <w:rPr>
                <w:rFonts w:hint="eastAsia" w:ascii="微软雅黑" w:hAnsi="微软雅黑" w:eastAsia="微软雅黑" w:cs="微软雅黑"/>
                <w:sz w:val="16"/>
              </w:rPr>
              <w:t>维护保障响应时效、备件供应、软件升级与版本管理、日常点验与状态检查</w:t>
            </w:r>
          </w:p>
        </w:tc>
        <w:tc>
          <w:tcPr>
            <w:tcW w:w="1340" w:type="dxa"/>
          </w:tcPr>
          <w:p w14:paraId="0150CEE5">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4F712B10">
            <w:pPr>
              <w:jc w:val="center"/>
              <w:rPr>
                <w:rFonts w:hint="eastAsia" w:ascii="微软雅黑" w:hAnsi="微软雅黑" w:eastAsia="微软雅黑" w:cs="微软雅黑"/>
              </w:rPr>
            </w:pPr>
            <w:r>
              <w:rPr>
                <w:rFonts w:hint="eastAsia" w:ascii="微软雅黑" w:hAnsi="微软雅黑" w:eastAsia="微软雅黑" w:cs="微软雅黑"/>
                <w:sz w:val="16"/>
              </w:rPr>
              <w:t>E5</w:t>
            </w:r>
          </w:p>
        </w:tc>
        <w:tc>
          <w:tcPr>
            <w:tcW w:w="3300" w:type="dxa"/>
          </w:tcPr>
          <w:p w14:paraId="25B86563">
            <w:pPr>
              <w:rPr>
                <w:rFonts w:hint="eastAsia" w:ascii="微软雅黑" w:hAnsi="微软雅黑" w:eastAsia="微软雅黑" w:cs="微软雅黑"/>
              </w:rPr>
            </w:pPr>
            <w:r>
              <w:rPr>
                <w:rFonts w:hint="eastAsia" w:ascii="微软雅黑" w:hAnsi="微软雅黑" w:eastAsia="微软雅黑" w:cs="微软雅黑"/>
                <w:sz w:val="16"/>
              </w:rPr>
              <w:t>公共安全具身智能机器人　退役与处置规范</w:t>
            </w:r>
          </w:p>
        </w:tc>
        <w:tc>
          <w:tcPr>
            <w:tcW w:w="780" w:type="dxa"/>
          </w:tcPr>
          <w:p w14:paraId="0A021780">
            <w:pPr>
              <w:rPr>
                <w:rFonts w:hint="eastAsia" w:ascii="微软雅黑" w:hAnsi="微软雅黑" w:eastAsia="微软雅黑" w:cs="微软雅黑"/>
              </w:rPr>
            </w:pPr>
            <w:r>
              <w:rPr>
                <w:rFonts w:hint="eastAsia" w:ascii="微软雅黑" w:hAnsi="微软雅黑" w:eastAsia="微软雅黑" w:cs="微软雅黑"/>
                <w:sz w:val="16"/>
              </w:rPr>
              <w:t>管理</w:t>
            </w:r>
          </w:p>
        </w:tc>
        <w:tc>
          <w:tcPr>
            <w:tcW w:w="700" w:type="dxa"/>
          </w:tcPr>
          <w:p w14:paraId="06062458">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71113D91">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3DFE9116">
            <w:pPr>
              <w:rPr>
                <w:rFonts w:hint="eastAsia" w:ascii="微软雅黑" w:hAnsi="微软雅黑" w:eastAsia="微软雅黑" w:cs="微软雅黑"/>
              </w:rPr>
            </w:pPr>
            <w:r>
              <w:rPr>
                <w:rFonts w:hint="eastAsia" w:ascii="微软雅黑" w:hAnsi="微软雅黑" w:eastAsia="微软雅黑" w:cs="微软雅黑"/>
                <w:sz w:val="16"/>
              </w:rPr>
              <w:t>数据清除与介质销毁要求、装备处置办法与责任界定</w:t>
            </w:r>
          </w:p>
        </w:tc>
        <w:tc>
          <w:tcPr>
            <w:tcW w:w="1340" w:type="dxa"/>
          </w:tcPr>
          <w:p w14:paraId="53FDEE32">
            <w:pPr>
              <w:rPr>
                <w:rFonts w:hint="eastAsia" w:ascii="微软雅黑" w:hAnsi="微软雅黑" w:eastAsia="微软雅黑" w:cs="微软雅黑"/>
              </w:rPr>
            </w:pPr>
            <w:r>
              <w:rPr>
                <w:rFonts w:hint="eastAsia" w:ascii="微软雅黑" w:hAnsi="微软雅黑" w:eastAsia="微软雅黑" w:cs="微软雅黑"/>
                <w:sz w:val="16"/>
              </w:rPr>
              <w:t>第三阶段</w:t>
            </w:r>
          </w:p>
        </w:tc>
      </w:tr>
      <w:tr>
        <w:trPr/>
        <w:tc>
          <w:tcPr>
            <w:tcW w:w="420" w:type="dxa"/>
          </w:tcPr>
          <w:p w14:paraId="75006A5D">
            <w:pPr>
              <w:jc w:val="center"/>
              <w:rPr>
                <w:rFonts w:hint="eastAsia" w:ascii="微软雅黑" w:hAnsi="微软雅黑" w:eastAsia="微软雅黑" w:cs="微软雅黑"/>
              </w:rPr>
            </w:pPr>
            <w:r>
              <w:rPr>
                <w:rFonts w:hint="eastAsia" w:ascii="微软雅黑" w:hAnsi="微软雅黑" w:eastAsia="微软雅黑" w:cs="微软雅黑"/>
                <w:sz w:val="16"/>
              </w:rPr>
              <w:t>F1</w:t>
            </w:r>
          </w:p>
        </w:tc>
        <w:tc>
          <w:tcPr>
            <w:tcW w:w="3300" w:type="dxa"/>
          </w:tcPr>
          <w:p w14:paraId="067147CB">
            <w:pPr>
              <w:rPr>
                <w:rFonts w:hint="eastAsia" w:ascii="微软雅黑" w:hAnsi="微软雅黑" w:eastAsia="微软雅黑" w:cs="微软雅黑"/>
              </w:rPr>
            </w:pPr>
            <w:r>
              <w:rPr>
                <w:rFonts w:hint="eastAsia" w:ascii="微软雅黑" w:hAnsi="微软雅黑" w:eastAsia="微软雅黑" w:cs="微软雅黑"/>
                <w:sz w:val="16"/>
              </w:rPr>
              <w:t>公共安全具身智能机器人　试验方法总则</w:t>
            </w:r>
          </w:p>
        </w:tc>
        <w:tc>
          <w:tcPr>
            <w:tcW w:w="780" w:type="dxa"/>
          </w:tcPr>
          <w:p w14:paraId="63A483E9">
            <w:pPr>
              <w:rPr>
                <w:rFonts w:hint="eastAsia" w:ascii="微软雅黑" w:hAnsi="微软雅黑" w:eastAsia="微软雅黑" w:cs="微软雅黑"/>
              </w:rPr>
            </w:pPr>
            <w:r>
              <w:rPr>
                <w:rFonts w:hint="eastAsia" w:ascii="微软雅黑" w:hAnsi="微软雅黑" w:eastAsia="微软雅黑" w:cs="微软雅黑"/>
                <w:sz w:val="16"/>
              </w:rPr>
              <w:t>测试</w:t>
            </w:r>
          </w:p>
        </w:tc>
        <w:tc>
          <w:tcPr>
            <w:tcW w:w="700" w:type="dxa"/>
          </w:tcPr>
          <w:p w14:paraId="77A99DE6">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136B1D55">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07040FD7">
            <w:pPr>
              <w:rPr>
                <w:rFonts w:hint="eastAsia" w:ascii="微软雅黑" w:hAnsi="微软雅黑" w:eastAsia="微软雅黑" w:cs="微软雅黑"/>
              </w:rPr>
            </w:pPr>
            <w:r>
              <w:rPr>
                <w:rFonts w:hint="eastAsia" w:ascii="微软雅黑" w:hAnsi="微软雅黑" w:eastAsia="微软雅黑" w:cs="微软雅黑"/>
                <w:sz w:val="16"/>
              </w:rPr>
              <w:t>三级测试体系（型式试验＋实战演练＋试点运行）及各级通过判据与不通过处置规则</w:t>
            </w:r>
          </w:p>
        </w:tc>
        <w:tc>
          <w:tcPr>
            <w:tcW w:w="1340" w:type="dxa"/>
          </w:tcPr>
          <w:p w14:paraId="23BBE182">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7FAEFF58">
            <w:pPr>
              <w:jc w:val="center"/>
              <w:rPr>
                <w:rFonts w:hint="eastAsia" w:ascii="微软雅黑" w:hAnsi="微软雅黑" w:eastAsia="微软雅黑" w:cs="微软雅黑"/>
              </w:rPr>
            </w:pPr>
            <w:r>
              <w:rPr>
                <w:rFonts w:hint="eastAsia" w:ascii="微软雅黑" w:hAnsi="微软雅黑" w:eastAsia="微软雅黑" w:cs="微软雅黑"/>
                <w:sz w:val="16"/>
              </w:rPr>
              <w:t>F2</w:t>
            </w:r>
          </w:p>
        </w:tc>
        <w:tc>
          <w:tcPr>
            <w:tcW w:w="3300" w:type="dxa"/>
          </w:tcPr>
          <w:p w14:paraId="6B78100E">
            <w:pPr>
              <w:rPr>
                <w:rFonts w:hint="eastAsia" w:ascii="微软雅黑" w:hAnsi="微软雅黑" w:eastAsia="微软雅黑" w:cs="微软雅黑"/>
              </w:rPr>
            </w:pPr>
            <w:r>
              <w:rPr>
                <w:rFonts w:hint="eastAsia" w:ascii="微软雅黑" w:hAnsi="微软雅黑" w:eastAsia="微软雅黑" w:cs="微软雅黑"/>
                <w:sz w:val="16"/>
              </w:rPr>
              <w:t>公共安全具身智能机器人　性能与可靠性试验方法</w:t>
            </w:r>
          </w:p>
        </w:tc>
        <w:tc>
          <w:tcPr>
            <w:tcW w:w="780" w:type="dxa"/>
          </w:tcPr>
          <w:p w14:paraId="5296E62C">
            <w:pPr>
              <w:rPr>
                <w:rFonts w:hint="eastAsia" w:ascii="微软雅黑" w:hAnsi="微软雅黑" w:eastAsia="微软雅黑" w:cs="微软雅黑"/>
              </w:rPr>
            </w:pPr>
            <w:r>
              <w:rPr>
                <w:rFonts w:hint="eastAsia" w:ascii="微软雅黑" w:hAnsi="微软雅黑" w:eastAsia="微软雅黑" w:cs="微软雅黑"/>
                <w:sz w:val="16"/>
              </w:rPr>
              <w:t>测试</w:t>
            </w:r>
          </w:p>
        </w:tc>
        <w:tc>
          <w:tcPr>
            <w:tcW w:w="700" w:type="dxa"/>
          </w:tcPr>
          <w:p w14:paraId="7D115A3A">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6BB6B67B">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67200F0D">
            <w:pPr>
              <w:rPr>
                <w:rFonts w:hint="eastAsia" w:ascii="微软雅黑" w:hAnsi="微软雅黑" w:eastAsia="微软雅黑" w:cs="微软雅黑"/>
              </w:rPr>
            </w:pPr>
            <w:r>
              <w:rPr>
                <w:rFonts w:hint="eastAsia" w:ascii="微软雅黑" w:hAnsi="微软雅黑" w:eastAsia="微软雅黑" w:cs="微软雅黑"/>
                <w:sz w:val="16"/>
              </w:rPr>
              <w:t>测量条件、样机数量、样本量与统计判定规则；指标口径与技术标准逐条对应</w:t>
            </w:r>
          </w:p>
        </w:tc>
        <w:tc>
          <w:tcPr>
            <w:tcW w:w="1340" w:type="dxa"/>
          </w:tcPr>
          <w:p w14:paraId="3A1EF4E1">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5396EBA1">
            <w:pPr>
              <w:jc w:val="center"/>
              <w:rPr>
                <w:rFonts w:hint="eastAsia" w:ascii="微软雅黑" w:hAnsi="微软雅黑" w:eastAsia="微软雅黑" w:cs="微软雅黑"/>
              </w:rPr>
            </w:pPr>
            <w:r>
              <w:rPr>
                <w:rFonts w:hint="eastAsia" w:ascii="微软雅黑" w:hAnsi="微软雅黑" w:eastAsia="微软雅黑" w:cs="微软雅黑"/>
                <w:sz w:val="16"/>
              </w:rPr>
              <w:t>F3</w:t>
            </w:r>
          </w:p>
        </w:tc>
        <w:tc>
          <w:tcPr>
            <w:tcW w:w="3300" w:type="dxa"/>
          </w:tcPr>
          <w:p w14:paraId="50026A10">
            <w:pPr>
              <w:rPr>
                <w:rFonts w:hint="eastAsia" w:ascii="微软雅黑" w:hAnsi="微软雅黑" w:eastAsia="微软雅黑" w:cs="微软雅黑"/>
              </w:rPr>
            </w:pPr>
            <w:r>
              <w:rPr>
                <w:rFonts w:hint="eastAsia" w:ascii="微软雅黑" w:hAnsi="微软雅黑" w:eastAsia="微软雅黑" w:cs="微软雅黑"/>
                <w:sz w:val="16"/>
              </w:rPr>
              <w:t>公共安全具身智能机器人　环境适应性试验方法</w:t>
            </w:r>
          </w:p>
        </w:tc>
        <w:tc>
          <w:tcPr>
            <w:tcW w:w="780" w:type="dxa"/>
          </w:tcPr>
          <w:p w14:paraId="4CEE757F">
            <w:pPr>
              <w:rPr>
                <w:rFonts w:hint="eastAsia" w:ascii="微软雅黑" w:hAnsi="微软雅黑" w:eastAsia="微软雅黑" w:cs="微软雅黑"/>
              </w:rPr>
            </w:pPr>
            <w:r>
              <w:rPr>
                <w:rFonts w:hint="eastAsia" w:ascii="微软雅黑" w:hAnsi="微软雅黑" w:eastAsia="微软雅黑" w:cs="微软雅黑"/>
                <w:sz w:val="16"/>
              </w:rPr>
              <w:t>测试</w:t>
            </w:r>
          </w:p>
        </w:tc>
        <w:tc>
          <w:tcPr>
            <w:tcW w:w="700" w:type="dxa"/>
          </w:tcPr>
          <w:p w14:paraId="2EB9D394">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1BF2CCAF">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0E39F413">
            <w:pPr>
              <w:rPr>
                <w:rFonts w:hint="eastAsia" w:ascii="微软雅黑" w:hAnsi="微软雅黑" w:eastAsia="微软雅黑" w:cs="微软雅黑"/>
              </w:rPr>
            </w:pPr>
            <w:r>
              <w:rPr>
                <w:rFonts w:hint="eastAsia" w:ascii="微软雅黑" w:hAnsi="微软雅黑" w:eastAsia="微软雅黑" w:cs="微软雅黑"/>
                <w:sz w:val="16"/>
              </w:rPr>
              <w:t>按环境分区设定试验剖面，引用 GB/T 2423 系列与 GB/T 17626 系列</w:t>
            </w:r>
          </w:p>
        </w:tc>
        <w:tc>
          <w:tcPr>
            <w:tcW w:w="1340" w:type="dxa"/>
          </w:tcPr>
          <w:p w14:paraId="069EC7D6">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6C431106">
            <w:pPr>
              <w:jc w:val="center"/>
              <w:rPr>
                <w:rFonts w:hint="eastAsia" w:ascii="微软雅黑" w:hAnsi="微软雅黑" w:eastAsia="微软雅黑" w:cs="微软雅黑"/>
              </w:rPr>
            </w:pPr>
            <w:r>
              <w:rPr>
                <w:rFonts w:hint="eastAsia" w:ascii="微软雅黑" w:hAnsi="微软雅黑" w:eastAsia="微软雅黑" w:cs="微软雅黑"/>
                <w:sz w:val="16"/>
              </w:rPr>
              <w:t>F4</w:t>
            </w:r>
          </w:p>
        </w:tc>
        <w:tc>
          <w:tcPr>
            <w:tcW w:w="3300" w:type="dxa"/>
          </w:tcPr>
          <w:p w14:paraId="12114D78">
            <w:pPr>
              <w:rPr>
                <w:rFonts w:hint="eastAsia" w:ascii="微软雅黑" w:hAnsi="微软雅黑" w:eastAsia="微软雅黑" w:cs="微软雅黑"/>
              </w:rPr>
            </w:pPr>
            <w:r>
              <w:rPr>
                <w:rFonts w:hint="eastAsia" w:ascii="微软雅黑" w:hAnsi="微软雅黑" w:eastAsia="微软雅黑" w:cs="微软雅黑"/>
                <w:sz w:val="16"/>
              </w:rPr>
              <w:t>公共安全具身智能机器人　对抗测试方法</w:t>
            </w:r>
          </w:p>
        </w:tc>
        <w:tc>
          <w:tcPr>
            <w:tcW w:w="780" w:type="dxa"/>
          </w:tcPr>
          <w:p w14:paraId="794016E0">
            <w:pPr>
              <w:rPr>
                <w:rFonts w:hint="eastAsia" w:ascii="微软雅黑" w:hAnsi="微软雅黑" w:eastAsia="微软雅黑" w:cs="微软雅黑"/>
              </w:rPr>
            </w:pPr>
            <w:r>
              <w:rPr>
                <w:rFonts w:hint="eastAsia" w:ascii="微软雅黑" w:hAnsi="微软雅黑" w:eastAsia="微软雅黑" w:cs="微软雅黑"/>
                <w:sz w:val="16"/>
              </w:rPr>
              <w:t>测试</w:t>
            </w:r>
          </w:p>
        </w:tc>
        <w:tc>
          <w:tcPr>
            <w:tcW w:w="700" w:type="dxa"/>
          </w:tcPr>
          <w:p w14:paraId="697142A1">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283AF4DD">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10B7E5B7">
            <w:pPr>
              <w:rPr>
                <w:rFonts w:hint="eastAsia" w:ascii="微软雅黑" w:hAnsi="微软雅黑" w:eastAsia="微软雅黑" w:cs="微软雅黑"/>
              </w:rPr>
            </w:pPr>
            <w:r>
              <w:rPr>
                <w:rFonts w:hint="eastAsia" w:ascii="微软雅黑" w:hAnsi="微软雅黑" w:eastAsia="微软雅黑" w:cs="微软雅黑"/>
                <w:sz w:val="16"/>
              </w:rPr>
              <w:t>电磁干扰、卫星定位欺骗、视觉欺骗、对抗样本、通信劫持、断电断网科目与红队测试强度分级</w:t>
            </w:r>
          </w:p>
        </w:tc>
        <w:tc>
          <w:tcPr>
            <w:tcW w:w="1340" w:type="dxa"/>
          </w:tcPr>
          <w:p w14:paraId="7D38DBFE">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5F372FCD">
            <w:pPr>
              <w:jc w:val="center"/>
              <w:rPr>
                <w:rFonts w:hint="eastAsia" w:ascii="微软雅黑" w:hAnsi="微软雅黑" w:eastAsia="微软雅黑" w:cs="微软雅黑"/>
              </w:rPr>
            </w:pPr>
            <w:r>
              <w:rPr>
                <w:rFonts w:hint="eastAsia" w:ascii="微软雅黑" w:hAnsi="微软雅黑" w:eastAsia="微软雅黑" w:cs="微软雅黑"/>
                <w:sz w:val="16"/>
              </w:rPr>
              <w:t>F5</w:t>
            </w:r>
          </w:p>
        </w:tc>
        <w:tc>
          <w:tcPr>
            <w:tcW w:w="3300" w:type="dxa"/>
          </w:tcPr>
          <w:p w14:paraId="1CD7370C">
            <w:pPr>
              <w:rPr>
                <w:rFonts w:hint="eastAsia" w:ascii="微软雅黑" w:hAnsi="微软雅黑" w:eastAsia="微软雅黑" w:cs="微软雅黑"/>
              </w:rPr>
            </w:pPr>
            <w:r>
              <w:rPr>
                <w:rFonts w:hint="eastAsia" w:ascii="微软雅黑" w:hAnsi="微软雅黑" w:eastAsia="微软雅黑" w:cs="微软雅黑"/>
                <w:sz w:val="16"/>
              </w:rPr>
              <w:t>公共安全具身智能机器人　接管与失效安全测试方法</w:t>
            </w:r>
          </w:p>
        </w:tc>
        <w:tc>
          <w:tcPr>
            <w:tcW w:w="780" w:type="dxa"/>
          </w:tcPr>
          <w:p w14:paraId="40B7A20E">
            <w:pPr>
              <w:rPr>
                <w:rFonts w:hint="eastAsia" w:ascii="微软雅黑" w:hAnsi="微软雅黑" w:eastAsia="微软雅黑" w:cs="微软雅黑"/>
              </w:rPr>
            </w:pPr>
            <w:r>
              <w:rPr>
                <w:rFonts w:hint="eastAsia" w:ascii="微软雅黑" w:hAnsi="微软雅黑" w:eastAsia="微软雅黑" w:cs="微软雅黑"/>
                <w:sz w:val="16"/>
              </w:rPr>
              <w:t>测试</w:t>
            </w:r>
          </w:p>
        </w:tc>
        <w:tc>
          <w:tcPr>
            <w:tcW w:w="700" w:type="dxa"/>
          </w:tcPr>
          <w:p w14:paraId="53184927">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491A39CA">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327771FC">
            <w:pPr>
              <w:rPr>
                <w:rFonts w:hint="eastAsia" w:ascii="微软雅黑" w:hAnsi="微软雅黑" w:eastAsia="微软雅黑" w:cs="微软雅黑"/>
              </w:rPr>
            </w:pPr>
            <w:r>
              <w:rPr>
                <w:rFonts w:hint="eastAsia" w:ascii="微软雅黑" w:hAnsi="微软雅黑" w:eastAsia="微软雅黑" w:cs="微软雅黑"/>
                <w:sz w:val="16"/>
              </w:rPr>
              <w:t>接管响应时延、安全状态切换正确率、失效后功能收敛情况的测量与判定规则</w:t>
            </w:r>
          </w:p>
        </w:tc>
        <w:tc>
          <w:tcPr>
            <w:tcW w:w="1340" w:type="dxa"/>
          </w:tcPr>
          <w:p w14:paraId="79BA413A">
            <w:pPr>
              <w:rPr>
                <w:rFonts w:hint="eastAsia" w:ascii="微软雅黑" w:hAnsi="微软雅黑" w:eastAsia="微软雅黑" w:cs="微软雅黑"/>
              </w:rPr>
            </w:pPr>
            <w:r>
              <w:rPr>
                <w:rFonts w:hint="eastAsia" w:ascii="微软雅黑" w:hAnsi="微软雅黑" w:eastAsia="微软雅黑" w:cs="微软雅黑"/>
                <w:sz w:val="16"/>
              </w:rPr>
              <w:t>第一阶段</w:t>
            </w:r>
          </w:p>
        </w:tc>
      </w:tr>
      <w:tr>
        <w:trPr/>
        <w:tc>
          <w:tcPr>
            <w:tcW w:w="420" w:type="dxa"/>
          </w:tcPr>
          <w:p w14:paraId="39FEE877">
            <w:pPr>
              <w:jc w:val="center"/>
              <w:rPr>
                <w:rFonts w:hint="eastAsia" w:ascii="微软雅黑" w:hAnsi="微软雅黑" w:eastAsia="微软雅黑" w:cs="微软雅黑"/>
              </w:rPr>
            </w:pPr>
            <w:r>
              <w:rPr>
                <w:rFonts w:hint="eastAsia" w:ascii="微软雅黑" w:hAnsi="微软雅黑" w:eastAsia="微软雅黑" w:cs="微软雅黑"/>
                <w:sz w:val="16"/>
              </w:rPr>
              <w:t>F6</w:t>
            </w:r>
          </w:p>
        </w:tc>
        <w:tc>
          <w:tcPr>
            <w:tcW w:w="3300" w:type="dxa"/>
          </w:tcPr>
          <w:p w14:paraId="31D27575">
            <w:pPr>
              <w:rPr>
                <w:rFonts w:hint="eastAsia" w:ascii="微软雅黑" w:hAnsi="微软雅黑" w:eastAsia="微软雅黑" w:cs="微软雅黑"/>
              </w:rPr>
            </w:pPr>
            <w:r>
              <w:rPr>
                <w:rFonts w:hint="eastAsia" w:ascii="微软雅黑" w:hAnsi="微软雅黑" w:eastAsia="微软雅黑" w:cs="微软雅黑"/>
                <w:sz w:val="16"/>
              </w:rPr>
              <w:t>公共安全具身智能机器人　实战化场景演练与科目设置</w:t>
            </w:r>
          </w:p>
        </w:tc>
        <w:tc>
          <w:tcPr>
            <w:tcW w:w="780" w:type="dxa"/>
          </w:tcPr>
          <w:p w14:paraId="3CE9DD88">
            <w:pPr>
              <w:rPr>
                <w:rFonts w:hint="eastAsia" w:ascii="微软雅黑" w:hAnsi="微软雅黑" w:eastAsia="微软雅黑" w:cs="微软雅黑"/>
              </w:rPr>
            </w:pPr>
            <w:r>
              <w:rPr>
                <w:rFonts w:hint="eastAsia" w:ascii="微软雅黑" w:hAnsi="微软雅黑" w:eastAsia="微软雅黑" w:cs="微软雅黑"/>
                <w:sz w:val="16"/>
              </w:rPr>
              <w:t>测试</w:t>
            </w:r>
          </w:p>
        </w:tc>
        <w:tc>
          <w:tcPr>
            <w:tcW w:w="700" w:type="dxa"/>
          </w:tcPr>
          <w:p w14:paraId="14B7A469">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3D1BAF4E">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0FB96378">
            <w:pPr>
              <w:rPr>
                <w:rFonts w:hint="eastAsia" w:ascii="微软雅黑" w:hAnsi="微软雅黑" w:eastAsia="微软雅黑" w:cs="微软雅黑"/>
              </w:rPr>
            </w:pPr>
            <w:r>
              <w:rPr>
                <w:rFonts w:hint="eastAsia" w:ascii="微软雅黑" w:hAnsi="微软雅黑" w:eastAsia="微软雅黑" w:cs="微软雅黑"/>
                <w:sz w:val="16"/>
              </w:rPr>
              <w:t>五类场景（巡逻、核查、排爆、救援、安保）的科目、脚本、评分方法与裁判规则</w:t>
            </w:r>
          </w:p>
        </w:tc>
        <w:tc>
          <w:tcPr>
            <w:tcW w:w="1340" w:type="dxa"/>
          </w:tcPr>
          <w:p w14:paraId="37BEB71E">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3E1C2699">
            <w:pPr>
              <w:jc w:val="center"/>
              <w:rPr>
                <w:rFonts w:hint="eastAsia" w:ascii="微软雅黑" w:hAnsi="微软雅黑" w:eastAsia="微软雅黑" w:cs="微软雅黑"/>
              </w:rPr>
            </w:pPr>
            <w:r>
              <w:rPr>
                <w:rFonts w:hint="eastAsia" w:ascii="微软雅黑" w:hAnsi="微软雅黑" w:eastAsia="微软雅黑" w:cs="微软雅黑"/>
                <w:sz w:val="16"/>
              </w:rPr>
              <w:t>F7</w:t>
            </w:r>
          </w:p>
        </w:tc>
        <w:tc>
          <w:tcPr>
            <w:tcW w:w="3300" w:type="dxa"/>
          </w:tcPr>
          <w:p w14:paraId="19DED790">
            <w:pPr>
              <w:rPr>
                <w:rFonts w:hint="eastAsia" w:ascii="微软雅黑" w:hAnsi="微软雅黑" w:eastAsia="微软雅黑" w:cs="微软雅黑"/>
              </w:rPr>
            </w:pPr>
            <w:r>
              <w:rPr>
                <w:rFonts w:hint="eastAsia" w:ascii="微软雅黑" w:hAnsi="微软雅黑" w:eastAsia="微软雅黑" w:cs="微软雅黑"/>
                <w:sz w:val="16"/>
              </w:rPr>
              <w:t>公共安全具身智能机器人　基准测试与测试数据集规范</w:t>
            </w:r>
          </w:p>
        </w:tc>
        <w:tc>
          <w:tcPr>
            <w:tcW w:w="780" w:type="dxa"/>
          </w:tcPr>
          <w:p w14:paraId="3F136F12">
            <w:pPr>
              <w:rPr>
                <w:rFonts w:hint="eastAsia" w:ascii="微软雅黑" w:hAnsi="微软雅黑" w:eastAsia="微软雅黑" w:cs="微软雅黑"/>
              </w:rPr>
            </w:pPr>
            <w:r>
              <w:rPr>
                <w:rFonts w:hint="eastAsia" w:ascii="微软雅黑" w:hAnsi="微软雅黑" w:eastAsia="微软雅黑" w:cs="微软雅黑"/>
                <w:sz w:val="16"/>
              </w:rPr>
              <w:t>测试</w:t>
            </w:r>
          </w:p>
        </w:tc>
        <w:tc>
          <w:tcPr>
            <w:tcW w:w="700" w:type="dxa"/>
          </w:tcPr>
          <w:p w14:paraId="7812011B">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4B233451">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2CD51037">
            <w:pPr>
              <w:rPr>
                <w:rFonts w:hint="eastAsia" w:ascii="微软雅黑" w:hAnsi="微软雅黑" w:eastAsia="微软雅黑" w:cs="微软雅黑"/>
              </w:rPr>
            </w:pPr>
            <w:r>
              <w:rPr>
                <w:rFonts w:hint="eastAsia" w:ascii="微软雅黑" w:hAnsi="微软雅黑" w:eastAsia="微软雅黑" w:cs="微软雅黑"/>
                <w:sz w:val="16"/>
              </w:rPr>
              <w:t>测试数据集采集、标注、质量验收与可复现性；衔接 YD/T 6770-2026</w:t>
            </w:r>
          </w:p>
        </w:tc>
        <w:tc>
          <w:tcPr>
            <w:tcW w:w="1340" w:type="dxa"/>
          </w:tcPr>
          <w:p w14:paraId="515F8159">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25F8EE54">
            <w:pPr>
              <w:jc w:val="center"/>
              <w:rPr>
                <w:rFonts w:hint="eastAsia" w:ascii="微软雅黑" w:hAnsi="微软雅黑" w:eastAsia="微软雅黑" w:cs="微软雅黑"/>
              </w:rPr>
            </w:pPr>
            <w:r>
              <w:rPr>
                <w:rFonts w:hint="eastAsia" w:ascii="微软雅黑" w:hAnsi="微软雅黑" w:eastAsia="微软雅黑" w:cs="微软雅黑"/>
                <w:sz w:val="16"/>
              </w:rPr>
              <w:t>G1</w:t>
            </w:r>
          </w:p>
        </w:tc>
        <w:tc>
          <w:tcPr>
            <w:tcW w:w="3300" w:type="dxa"/>
          </w:tcPr>
          <w:p w14:paraId="1C39325B">
            <w:pPr>
              <w:rPr>
                <w:rFonts w:hint="eastAsia" w:ascii="微软雅黑" w:hAnsi="微软雅黑" w:eastAsia="微软雅黑" w:cs="微软雅黑"/>
              </w:rPr>
            </w:pPr>
            <w:r>
              <w:rPr>
                <w:rFonts w:hint="eastAsia" w:ascii="微软雅黑" w:hAnsi="微软雅黑" w:eastAsia="微软雅黑" w:cs="微软雅黑"/>
                <w:sz w:val="16"/>
              </w:rPr>
              <w:t>公共安全具身智能机器人　能力等级评定方法</w:t>
            </w:r>
          </w:p>
        </w:tc>
        <w:tc>
          <w:tcPr>
            <w:tcW w:w="780" w:type="dxa"/>
          </w:tcPr>
          <w:p w14:paraId="7EA15FCC">
            <w:pPr>
              <w:rPr>
                <w:rFonts w:hint="eastAsia" w:ascii="微软雅黑" w:hAnsi="微软雅黑" w:eastAsia="微软雅黑" w:cs="微软雅黑"/>
              </w:rPr>
            </w:pPr>
            <w:r>
              <w:rPr>
                <w:rFonts w:hint="eastAsia" w:ascii="微软雅黑" w:hAnsi="微软雅黑" w:eastAsia="微软雅黑" w:cs="微软雅黑"/>
                <w:sz w:val="16"/>
              </w:rPr>
              <w:t>评价</w:t>
            </w:r>
          </w:p>
        </w:tc>
        <w:tc>
          <w:tcPr>
            <w:tcW w:w="700" w:type="dxa"/>
          </w:tcPr>
          <w:p w14:paraId="3CD4679E">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463CFE75">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445CFCDB">
            <w:pPr>
              <w:rPr>
                <w:rFonts w:hint="eastAsia" w:ascii="微软雅黑" w:hAnsi="微软雅黑" w:eastAsia="微软雅黑" w:cs="微软雅黑"/>
              </w:rPr>
            </w:pPr>
            <w:r>
              <w:rPr>
                <w:rFonts w:hint="eastAsia" w:ascii="微软雅黑" w:hAnsi="微软雅黑" w:eastAsia="微软雅黑" w:cs="微软雅黑"/>
                <w:sz w:val="16"/>
              </w:rPr>
              <w:t>依据自主等级与风险等级矩阵的能力项达标清单与评定规则，使等级结论可复算</w:t>
            </w:r>
          </w:p>
        </w:tc>
        <w:tc>
          <w:tcPr>
            <w:tcW w:w="1340" w:type="dxa"/>
          </w:tcPr>
          <w:p w14:paraId="61B86B0C">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33E1CE52">
            <w:pPr>
              <w:jc w:val="center"/>
              <w:rPr>
                <w:rFonts w:hint="eastAsia" w:ascii="微软雅黑" w:hAnsi="微软雅黑" w:eastAsia="微软雅黑" w:cs="微软雅黑"/>
              </w:rPr>
            </w:pPr>
            <w:r>
              <w:rPr>
                <w:rFonts w:hint="eastAsia" w:ascii="微软雅黑" w:hAnsi="微软雅黑" w:eastAsia="微软雅黑" w:cs="微软雅黑"/>
                <w:sz w:val="16"/>
              </w:rPr>
              <w:t>G2</w:t>
            </w:r>
          </w:p>
        </w:tc>
        <w:tc>
          <w:tcPr>
            <w:tcW w:w="3300" w:type="dxa"/>
          </w:tcPr>
          <w:p w14:paraId="50CA56D8">
            <w:pPr>
              <w:rPr>
                <w:rFonts w:hint="eastAsia" w:ascii="微软雅黑" w:hAnsi="微软雅黑" w:eastAsia="微软雅黑" w:cs="微软雅黑"/>
              </w:rPr>
            </w:pPr>
            <w:r>
              <w:rPr>
                <w:rFonts w:hint="eastAsia" w:ascii="微软雅黑" w:hAnsi="微软雅黑" w:eastAsia="微软雅黑" w:cs="微软雅黑"/>
                <w:sz w:val="16"/>
              </w:rPr>
              <w:t>公共安全具身智能机器人　实战效能评估方法</w:t>
            </w:r>
          </w:p>
        </w:tc>
        <w:tc>
          <w:tcPr>
            <w:tcW w:w="780" w:type="dxa"/>
          </w:tcPr>
          <w:p w14:paraId="07EEF90E">
            <w:pPr>
              <w:rPr>
                <w:rFonts w:hint="eastAsia" w:ascii="微软雅黑" w:hAnsi="微软雅黑" w:eastAsia="微软雅黑" w:cs="微软雅黑"/>
              </w:rPr>
            </w:pPr>
            <w:r>
              <w:rPr>
                <w:rFonts w:hint="eastAsia" w:ascii="微软雅黑" w:hAnsi="微软雅黑" w:eastAsia="微软雅黑" w:cs="微软雅黑"/>
                <w:sz w:val="16"/>
              </w:rPr>
              <w:t>评价</w:t>
            </w:r>
          </w:p>
        </w:tc>
        <w:tc>
          <w:tcPr>
            <w:tcW w:w="700" w:type="dxa"/>
          </w:tcPr>
          <w:p w14:paraId="23D2DC23">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6C3A7A05">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1D965083">
            <w:pPr>
              <w:rPr>
                <w:rFonts w:hint="eastAsia" w:ascii="微软雅黑" w:hAnsi="微软雅黑" w:eastAsia="微软雅黑" w:cs="微软雅黑"/>
              </w:rPr>
            </w:pPr>
            <w:r>
              <w:rPr>
                <w:rFonts w:hint="eastAsia" w:ascii="微软雅黑" w:hAnsi="微软雅黑" w:eastAsia="微软雅黑" w:cs="微软雅黑"/>
                <w:sz w:val="16"/>
              </w:rPr>
              <w:t>替代人力工时、响应提速幅度、风险暴露下降率、全寿命周期成本四维；明确 12 个月评估基线</w:t>
            </w:r>
          </w:p>
        </w:tc>
        <w:tc>
          <w:tcPr>
            <w:tcW w:w="1340" w:type="dxa"/>
          </w:tcPr>
          <w:p w14:paraId="4814B02D">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2A97B362">
            <w:pPr>
              <w:jc w:val="center"/>
              <w:rPr>
                <w:rFonts w:hint="eastAsia" w:ascii="微软雅黑" w:hAnsi="微软雅黑" w:eastAsia="微软雅黑" w:cs="微软雅黑"/>
              </w:rPr>
            </w:pPr>
            <w:r>
              <w:rPr>
                <w:rFonts w:hint="eastAsia" w:ascii="微软雅黑" w:hAnsi="微软雅黑" w:eastAsia="微软雅黑" w:cs="微软雅黑"/>
                <w:sz w:val="16"/>
              </w:rPr>
              <w:t>G3</w:t>
            </w:r>
          </w:p>
        </w:tc>
        <w:tc>
          <w:tcPr>
            <w:tcW w:w="3300" w:type="dxa"/>
          </w:tcPr>
          <w:p w14:paraId="693CBA73">
            <w:pPr>
              <w:rPr>
                <w:rFonts w:hint="eastAsia" w:ascii="微软雅黑" w:hAnsi="微软雅黑" w:eastAsia="微软雅黑" w:cs="微软雅黑"/>
              </w:rPr>
            </w:pPr>
            <w:r>
              <w:rPr>
                <w:rFonts w:hint="eastAsia" w:ascii="微软雅黑" w:hAnsi="微软雅黑" w:eastAsia="微软雅黑" w:cs="微软雅黑"/>
                <w:sz w:val="16"/>
              </w:rPr>
              <w:t>公共安全具身智能机器人　全寿命周期成本评估方法</w:t>
            </w:r>
          </w:p>
        </w:tc>
        <w:tc>
          <w:tcPr>
            <w:tcW w:w="780" w:type="dxa"/>
          </w:tcPr>
          <w:p w14:paraId="1F1E47CC">
            <w:pPr>
              <w:rPr>
                <w:rFonts w:hint="eastAsia" w:ascii="微软雅黑" w:hAnsi="微软雅黑" w:eastAsia="微软雅黑" w:cs="微软雅黑"/>
              </w:rPr>
            </w:pPr>
            <w:r>
              <w:rPr>
                <w:rFonts w:hint="eastAsia" w:ascii="微软雅黑" w:hAnsi="微软雅黑" w:eastAsia="微软雅黑" w:cs="微软雅黑"/>
                <w:sz w:val="16"/>
              </w:rPr>
              <w:t>评价</w:t>
            </w:r>
          </w:p>
        </w:tc>
        <w:tc>
          <w:tcPr>
            <w:tcW w:w="700" w:type="dxa"/>
          </w:tcPr>
          <w:p w14:paraId="4C77FAF7">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56DB7075">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1312DA3F">
            <w:pPr>
              <w:rPr>
                <w:rFonts w:hint="eastAsia" w:ascii="微软雅黑" w:hAnsi="微软雅黑" w:eastAsia="微软雅黑" w:cs="微软雅黑"/>
              </w:rPr>
            </w:pPr>
            <w:r>
              <w:rPr>
                <w:rFonts w:hint="eastAsia" w:ascii="微软雅黑" w:hAnsi="微软雅黑" w:eastAsia="微软雅黑" w:cs="微软雅黑"/>
                <w:sz w:val="16"/>
              </w:rPr>
              <w:t>统一成本口径（采购＋能源＋维护＋备件＋培训＋退役处置，按五年折现）</w:t>
            </w:r>
          </w:p>
        </w:tc>
        <w:tc>
          <w:tcPr>
            <w:tcW w:w="1340" w:type="dxa"/>
          </w:tcPr>
          <w:p w14:paraId="4006A6AC">
            <w:pPr>
              <w:rPr>
                <w:rFonts w:hint="eastAsia" w:ascii="微软雅黑" w:hAnsi="微软雅黑" w:eastAsia="微软雅黑" w:cs="微软雅黑"/>
              </w:rPr>
            </w:pPr>
            <w:r>
              <w:rPr>
                <w:rFonts w:hint="eastAsia" w:ascii="微软雅黑" w:hAnsi="微软雅黑" w:eastAsia="微软雅黑" w:cs="微软雅黑"/>
                <w:sz w:val="16"/>
              </w:rPr>
              <w:t>第二阶段</w:t>
            </w:r>
          </w:p>
        </w:tc>
      </w:tr>
      <w:tr>
        <w:trPr/>
        <w:tc>
          <w:tcPr>
            <w:tcW w:w="420" w:type="dxa"/>
          </w:tcPr>
          <w:p w14:paraId="1356B029">
            <w:pPr>
              <w:jc w:val="center"/>
              <w:rPr>
                <w:rFonts w:hint="eastAsia" w:ascii="微软雅黑" w:hAnsi="微软雅黑" w:eastAsia="微软雅黑" w:cs="微软雅黑"/>
              </w:rPr>
            </w:pPr>
            <w:r>
              <w:rPr>
                <w:rFonts w:hint="eastAsia" w:ascii="微软雅黑" w:hAnsi="微软雅黑" w:eastAsia="微软雅黑" w:cs="微软雅黑"/>
                <w:sz w:val="16"/>
              </w:rPr>
              <w:t>G4</w:t>
            </w:r>
          </w:p>
        </w:tc>
        <w:tc>
          <w:tcPr>
            <w:tcW w:w="3300" w:type="dxa"/>
          </w:tcPr>
          <w:p w14:paraId="76B316E7">
            <w:pPr>
              <w:rPr>
                <w:rFonts w:hint="eastAsia" w:ascii="微软雅黑" w:hAnsi="微软雅黑" w:eastAsia="微软雅黑" w:cs="微软雅黑"/>
              </w:rPr>
            </w:pPr>
            <w:r>
              <w:rPr>
                <w:rFonts w:hint="eastAsia" w:ascii="微软雅黑" w:hAnsi="微软雅黑" w:eastAsia="微软雅黑" w:cs="微软雅黑"/>
                <w:sz w:val="16"/>
              </w:rPr>
              <w:t>公共安全具身智能机器人　检测认证与标识管理要求</w:t>
            </w:r>
          </w:p>
        </w:tc>
        <w:tc>
          <w:tcPr>
            <w:tcW w:w="780" w:type="dxa"/>
          </w:tcPr>
          <w:p w14:paraId="25A110C6">
            <w:pPr>
              <w:rPr>
                <w:rFonts w:hint="eastAsia" w:ascii="微软雅黑" w:hAnsi="微软雅黑" w:eastAsia="微软雅黑" w:cs="微软雅黑"/>
              </w:rPr>
            </w:pPr>
            <w:r>
              <w:rPr>
                <w:rFonts w:hint="eastAsia" w:ascii="微软雅黑" w:hAnsi="微软雅黑" w:eastAsia="微软雅黑" w:cs="微软雅黑"/>
                <w:sz w:val="16"/>
              </w:rPr>
              <w:t>评价</w:t>
            </w:r>
          </w:p>
        </w:tc>
        <w:tc>
          <w:tcPr>
            <w:tcW w:w="700" w:type="dxa"/>
          </w:tcPr>
          <w:p w14:paraId="2D00CC0F">
            <w:pPr>
              <w:rPr>
                <w:rFonts w:hint="eastAsia" w:ascii="微软雅黑" w:hAnsi="微软雅黑" w:eastAsia="微软雅黑" w:cs="微软雅黑"/>
              </w:rPr>
            </w:pPr>
            <w:r>
              <w:rPr>
                <w:rFonts w:hint="eastAsia" w:ascii="微软雅黑" w:hAnsi="微软雅黑" w:eastAsia="微软雅黑" w:cs="微软雅黑"/>
                <w:sz w:val="16"/>
              </w:rPr>
              <w:t>L2</w:t>
            </w:r>
          </w:p>
        </w:tc>
        <w:tc>
          <w:tcPr>
            <w:tcW w:w="1300" w:type="dxa"/>
          </w:tcPr>
          <w:p w14:paraId="5FD4236D">
            <w:pPr>
              <w:rPr>
                <w:rFonts w:hint="eastAsia" w:ascii="微软雅黑" w:hAnsi="微软雅黑" w:eastAsia="微软雅黑" w:cs="微软雅黑"/>
              </w:rPr>
            </w:pPr>
            <w:r>
              <w:rPr>
                <w:rFonts w:hint="eastAsia" w:ascii="微软雅黑" w:hAnsi="微软雅黑" w:eastAsia="微软雅黑" w:cs="微软雅黑"/>
                <w:sz w:val="16"/>
              </w:rPr>
              <w:t>行业标准·推荐性</w:t>
            </w:r>
          </w:p>
        </w:tc>
        <w:tc>
          <w:tcPr>
            <w:tcW w:w="7300" w:type="dxa"/>
          </w:tcPr>
          <w:p w14:paraId="50F7C54F">
            <w:pPr>
              <w:rPr>
                <w:rFonts w:hint="eastAsia" w:ascii="微软雅黑" w:hAnsi="微软雅黑" w:eastAsia="微软雅黑" w:cs="微软雅黑"/>
              </w:rPr>
            </w:pPr>
            <w:r>
              <w:rPr>
                <w:rFonts w:hint="eastAsia" w:ascii="微软雅黑" w:hAnsi="微软雅黑" w:eastAsia="微软雅黑" w:cs="微软雅黑"/>
                <w:sz w:val="16"/>
              </w:rPr>
              <w:t>产品定型检测＋场景准入双证管理；检测机构资质与报告溯源；机构间年度比对</w:t>
            </w:r>
          </w:p>
        </w:tc>
        <w:tc>
          <w:tcPr>
            <w:tcW w:w="1340" w:type="dxa"/>
          </w:tcPr>
          <w:p w14:paraId="6979BFB2">
            <w:pPr>
              <w:rPr>
                <w:rFonts w:hint="eastAsia" w:ascii="微软雅黑" w:hAnsi="微软雅黑" w:eastAsia="微软雅黑" w:cs="微软雅黑"/>
              </w:rPr>
            </w:pPr>
            <w:r>
              <w:rPr>
                <w:rFonts w:hint="eastAsia" w:ascii="微软雅黑" w:hAnsi="微软雅黑" w:eastAsia="微软雅黑" w:cs="微软雅黑"/>
                <w:sz w:val="16"/>
              </w:rPr>
              <w:t>第二阶段</w:t>
            </w:r>
          </w:p>
        </w:tc>
      </w:tr>
    </w:tbl>
    <w:p w14:paraId="4223A383">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附表 2　标准引用与衔接映射表（示例）</w:t>
      </w:r>
    </w:p>
    <w:p w14:paraId="0DB5DAF5">
      <w:pPr>
        <w:rPr>
          <w:rFonts w:hint="eastAsia" w:ascii="微软雅黑" w:hAnsi="微软雅黑" w:eastAsia="微软雅黑" w:cs="微软雅黑"/>
        </w:rPr>
      </w:pPr>
      <w:r>
        <w:rPr>
          <w:rFonts w:hint="eastAsia" w:ascii="微软雅黑" w:hAnsi="微软雅黑" w:eastAsia="微软雅黑" w:cs="微软雅黑"/>
        </w:rPr>
        <w:t>（“引用方式”为规范性引用／资料性参考／裁剪或不采用三类；裁剪类须在标准中说明理由与替代做法，是本表最需要留痕的部分）</w:t>
      </w:r>
    </w:p>
    <w:tbl>
      <w:tblPr>
        <w:tblStyle w:val="00000d"/>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000"/>
        <w:gridCol w:w="2900"/>
        <w:gridCol w:w="1500"/>
        <w:gridCol w:w="2200"/>
        <w:gridCol w:w="5540"/>
      </w:tblGrid>
      <w:tr>
        <w:trPr>
          <w:tblHeader w:val="1"/>
        </w:trPr>
        <w:tc>
          <w:tcPr>
            <w:tcW w:w="3000" w:type="dxa"/>
            <w:shd w:val="clear" w:color="auto" w:fill="95B3D7" w:themeFill="accent1" w:themeFillTint="99"/>
          </w:tcPr>
          <w:p w14:paraId="79D8E21E">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本体系标准</w:t>
            </w:r>
          </w:p>
        </w:tc>
        <w:tc>
          <w:tcPr>
            <w:tcW w:w="2900" w:type="dxa"/>
            <w:shd w:val="clear" w:color="auto" w:fill="95B3D7" w:themeFill="accent1" w:themeFillTint="99"/>
          </w:tcPr>
          <w:p w14:paraId="71C5AB16">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引用对象</w:t>
            </w:r>
          </w:p>
        </w:tc>
        <w:tc>
          <w:tcPr>
            <w:tcW w:w="1500" w:type="dxa"/>
            <w:shd w:val="clear" w:color="auto" w:fill="95B3D7" w:themeFill="accent1" w:themeFillTint="99"/>
          </w:tcPr>
          <w:p w14:paraId="766F2835">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引用方式</w:t>
            </w:r>
          </w:p>
        </w:tc>
        <w:tc>
          <w:tcPr>
            <w:tcW w:w="2200" w:type="dxa"/>
            <w:shd w:val="clear" w:color="auto" w:fill="95B3D7" w:themeFill="accent1" w:themeFillTint="99"/>
          </w:tcPr>
          <w:p w14:paraId="68C94BE2">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引用条款范围</w:t>
            </w:r>
          </w:p>
        </w:tc>
        <w:tc>
          <w:tcPr>
            <w:tcW w:w="5540" w:type="dxa"/>
            <w:shd w:val="clear" w:color="auto" w:fill="95B3D7" w:themeFill="accent1" w:themeFillTint="99"/>
          </w:tcPr>
          <w:p w14:paraId="49C21D31">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适用边界说明</w:t>
            </w:r>
          </w:p>
        </w:tc>
      </w:tr>
      <w:tr>
        <w:trPr/>
        <w:tc>
          <w:tcPr>
            <w:tcW w:w="3000" w:type="dxa"/>
          </w:tcPr>
          <w:p w14:paraId="511790CA">
            <w:pPr>
              <w:rPr>
                <w:rFonts w:hint="eastAsia" w:ascii="微软雅黑" w:hAnsi="微软雅黑" w:eastAsia="微软雅黑" w:cs="微软雅黑"/>
              </w:rPr>
            </w:pPr>
            <w:r>
              <w:rPr>
                <w:rFonts w:hint="eastAsia" w:ascii="微软雅黑" w:hAnsi="微软雅黑" w:eastAsia="微软雅黑" w:cs="微软雅黑"/>
                <w:sz w:val="18"/>
              </w:rPr>
              <w:t>C8 系统集成与接口要求</w:t>
            </w:r>
          </w:p>
        </w:tc>
        <w:tc>
          <w:tcPr>
            <w:tcW w:w="2900" w:type="dxa"/>
          </w:tcPr>
          <w:p w14:paraId="5147C1CF">
            <w:pPr>
              <w:rPr>
                <w:rFonts w:hint="eastAsia" w:ascii="微软雅黑" w:hAnsi="微软雅黑" w:eastAsia="微软雅黑" w:cs="微软雅黑"/>
              </w:rPr>
            </w:pPr>
            <w:r>
              <w:rPr>
                <w:rFonts w:hint="eastAsia" w:ascii="微软雅黑" w:hAnsi="微软雅黑" w:eastAsia="微软雅黑" w:cs="微软雅黑"/>
                <w:sz w:val="18"/>
              </w:rPr>
              <w:t>GB/T 28181-2022 公共安全视频监控联网系统信息传输、交换、控制技术要求</w:t>
            </w:r>
          </w:p>
        </w:tc>
        <w:tc>
          <w:tcPr>
            <w:tcW w:w="1500" w:type="dxa"/>
          </w:tcPr>
          <w:p w14:paraId="7064223A">
            <w:pPr>
              <w:rPr>
                <w:rFonts w:hint="eastAsia" w:ascii="微软雅黑" w:hAnsi="微软雅黑" w:eastAsia="微软雅黑" w:cs="微软雅黑"/>
              </w:rPr>
            </w:pPr>
            <w:r>
              <w:rPr>
                <w:rFonts w:hint="eastAsia" w:ascii="微软雅黑" w:hAnsi="微软雅黑" w:eastAsia="微软雅黑" w:cs="微软雅黑"/>
                <w:sz w:val="18"/>
              </w:rPr>
              <w:t>规范性引用</w:t>
            </w:r>
          </w:p>
        </w:tc>
        <w:tc>
          <w:tcPr>
            <w:tcW w:w="2200" w:type="dxa"/>
          </w:tcPr>
          <w:p w14:paraId="23FE2527">
            <w:pPr>
              <w:rPr>
                <w:rFonts w:hint="eastAsia" w:ascii="微软雅黑" w:hAnsi="微软雅黑" w:eastAsia="微软雅黑" w:cs="微软雅黑"/>
              </w:rPr>
            </w:pPr>
            <w:r>
              <w:rPr>
                <w:rFonts w:hint="eastAsia" w:ascii="微软雅黑" w:hAnsi="微软雅黑" w:eastAsia="微软雅黑" w:cs="微软雅黑"/>
                <w:sz w:val="18"/>
              </w:rPr>
              <w:t>联网与传输控制相关条款</w:t>
            </w:r>
          </w:p>
        </w:tc>
        <w:tc>
          <w:tcPr>
            <w:tcW w:w="5540" w:type="dxa"/>
          </w:tcPr>
          <w:p w14:paraId="02664F94">
            <w:pPr>
              <w:rPr>
                <w:rFonts w:hint="eastAsia" w:ascii="微软雅黑" w:hAnsi="微软雅黑" w:eastAsia="微软雅黑" w:cs="微软雅黑"/>
              </w:rPr>
            </w:pPr>
            <w:r>
              <w:rPr>
                <w:rFonts w:hint="eastAsia" w:ascii="微软雅黑" w:hAnsi="微软雅黑" w:eastAsia="微软雅黑" w:cs="微软雅黑"/>
                <w:sz w:val="18"/>
              </w:rPr>
              <w:t>直接引用，不重复规定；接口扩展部分另行规定</w:t>
            </w:r>
          </w:p>
        </w:tc>
      </w:tr>
      <w:tr>
        <w:trPr/>
        <w:tc>
          <w:tcPr>
            <w:tcW w:w="3000" w:type="dxa"/>
          </w:tcPr>
          <w:p w14:paraId="5E43387C">
            <w:pPr>
              <w:rPr>
                <w:rFonts w:hint="eastAsia" w:ascii="微软雅黑" w:hAnsi="微软雅黑" w:eastAsia="微软雅黑" w:cs="微软雅黑"/>
              </w:rPr>
            </w:pPr>
            <w:r>
              <w:rPr>
                <w:rFonts w:hint="eastAsia" w:ascii="微软雅黑" w:hAnsi="微软雅黑" w:eastAsia="微软雅黑" w:cs="微软雅黑"/>
                <w:sz w:val="18"/>
              </w:rPr>
              <w:t>C2 环境适应性与可靠性通用要求</w:t>
            </w:r>
          </w:p>
        </w:tc>
        <w:tc>
          <w:tcPr>
            <w:tcW w:w="2900" w:type="dxa"/>
          </w:tcPr>
          <w:p w14:paraId="2F9576E1">
            <w:pPr>
              <w:rPr>
                <w:rFonts w:hint="eastAsia" w:ascii="微软雅黑" w:hAnsi="微软雅黑" w:eastAsia="微软雅黑" w:cs="微软雅黑"/>
              </w:rPr>
            </w:pPr>
            <w:r>
              <w:rPr>
                <w:rFonts w:hint="eastAsia" w:ascii="微软雅黑" w:hAnsi="微软雅黑" w:eastAsia="微软雅黑" w:cs="微软雅黑"/>
                <w:sz w:val="18"/>
              </w:rPr>
              <w:t>GB 42590-2023 民用无人驾驶航空器系统安全要求</w:t>
            </w:r>
          </w:p>
        </w:tc>
        <w:tc>
          <w:tcPr>
            <w:tcW w:w="1500" w:type="dxa"/>
          </w:tcPr>
          <w:p w14:paraId="745721A3">
            <w:pPr>
              <w:rPr>
                <w:rFonts w:hint="eastAsia" w:ascii="微软雅黑" w:hAnsi="微软雅黑" w:eastAsia="微软雅黑" w:cs="微软雅黑"/>
              </w:rPr>
            </w:pPr>
            <w:r>
              <w:rPr>
                <w:rFonts w:hint="eastAsia" w:ascii="微软雅黑" w:hAnsi="微软雅黑" w:eastAsia="微软雅黑" w:cs="微软雅黑"/>
                <w:sz w:val="18"/>
              </w:rPr>
              <w:t>资料性参考</w:t>
            </w:r>
          </w:p>
        </w:tc>
        <w:tc>
          <w:tcPr>
            <w:tcW w:w="2200" w:type="dxa"/>
          </w:tcPr>
          <w:p w14:paraId="1AF44D22">
            <w:pPr>
              <w:rPr>
                <w:rFonts w:hint="eastAsia" w:ascii="微软雅黑" w:hAnsi="微软雅黑" w:eastAsia="微软雅黑" w:cs="微软雅黑"/>
              </w:rPr>
            </w:pPr>
            <w:r>
              <w:rPr>
                <w:rFonts w:hint="eastAsia" w:ascii="微软雅黑" w:hAnsi="微软雅黑" w:eastAsia="微软雅黑" w:cs="微软雅黑"/>
                <w:sz w:val="18"/>
              </w:rPr>
              <w:t>试验方法框架</w:t>
            </w:r>
          </w:p>
        </w:tc>
        <w:tc>
          <w:tcPr>
            <w:tcW w:w="5540" w:type="dxa"/>
          </w:tcPr>
          <w:p w14:paraId="25396099">
            <w:pPr>
              <w:rPr>
                <w:rFonts w:hint="eastAsia" w:ascii="微软雅黑" w:hAnsi="微软雅黑" w:eastAsia="微软雅黑" w:cs="微软雅黑"/>
              </w:rPr>
            </w:pPr>
            <w:r>
              <w:rPr>
                <w:rFonts w:hint="eastAsia" w:ascii="微软雅黑" w:hAnsi="微软雅黑" w:eastAsia="微软雅黑" w:cs="微软雅黑"/>
                <w:sz w:val="18"/>
              </w:rPr>
              <w:t>适用对象为民用无人机，其试验方法框架可移植，但指标不能直接等同，须按机器人形态重新定义</w:t>
            </w:r>
          </w:p>
        </w:tc>
      </w:tr>
      <w:tr>
        <w:trPr/>
        <w:tc>
          <w:tcPr>
            <w:tcW w:w="3000" w:type="dxa"/>
          </w:tcPr>
          <w:p w14:paraId="40995B1B">
            <w:pPr>
              <w:rPr>
                <w:rFonts w:hint="eastAsia" w:ascii="微软雅黑" w:hAnsi="微软雅黑" w:eastAsia="微软雅黑" w:cs="微软雅黑"/>
              </w:rPr>
            </w:pPr>
            <w:r>
              <w:rPr>
                <w:rFonts w:hint="eastAsia" w:ascii="微软雅黑" w:hAnsi="微软雅黑" w:eastAsia="微软雅黑" w:cs="微软雅黑"/>
                <w:sz w:val="18"/>
              </w:rPr>
              <w:t>B1 标识与编码规则</w:t>
            </w:r>
          </w:p>
        </w:tc>
        <w:tc>
          <w:tcPr>
            <w:tcW w:w="2900" w:type="dxa"/>
          </w:tcPr>
          <w:p w14:paraId="7EB46B08">
            <w:pPr>
              <w:rPr>
                <w:rFonts w:hint="eastAsia" w:ascii="微软雅黑" w:hAnsi="微软雅黑" w:eastAsia="微软雅黑" w:cs="微软雅黑"/>
              </w:rPr>
            </w:pPr>
            <w:r>
              <w:rPr>
                <w:rFonts w:hint="eastAsia" w:ascii="微软雅黑" w:hAnsi="微软雅黑" w:eastAsia="微软雅黑" w:cs="微软雅黑"/>
                <w:sz w:val="18"/>
              </w:rPr>
              <w:t>GB/T 41300-2022 民用无人机唯一产品识别码</w:t>
            </w:r>
          </w:p>
        </w:tc>
        <w:tc>
          <w:tcPr>
            <w:tcW w:w="1500" w:type="dxa"/>
          </w:tcPr>
          <w:p w14:paraId="1278A4DA">
            <w:pPr>
              <w:rPr>
                <w:rFonts w:hint="eastAsia" w:ascii="微软雅黑" w:hAnsi="微软雅黑" w:eastAsia="微软雅黑" w:cs="微软雅黑"/>
              </w:rPr>
            </w:pPr>
            <w:r>
              <w:rPr>
                <w:rFonts w:hint="eastAsia" w:ascii="微软雅黑" w:hAnsi="微软雅黑" w:eastAsia="微软雅黑" w:cs="微软雅黑"/>
                <w:sz w:val="18"/>
              </w:rPr>
              <w:t>资料性参考</w:t>
            </w:r>
          </w:p>
        </w:tc>
        <w:tc>
          <w:tcPr>
            <w:tcW w:w="2200" w:type="dxa"/>
          </w:tcPr>
          <w:p w14:paraId="2C378C52">
            <w:pPr>
              <w:rPr>
                <w:rFonts w:hint="eastAsia" w:ascii="微软雅黑" w:hAnsi="微软雅黑" w:eastAsia="微软雅黑" w:cs="微软雅黑"/>
              </w:rPr>
            </w:pPr>
            <w:r>
              <w:rPr>
                <w:rFonts w:hint="eastAsia" w:ascii="微软雅黑" w:hAnsi="微软雅黑" w:eastAsia="微软雅黑" w:cs="微软雅黑"/>
                <w:sz w:val="18"/>
              </w:rPr>
              <w:t>编码结构思路</w:t>
            </w:r>
          </w:p>
        </w:tc>
        <w:tc>
          <w:tcPr>
            <w:tcW w:w="5540" w:type="dxa"/>
          </w:tcPr>
          <w:p w14:paraId="0F83350D">
            <w:pPr>
              <w:rPr>
                <w:rFonts w:hint="eastAsia" w:ascii="微软雅黑" w:hAnsi="微软雅黑" w:eastAsia="微软雅黑" w:cs="微软雅黑"/>
              </w:rPr>
            </w:pPr>
            <w:r>
              <w:rPr>
                <w:rFonts w:hint="eastAsia" w:ascii="微软雅黑" w:hAnsi="微软雅黑" w:eastAsia="微软雅黑" w:cs="微软雅黑"/>
                <w:sz w:val="18"/>
              </w:rPr>
              <w:t>仅借用“制造商代码＋产品型号代码＋序列号”的结构；警用机器人编码段位另行规定</w:t>
            </w:r>
          </w:p>
        </w:tc>
      </w:tr>
      <w:tr>
        <w:trPr/>
        <w:tc>
          <w:tcPr>
            <w:tcW w:w="3000" w:type="dxa"/>
          </w:tcPr>
          <w:p w14:paraId="0701174E">
            <w:pPr>
              <w:rPr>
                <w:rFonts w:hint="eastAsia" w:ascii="微软雅黑" w:hAnsi="微软雅黑" w:eastAsia="微软雅黑" w:cs="微软雅黑"/>
              </w:rPr>
            </w:pPr>
            <w:r>
              <w:rPr>
                <w:rFonts w:hint="eastAsia" w:ascii="微软雅黑" w:hAnsi="微软雅黑" w:eastAsia="微软雅黑" w:cs="微软雅黑"/>
                <w:sz w:val="18"/>
              </w:rPr>
              <w:t>D6 数据与内容管控要求</w:t>
            </w:r>
          </w:p>
        </w:tc>
        <w:tc>
          <w:tcPr>
            <w:tcW w:w="2900" w:type="dxa"/>
          </w:tcPr>
          <w:p w14:paraId="4FAE1F35">
            <w:pPr>
              <w:rPr>
                <w:rFonts w:hint="eastAsia" w:ascii="微软雅黑" w:hAnsi="微软雅黑" w:eastAsia="微软雅黑" w:cs="微软雅黑"/>
              </w:rPr>
            </w:pPr>
            <w:r>
              <w:rPr>
                <w:rFonts w:hint="eastAsia" w:ascii="微软雅黑" w:hAnsi="微软雅黑" w:eastAsia="微软雅黑" w:cs="微软雅黑"/>
                <w:sz w:val="18"/>
              </w:rPr>
              <w:t>GB 45438-2025 人工智能生成合成内容标识方法</w:t>
            </w:r>
          </w:p>
        </w:tc>
        <w:tc>
          <w:tcPr>
            <w:tcW w:w="1500" w:type="dxa"/>
          </w:tcPr>
          <w:p w14:paraId="2F06A9E6">
            <w:pPr>
              <w:rPr>
                <w:rFonts w:hint="eastAsia" w:ascii="微软雅黑" w:hAnsi="微软雅黑" w:eastAsia="微软雅黑" w:cs="微软雅黑"/>
              </w:rPr>
            </w:pPr>
            <w:r>
              <w:rPr>
                <w:rFonts w:hint="eastAsia" w:ascii="微软雅黑" w:hAnsi="微软雅黑" w:eastAsia="微软雅黑" w:cs="微软雅黑"/>
                <w:sz w:val="18"/>
              </w:rPr>
              <w:t>规范性引用</w:t>
            </w:r>
          </w:p>
        </w:tc>
        <w:tc>
          <w:tcPr>
            <w:tcW w:w="2200" w:type="dxa"/>
          </w:tcPr>
          <w:p w14:paraId="536D7BD1">
            <w:pPr>
              <w:rPr>
                <w:rFonts w:hint="eastAsia" w:ascii="微软雅黑" w:hAnsi="微软雅黑" w:eastAsia="微软雅黑" w:cs="微软雅黑"/>
              </w:rPr>
            </w:pPr>
            <w:r>
              <w:rPr>
                <w:rFonts w:hint="eastAsia" w:ascii="微软雅黑" w:hAnsi="微软雅黑" w:eastAsia="微软雅黑" w:cs="微软雅黑"/>
                <w:sz w:val="18"/>
              </w:rPr>
              <w:t>标识相关条款</w:t>
            </w:r>
          </w:p>
        </w:tc>
        <w:tc>
          <w:tcPr>
            <w:tcW w:w="5540" w:type="dxa"/>
          </w:tcPr>
          <w:p w14:paraId="64F6E9D6">
            <w:pPr>
              <w:rPr>
                <w:rFonts w:hint="eastAsia" w:ascii="微软雅黑" w:hAnsi="微软雅黑" w:eastAsia="微软雅黑" w:cs="微软雅黑"/>
              </w:rPr>
            </w:pPr>
            <w:r>
              <w:rPr>
                <w:rFonts w:hint="eastAsia" w:ascii="微软雅黑" w:hAnsi="微软雅黑" w:eastAsia="微软雅黑" w:cs="微软雅黑"/>
                <w:sz w:val="18"/>
              </w:rPr>
              <w:t>强制性国家标准，须执行；覆盖机器人播报的合成语音、警情分析文本与合成图像</w:t>
            </w:r>
          </w:p>
        </w:tc>
      </w:tr>
      <w:tr>
        <w:trPr/>
        <w:tc>
          <w:tcPr>
            <w:tcW w:w="3000" w:type="dxa"/>
          </w:tcPr>
          <w:p w14:paraId="3F18C7DA">
            <w:pPr>
              <w:rPr>
                <w:rFonts w:hint="eastAsia" w:ascii="微软雅黑" w:hAnsi="微软雅黑" w:eastAsia="微软雅黑" w:cs="微软雅黑"/>
              </w:rPr>
            </w:pPr>
            <w:r>
              <w:rPr>
                <w:rFonts w:hint="eastAsia" w:ascii="微软雅黑" w:hAnsi="微软雅黑" w:eastAsia="微软雅黑" w:cs="微软雅黑"/>
                <w:sz w:val="18"/>
              </w:rPr>
              <w:t>C6 具身智能决策与大模型技术要求</w:t>
            </w:r>
          </w:p>
        </w:tc>
        <w:tc>
          <w:tcPr>
            <w:tcW w:w="2900" w:type="dxa"/>
          </w:tcPr>
          <w:p w14:paraId="787CB13A">
            <w:pPr>
              <w:rPr>
                <w:rFonts w:hint="eastAsia" w:ascii="微软雅黑" w:hAnsi="微软雅黑" w:eastAsia="微软雅黑" w:cs="微软雅黑"/>
              </w:rPr>
            </w:pPr>
            <w:r>
              <w:rPr>
                <w:rFonts w:hint="eastAsia" w:ascii="微软雅黑" w:hAnsi="微软雅黑" w:eastAsia="微软雅黑" w:cs="微软雅黑"/>
                <w:sz w:val="18"/>
              </w:rPr>
              <w:t>GB/T 45654-2025 生成式人工智能服务安全基本要求</w:t>
            </w:r>
          </w:p>
        </w:tc>
        <w:tc>
          <w:tcPr>
            <w:tcW w:w="1500" w:type="dxa"/>
          </w:tcPr>
          <w:p w14:paraId="1BFBA432">
            <w:pPr>
              <w:rPr>
                <w:rFonts w:hint="eastAsia" w:ascii="微软雅黑" w:hAnsi="微软雅黑" w:eastAsia="微软雅黑" w:cs="微软雅黑"/>
              </w:rPr>
            </w:pPr>
            <w:r>
              <w:rPr>
                <w:rFonts w:hint="eastAsia" w:ascii="微软雅黑" w:hAnsi="微软雅黑" w:eastAsia="微软雅黑" w:cs="微软雅黑"/>
                <w:sz w:val="18"/>
              </w:rPr>
              <w:t>规范性引用</w:t>
            </w:r>
          </w:p>
        </w:tc>
        <w:tc>
          <w:tcPr>
            <w:tcW w:w="2200" w:type="dxa"/>
          </w:tcPr>
          <w:p w14:paraId="60C6197B">
            <w:pPr>
              <w:rPr>
                <w:rFonts w:hint="eastAsia" w:ascii="微软雅黑" w:hAnsi="微软雅黑" w:eastAsia="微软雅黑" w:cs="微软雅黑"/>
              </w:rPr>
            </w:pPr>
            <w:r>
              <w:rPr>
                <w:rFonts w:hint="eastAsia" w:ascii="微软雅黑" w:hAnsi="微软雅黑" w:eastAsia="微软雅黑" w:cs="微软雅黑"/>
                <w:sz w:val="18"/>
              </w:rPr>
              <w:t>安全评估相关条款</w:t>
            </w:r>
          </w:p>
        </w:tc>
        <w:tc>
          <w:tcPr>
            <w:tcW w:w="5540" w:type="dxa"/>
          </w:tcPr>
          <w:p w14:paraId="0FEA7E3E">
            <w:pPr>
              <w:rPr>
                <w:rFonts w:hint="eastAsia" w:ascii="微软雅黑" w:hAnsi="微软雅黑" w:eastAsia="微软雅黑" w:cs="微软雅黑"/>
              </w:rPr>
            </w:pPr>
            <w:r>
              <w:rPr>
                <w:rFonts w:hint="eastAsia" w:ascii="微软雅黑" w:hAnsi="微软雅黑" w:eastAsia="微软雅黑" w:cs="微软雅黑"/>
                <w:sz w:val="18"/>
              </w:rPr>
              <w:t>模型上线前安全评估适用；涉警语料与评测基准另定</w:t>
            </w:r>
          </w:p>
        </w:tc>
      </w:tr>
      <w:tr>
        <w:trPr/>
        <w:tc>
          <w:tcPr>
            <w:tcW w:w="3000" w:type="dxa"/>
          </w:tcPr>
          <w:p w14:paraId="3440B47B">
            <w:pPr>
              <w:rPr>
                <w:rFonts w:hint="eastAsia" w:ascii="微软雅黑" w:hAnsi="微软雅黑" w:eastAsia="微软雅黑" w:cs="微软雅黑"/>
              </w:rPr>
            </w:pPr>
            <w:r>
              <w:rPr>
                <w:rFonts w:hint="eastAsia" w:ascii="微软雅黑" w:hAnsi="微软雅黑" w:eastAsia="微软雅黑" w:cs="微软雅黑"/>
                <w:sz w:val="18"/>
              </w:rPr>
              <w:t>A3 能力分级与风险分级方法</w:t>
            </w:r>
          </w:p>
        </w:tc>
        <w:tc>
          <w:tcPr>
            <w:tcW w:w="2900" w:type="dxa"/>
          </w:tcPr>
          <w:p w14:paraId="4CEFD465">
            <w:pPr>
              <w:rPr>
                <w:rFonts w:hint="eastAsia" w:ascii="微软雅黑" w:hAnsi="微软雅黑" w:eastAsia="微软雅黑" w:cs="微软雅黑"/>
              </w:rPr>
            </w:pPr>
            <w:r>
              <w:rPr>
                <w:rFonts w:hint="eastAsia" w:ascii="微软雅黑" w:hAnsi="微软雅黑" w:eastAsia="微软雅黑" w:cs="微软雅黑"/>
                <w:sz w:val="18"/>
              </w:rPr>
              <w:t>《人形机器人与具身智能标准体系（2026版）》能力分级相关部分</w:t>
            </w:r>
          </w:p>
        </w:tc>
        <w:tc>
          <w:tcPr>
            <w:tcW w:w="1500" w:type="dxa"/>
          </w:tcPr>
          <w:p w14:paraId="6A451DAA">
            <w:pPr>
              <w:rPr>
                <w:rFonts w:hint="eastAsia" w:ascii="微软雅黑" w:hAnsi="微软雅黑" w:eastAsia="微软雅黑" w:cs="微软雅黑"/>
              </w:rPr>
            </w:pPr>
            <w:r>
              <w:rPr>
                <w:rFonts w:hint="eastAsia" w:ascii="微软雅黑" w:hAnsi="微软雅黑" w:eastAsia="微软雅黑" w:cs="微软雅黑"/>
                <w:sz w:val="18"/>
              </w:rPr>
              <w:t>资料性参考</w:t>
            </w:r>
          </w:p>
        </w:tc>
        <w:tc>
          <w:tcPr>
            <w:tcW w:w="2200" w:type="dxa"/>
          </w:tcPr>
          <w:p w14:paraId="63E40077">
            <w:pPr>
              <w:rPr>
                <w:rFonts w:hint="eastAsia" w:ascii="微软雅黑" w:hAnsi="微软雅黑" w:eastAsia="微软雅黑" w:cs="微软雅黑"/>
              </w:rPr>
            </w:pPr>
            <w:r>
              <w:rPr>
                <w:rFonts w:hint="eastAsia" w:ascii="微软雅黑" w:hAnsi="微软雅黑" w:eastAsia="微软雅黑" w:cs="微软雅黑"/>
                <w:sz w:val="18"/>
              </w:rPr>
              <w:t>能力分级方法体系</w:t>
            </w:r>
          </w:p>
        </w:tc>
        <w:tc>
          <w:tcPr>
            <w:tcW w:w="5540" w:type="dxa"/>
          </w:tcPr>
          <w:p w14:paraId="2ECE7B56">
            <w:pPr>
              <w:rPr>
                <w:rFonts w:hint="eastAsia" w:ascii="微软雅黑" w:hAnsi="微软雅黑" w:eastAsia="微软雅黑" w:cs="微软雅黑"/>
              </w:rPr>
            </w:pPr>
            <w:r>
              <w:rPr>
                <w:rFonts w:hint="eastAsia" w:ascii="微软雅黑" w:hAnsi="微软雅黑" w:eastAsia="微软雅黑" w:cs="微软雅黑"/>
                <w:sz w:val="18"/>
              </w:rPr>
              <w:t>产业侧分级面向通用产品；公共安全侧须重新定义操作主体、接管要求与授权范围，不得直接套用</w:t>
            </w:r>
          </w:p>
        </w:tc>
      </w:tr>
      <w:tr>
        <w:trPr/>
        <w:tc>
          <w:tcPr>
            <w:tcW w:w="3000" w:type="dxa"/>
          </w:tcPr>
          <w:p w14:paraId="449213B9">
            <w:pPr>
              <w:rPr>
                <w:rFonts w:hint="eastAsia" w:ascii="微软雅黑" w:hAnsi="微软雅黑" w:eastAsia="微软雅黑" w:cs="微软雅黑"/>
              </w:rPr>
            </w:pPr>
            <w:r>
              <w:rPr>
                <w:rFonts w:hint="eastAsia" w:ascii="微软雅黑" w:hAnsi="微软雅黑" w:eastAsia="微软雅黑" w:cs="微软雅黑"/>
                <w:sz w:val="18"/>
              </w:rPr>
              <w:t>F7 基准测试与测试数据集规范</w:t>
            </w:r>
          </w:p>
        </w:tc>
        <w:tc>
          <w:tcPr>
            <w:tcW w:w="2900" w:type="dxa"/>
          </w:tcPr>
          <w:p w14:paraId="0E3FE7B7">
            <w:pPr>
              <w:rPr>
                <w:rFonts w:hint="eastAsia" w:ascii="微软雅黑" w:hAnsi="微软雅黑" w:eastAsia="微软雅黑" w:cs="微软雅黑"/>
              </w:rPr>
            </w:pPr>
            <w:r>
              <w:rPr>
                <w:rFonts w:hint="eastAsia" w:ascii="微软雅黑" w:hAnsi="微软雅黑" w:eastAsia="微软雅黑" w:cs="微软雅黑"/>
                <w:sz w:val="18"/>
              </w:rPr>
              <w:t>YD/T 6770-2026 具身智能基准测试方法</w:t>
            </w:r>
          </w:p>
        </w:tc>
        <w:tc>
          <w:tcPr>
            <w:tcW w:w="1500" w:type="dxa"/>
          </w:tcPr>
          <w:p w14:paraId="517413DD">
            <w:pPr>
              <w:rPr>
                <w:rFonts w:hint="eastAsia" w:ascii="微软雅黑" w:hAnsi="微软雅黑" w:eastAsia="微软雅黑" w:cs="微软雅黑"/>
              </w:rPr>
            </w:pPr>
            <w:r>
              <w:rPr>
                <w:rFonts w:hint="eastAsia" w:ascii="微软雅黑" w:hAnsi="微软雅黑" w:eastAsia="微软雅黑" w:cs="微软雅黑"/>
                <w:sz w:val="18"/>
              </w:rPr>
              <w:t>规范性引用</w:t>
            </w:r>
          </w:p>
        </w:tc>
        <w:tc>
          <w:tcPr>
            <w:tcW w:w="2200" w:type="dxa"/>
          </w:tcPr>
          <w:p w14:paraId="2A27CE9F">
            <w:pPr>
              <w:rPr>
                <w:rFonts w:hint="eastAsia" w:ascii="微软雅黑" w:hAnsi="微软雅黑" w:eastAsia="微软雅黑" w:cs="微软雅黑"/>
              </w:rPr>
            </w:pPr>
            <w:r>
              <w:rPr>
                <w:rFonts w:hint="eastAsia" w:ascii="微软雅黑" w:hAnsi="微软雅黑" w:eastAsia="微软雅黑" w:cs="微软雅黑"/>
                <w:sz w:val="18"/>
              </w:rPr>
              <w:t>基准测试方法条款</w:t>
            </w:r>
          </w:p>
        </w:tc>
        <w:tc>
          <w:tcPr>
            <w:tcW w:w="5540" w:type="dxa"/>
          </w:tcPr>
          <w:p w14:paraId="14C36B5F">
            <w:pPr>
              <w:rPr>
                <w:rFonts w:hint="eastAsia" w:ascii="微软雅黑" w:hAnsi="微软雅黑" w:eastAsia="微软雅黑" w:cs="微软雅黑"/>
              </w:rPr>
            </w:pPr>
            <w:r>
              <w:rPr>
                <w:rFonts w:hint="eastAsia" w:ascii="微软雅黑" w:hAnsi="微软雅黑" w:eastAsia="微软雅黑" w:cs="微软雅黑"/>
                <w:sz w:val="18"/>
              </w:rPr>
              <w:t>直接引用方法；公共安全测试数据集内容另行规定</w:t>
            </w:r>
          </w:p>
        </w:tc>
      </w:tr>
      <w:tr>
        <w:trPr/>
        <w:tc>
          <w:tcPr>
            <w:tcW w:w="3000" w:type="dxa"/>
          </w:tcPr>
          <w:p w14:paraId="6732EFBE">
            <w:pPr>
              <w:rPr>
                <w:rFonts w:hint="eastAsia" w:ascii="微软雅黑" w:hAnsi="微软雅黑" w:eastAsia="微软雅黑" w:cs="微软雅黑"/>
              </w:rPr>
            </w:pPr>
            <w:r>
              <w:rPr>
                <w:rFonts w:hint="eastAsia" w:ascii="微软雅黑" w:hAnsi="微软雅黑" w:eastAsia="微软雅黑" w:cs="微软雅黑"/>
                <w:sz w:val="18"/>
              </w:rPr>
              <w:t>C1 通用安全技术要求</w:t>
            </w:r>
          </w:p>
        </w:tc>
        <w:tc>
          <w:tcPr>
            <w:tcW w:w="2900" w:type="dxa"/>
          </w:tcPr>
          <w:p w14:paraId="7EEF7637">
            <w:pPr>
              <w:rPr>
                <w:rFonts w:hint="eastAsia" w:ascii="微软雅黑" w:hAnsi="微软雅黑" w:eastAsia="微软雅黑" w:cs="微软雅黑"/>
              </w:rPr>
            </w:pPr>
            <w:r>
              <w:rPr>
                <w:rFonts w:hint="eastAsia" w:ascii="微软雅黑" w:hAnsi="微软雅黑" w:eastAsia="微软雅黑" w:cs="微软雅黑"/>
                <w:sz w:val="18"/>
              </w:rPr>
              <w:t>GB/T 15706、GB/T 16855.1、GB/T 20438</w:t>
            </w:r>
          </w:p>
        </w:tc>
        <w:tc>
          <w:tcPr>
            <w:tcW w:w="1500" w:type="dxa"/>
          </w:tcPr>
          <w:p w14:paraId="47C60D56">
            <w:pPr>
              <w:rPr>
                <w:rFonts w:hint="eastAsia" w:ascii="微软雅黑" w:hAnsi="微软雅黑" w:eastAsia="微软雅黑" w:cs="微软雅黑"/>
              </w:rPr>
            </w:pPr>
            <w:r>
              <w:rPr>
                <w:rFonts w:hint="eastAsia" w:ascii="微软雅黑" w:hAnsi="微软雅黑" w:eastAsia="微软雅黑" w:cs="微软雅黑"/>
                <w:sz w:val="18"/>
              </w:rPr>
              <w:t>规范性引用</w:t>
            </w:r>
          </w:p>
        </w:tc>
        <w:tc>
          <w:tcPr>
            <w:tcW w:w="2200" w:type="dxa"/>
          </w:tcPr>
          <w:p w14:paraId="25C14AEE">
            <w:pPr>
              <w:rPr>
                <w:rFonts w:hint="eastAsia" w:ascii="微软雅黑" w:hAnsi="微软雅黑" w:eastAsia="微软雅黑" w:cs="微软雅黑"/>
              </w:rPr>
            </w:pPr>
            <w:r>
              <w:rPr>
                <w:rFonts w:hint="eastAsia" w:ascii="微软雅黑" w:hAnsi="微软雅黑" w:eastAsia="微软雅黑" w:cs="微软雅黑"/>
                <w:sz w:val="18"/>
              </w:rPr>
              <w:t>风险评估与功能安全方法条款</w:t>
            </w:r>
          </w:p>
        </w:tc>
        <w:tc>
          <w:tcPr>
            <w:tcW w:w="5540" w:type="dxa"/>
          </w:tcPr>
          <w:p w14:paraId="7C64D3F0">
            <w:pPr>
              <w:rPr>
                <w:rFonts w:hint="eastAsia" w:ascii="微软雅黑" w:hAnsi="微软雅黑" w:eastAsia="微软雅黑" w:cs="微软雅黑"/>
              </w:rPr>
            </w:pPr>
            <w:r>
              <w:rPr>
                <w:rFonts w:hint="eastAsia" w:ascii="微软雅黑" w:hAnsi="微软雅黑" w:eastAsia="微软雅黑" w:cs="微软雅黑"/>
                <w:sz w:val="18"/>
              </w:rPr>
              <w:t>方法论引用，不重复条款；安全状态定义由本标准给出</w:t>
            </w:r>
          </w:p>
        </w:tc>
      </w:tr>
      <w:tr>
        <w:trPr/>
        <w:tc>
          <w:tcPr>
            <w:tcW w:w="3000" w:type="dxa"/>
          </w:tcPr>
          <w:p w14:paraId="1F3E4CAD">
            <w:pPr>
              <w:rPr>
                <w:rFonts w:hint="eastAsia" w:ascii="微软雅黑" w:hAnsi="微软雅黑" w:eastAsia="微软雅黑" w:cs="微软雅黑"/>
              </w:rPr>
            </w:pPr>
            <w:r>
              <w:rPr>
                <w:rFonts w:hint="eastAsia" w:ascii="微软雅黑" w:hAnsi="微软雅黑" w:eastAsia="微软雅黑" w:cs="微软雅黑"/>
                <w:sz w:val="18"/>
              </w:rPr>
              <w:t>D1 行为边界与分级授权规则</w:t>
            </w:r>
          </w:p>
        </w:tc>
        <w:tc>
          <w:tcPr>
            <w:tcW w:w="2900" w:type="dxa"/>
          </w:tcPr>
          <w:p w14:paraId="66F35997">
            <w:pPr>
              <w:rPr>
                <w:rFonts w:hint="eastAsia" w:ascii="微软雅黑" w:hAnsi="微软雅黑" w:eastAsia="微软雅黑" w:cs="微软雅黑"/>
              </w:rPr>
            </w:pPr>
            <w:r>
              <w:rPr>
                <w:rFonts w:hint="eastAsia" w:ascii="微软雅黑" w:hAnsi="微软雅黑" w:eastAsia="微软雅黑" w:cs="微软雅黑"/>
                <w:sz w:val="18"/>
              </w:rPr>
              <w:t>《人民警察使用警械和武器条例》</w:t>
            </w:r>
          </w:p>
        </w:tc>
        <w:tc>
          <w:tcPr>
            <w:tcW w:w="1500" w:type="dxa"/>
          </w:tcPr>
          <w:p w14:paraId="533F63D1">
            <w:pPr>
              <w:rPr>
                <w:rFonts w:hint="eastAsia" w:ascii="微软雅黑" w:hAnsi="微软雅黑" w:eastAsia="微软雅黑" w:cs="微软雅黑"/>
              </w:rPr>
            </w:pPr>
            <w:r>
              <w:rPr>
                <w:rFonts w:hint="eastAsia" w:ascii="微软雅黑" w:hAnsi="微软雅黑" w:eastAsia="微软雅黑" w:cs="微软雅黑"/>
                <w:sz w:val="18"/>
              </w:rPr>
              <w:t>裁剪或不采用＋说明</w:t>
            </w:r>
          </w:p>
        </w:tc>
        <w:tc>
          <w:tcPr>
            <w:tcW w:w="2200" w:type="dxa"/>
          </w:tcPr>
          <w:p w14:paraId="7D15D7CB">
            <w:pPr>
              <w:rPr>
                <w:rFonts w:hint="eastAsia" w:ascii="微软雅黑" w:hAnsi="微软雅黑" w:eastAsia="微软雅黑" w:cs="微软雅黑"/>
              </w:rPr>
            </w:pPr>
            <w:r>
              <w:rPr>
                <w:rFonts w:hint="eastAsia" w:ascii="微软雅黑" w:hAnsi="微软雅黑" w:eastAsia="微软雅黑" w:cs="微软雅黑"/>
                <w:sz w:val="18"/>
              </w:rPr>
              <w:t>——</w:t>
            </w:r>
          </w:p>
        </w:tc>
        <w:tc>
          <w:tcPr>
            <w:tcW w:w="5540" w:type="dxa"/>
          </w:tcPr>
          <w:p w14:paraId="5CB5E1AA">
            <w:pPr>
              <w:rPr>
                <w:rFonts w:hint="eastAsia" w:ascii="微软雅黑" w:hAnsi="微软雅黑" w:eastAsia="微软雅黑" w:cs="微软雅黑"/>
              </w:rPr>
            </w:pPr>
            <w:r>
              <w:rPr>
                <w:rFonts w:hint="eastAsia" w:ascii="微软雅黑" w:hAnsi="微软雅黑" w:eastAsia="微软雅黑" w:cs="微软雅黑"/>
                <w:sz w:val="18"/>
              </w:rPr>
              <w:t>机器人不属于该条例所列警械，其非接触处置行为与授权层级不能由该条例直接推导，须由部门规章层级专门规定；标准承担技术判据细化职责</w:t>
            </w:r>
          </w:p>
        </w:tc>
      </w:tr>
      <w:tr>
        <w:trPr/>
        <w:tc>
          <w:tcPr>
            <w:tcW w:w="3000" w:type="dxa"/>
          </w:tcPr>
          <w:p w14:paraId="163CC85F">
            <w:pPr>
              <w:rPr>
                <w:rFonts w:hint="eastAsia" w:ascii="微软雅黑" w:hAnsi="微软雅黑" w:eastAsia="微软雅黑" w:cs="微软雅黑"/>
              </w:rPr>
            </w:pPr>
            <w:r>
              <w:rPr>
                <w:rFonts w:hint="eastAsia" w:ascii="微软雅黑" w:hAnsi="微软雅黑" w:eastAsia="微软雅黑" w:cs="微软雅黑"/>
                <w:sz w:val="18"/>
              </w:rPr>
              <w:t>E2 人机协同勤务规程</w:t>
            </w:r>
          </w:p>
        </w:tc>
        <w:tc>
          <w:tcPr>
            <w:tcW w:w="2900" w:type="dxa"/>
          </w:tcPr>
          <w:p w14:paraId="16AE7A86">
            <w:pPr>
              <w:rPr>
                <w:rFonts w:hint="eastAsia" w:ascii="微软雅黑" w:hAnsi="微软雅黑" w:eastAsia="微软雅黑" w:cs="微软雅黑"/>
              </w:rPr>
            </w:pPr>
            <w:r>
              <w:rPr>
                <w:rFonts w:hint="eastAsia" w:ascii="微软雅黑" w:hAnsi="微软雅黑" w:eastAsia="微软雅黑" w:cs="微软雅黑"/>
                <w:sz w:val="18"/>
              </w:rPr>
              <w:t>110 接处警工作相关规范</w:t>
            </w:r>
          </w:p>
        </w:tc>
        <w:tc>
          <w:tcPr>
            <w:tcW w:w="1500" w:type="dxa"/>
          </w:tcPr>
          <w:p w14:paraId="42B33F8C">
            <w:pPr>
              <w:rPr>
                <w:rFonts w:hint="eastAsia" w:ascii="微软雅黑" w:hAnsi="微软雅黑" w:eastAsia="微软雅黑" w:cs="微软雅黑"/>
              </w:rPr>
            </w:pPr>
            <w:r>
              <w:rPr>
                <w:rFonts w:hint="eastAsia" w:ascii="微软雅黑" w:hAnsi="微软雅黑" w:eastAsia="微软雅黑" w:cs="微软雅黑"/>
                <w:sz w:val="18"/>
              </w:rPr>
              <w:t>规范性引用</w:t>
            </w:r>
          </w:p>
        </w:tc>
        <w:tc>
          <w:tcPr>
            <w:tcW w:w="2200" w:type="dxa"/>
          </w:tcPr>
          <w:p w14:paraId="71C27214">
            <w:pPr>
              <w:rPr>
                <w:rFonts w:hint="eastAsia" w:ascii="微软雅黑" w:hAnsi="微软雅黑" w:eastAsia="微软雅黑" w:cs="微软雅黑"/>
              </w:rPr>
            </w:pPr>
            <w:r>
              <w:rPr>
                <w:rFonts w:hint="eastAsia" w:ascii="微软雅黑" w:hAnsi="微软雅黑" w:eastAsia="微软雅黑" w:cs="微软雅黑"/>
                <w:sz w:val="18"/>
              </w:rPr>
              <w:t>派单与处置流程相关条款</w:t>
            </w:r>
          </w:p>
        </w:tc>
        <w:tc>
          <w:tcPr>
            <w:tcW w:w="5540" w:type="dxa"/>
          </w:tcPr>
          <w:p w14:paraId="68E7C5A8">
            <w:pPr>
              <w:rPr>
                <w:rFonts w:hint="eastAsia" w:ascii="微软雅黑" w:hAnsi="微软雅黑" w:eastAsia="微软雅黑" w:cs="微软雅黑"/>
              </w:rPr>
            </w:pPr>
            <w:r>
              <w:rPr>
                <w:rFonts w:hint="eastAsia" w:ascii="微软雅黑" w:hAnsi="微软雅黑" w:eastAsia="微软雅黑" w:cs="微软雅黑"/>
                <w:sz w:val="18"/>
              </w:rPr>
              <w:t>机器人警情须纳入既有派单与闭环，不得形成体系外的第二指挥链</w:t>
            </w:r>
          </w:p>
        </w:tc>
      </w:tr>
    </w:tbl>
    <w:p w14:paraId="05E5CA21">
      <w:pPr>
        <w:keepNext w:val="1"/>
        <w:keepLines w:val="1"/>
        <w:spacing w:before="100" w:beforeAutospacing="1" w:after="100" w:afterAutospacing="1"/>
        <w:outlineLvl w:val="1"/>
        <w:rPr>
          <w:rFonts w:hint="eastAsia" w:ascii="微软雅黑" w:hAnsi="微软雅黑" w:eastAsia="微软雅黑" w:cs="微软雅黑"/>
          <w:sz w:val="32"/>
          <w:szCs w:val="32"/>
        </w:rPr>
      </w:pPr>
      <w:r>
        <w:rPr>
          <w:rFonts w:hint="eastAsia" w:ascii="微软雅黑" w:hAnsi="微软雅黑" w:eastAsia="微软雅黑" w:cs="微软雅黑"/>
          <w:b w:val="1"/>
          <w:sz w:val="32"/>
        </w:rPr>
        <w:t>附表 3　体系完整性与一致性校验机制一览表</w:t>
      </w:r>
    </w:p>
    <w:p w14:paraId="7412E7C5">
      <w:pPr>
        <w:rPr>
          <w:rFonts w:hint="eastAsia" w:ascii="微软雅黑" w:hAnsi="微软雅黑" w:eastAsia="微软雅黑" w:cs="微软雅黑"/>
        </w:rPr>
      </w:pPr>
      <w:r>
        <w:rPr>
          <w:rFonts w:hint="eastAsia" w:ascii="微软雅黑" w:hAnsi="微软雅黑" w:eastAsia="微软雅黑" w:cs="微软雅黑"/>
        </w:rPr>
        <w:t>（本表是本方案的落地抓手：完整性与一致性不能依赖自觉，须固化为可执行、可核查、有明确时点的机制）</w:t>
      </w:r>
    </w:p>
    <w:tbl>
      <w:tblPr>
        <w:tblStyle w:val="00000d"/>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807"/>
        <w:gridCol w:w="3493"/>
        <w:gridCol w:w="4400"/>
        <w:gridCol w:w="2200"/>
        <w:gridCol w:w="3240"/>
      </w:tblGrid>
      <w:bookmarkStart w:id="1" w:colFirst="0" w:colLast="0" w:name="_GoBack"/>
      <w:tr>
        <w:trPr>
          <w:tblHeader w:val="1"/>
        </w:trPr>
        <w:tc>
          <w:tcPr>
            <w:tcW w:w="1807" w:type="dxa"/>
            <w:shd w:val="clear" w:color="auto" w:fill="95B3D7" w:themeFill="accent1" w:themeFillTint="99"/>
          </w:tcPr>
          <w:p w14:paraId="68D4F173">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机制名称</w:t>
            </w:r>
          </w:p>
        </w:tc>
        <w:tc>
          <w:tcPr>
            <w:tcW w:w="3493" w:type="dxa"/>
            <w:shd w:val="clear" w:color="auto" w:fill="95B3D7" w:themeFill="accent1" w:themeFillTint="99"/>
          </w:tcPr>
          <w:p w14:paraId="5EC3B1A9">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校验对象</w:t>
            </w:r>
          </w:p>
        </w:tc>
        <w:tc>
          <w:tcPr>
            <w:tcW w:w="4400" w:type="dxa"/>
            <w:shd w:val="clear" w:color="auto" w:fill="95B3D7" w:themeFill="accent1" w:themeFillTint="99"/>
          </w:tcPr>
          <w:p w14:paraId="7AD85F51">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校验方法</w:t>
            </w:r>
          </w:p>
        </w:tc>
        <w:tc>
          <w:tcPr>
            <w:tcW w:w="2200" w:type="dxa"/>
            <w:shd w:val="clear" w:color="auto" w:fill="95B3D7" w:themeFill="accent1" w:themeFillTint="99"/>
          </w:tcPr>
          <w:p w14:paraId="783086E3">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频率与时点</w:t>
            </w:r>
          </w:p>
        </w:tc>
        <w:tc>
          <w:tcPr>
            <w:tcW w:w="3240" w:type="dxa"/>
            <w:shd w:val="clear" w:color="auto" w:fill="95B3D7" w:themeFill="accent1" w:themeFillTint="99"/>
          </w:tcPr>
          <w:p w14:paraId="102C3ECD">
            <w:pPr>
              <w:jc w:val="center"/>
              <w:rPr>
                <w:rFonts w:hint="eastAsia" w:ascii="微软雅黑" w:hAnsi="微软雅黑" w:eastAsia="微软雅黑" w:cs="微软雅黑"/>
                <w:b w:val="1"/>
                <w:bCs w:val="1"/>
              </w:rPr>
            </w:pPr>
            <w:r>
              <w:rPr>
                <w:rFonts w:hint="eastAsia" w:ascii="微软雅黑" w:hAnsi="微软雅黑" w:eastAsia="微软雅黑" w:cs="微软雅黑"/>
                <w:b w:val="1"/>
                <w:sz w:val="18"/>
              </w:rPr>
              <w:t>不通过的处理</w:t>
            </w:r>
          </w:p>
        </w:tc>
      </w:tr>
      <w:tr>
        <w:trPr/>
        <w:tc>
          <w:tcPr>
            <w:tcW w:w="1807" w:type="dxa"/>
          </w:tcPr>
          <w:p w14:paraId="5A2FE54E">
            <w:pPr>
              <w:jc w:val="center"/>
              <w:rPr>
                <w:rFonts w:hint="eastAsia" w:ascii="微软雅黑" w:hAnsi="微软雅黑" w:eastAsia="微软雅黑" w:cs="微软雅黑"/>
              </w:rPr>
            </w:pPr>
            <w:r>
              <w:rPr>
                <w:rFonts w:hint="eastAsia" w:ascii="微软雅黑" w:hAnsi="微软雅黑" w:eastAsia="微软雅黑" w:cs="微软雅黑"/>
                <w:sz w:val="18"/>
              </w:rPr>
              <w:t>体系表动态维护</w:t>
            </w:r>
          </w:p>
        </w:tc>
        <w:tc>
          <w:tcPr>
            <w:tcW w:w="3493" w:type="dxa"/>
          </w:tcPr>
          <w:p w14:paraId="0A8A91CD">
            <w:pPr>
              <w:rPr>
                <w:rFonts w:hint="eastAsia" w:ascii="微软雅黑" w:hAnsi="微软雅黑" w:eastAsia="微软雅黑" w:cs="微软雅黑"/>
              </w:rPr>
            </w:pPr>
            <w:r>
              <w:rPr>
                <w:rFonts w:hint="eastAsia" w:ascii="微软雅黑" w:hAnsi="微软雅黑" w:eastAsia="微软雅黑" w:cs="微软雅黑"/>
                <w:sz w:val="18"/>
              </w:rPr>
              <w:t>体系结构图与标准明细表</w:t>
            </w:r>
          </w:p>
        </w:tc>
        <w:tc>
          <w:tcPr>
            <w:tcW w:w="4400" w:type="dxa"/>
          </w:tcPr>
          <w:p w14:paraId="5F46F281">
            <w:pPr>
              <w:rPr>
                <w:rFonts w:hint="eastAsia" w:ascii="微软雅黑" w:hAnsi="微软雅黑" w:eastAsia="微软雅黑" w:cs="微软雅黑"/>
              </w:rPr>
            </w:pPr>
            <w:r>
              <w:rPr>
                <w:rFonts w:hint="eastAsia" w:ascii="微软雅黑" w:hAnsi="微软雅黑" w:eastAsia="微软雅黑" w:cs="微软雅黑"/>
                <w:sz w:val="18"/>
              </w:rPr>
              <w:t>年度修订，逐格标注已发布／在研／拟制定；同步形成缺口清单</w:t>
            </w:r>
          </w:p>
        </w:tc>
        <w:tc>
          <w:tcPr>
            <w:tcW w:w="2200" w:type="dxa"/>
          </w:tcPr>
          <w:p w14:paraId="233C3EA8">
            <w:pPr>
              <w:rPr>
                <w:rFonts w:hint="eastAsia" w:ascii="微软雅黑" w:hAnsi="微软雅黑" w:eastAsia="微软雅黑" w:cs="微软雅黑"/>
              </w:rPr>
            </w:pPr>
            <w:r>
              <w:rPr>
                <w:rFonts w:hint="eastAsia" w:ascii="微软雅黑" w:hAnsi="微软雅黑" w:eastAsia="微软雅黑" w:cs="微软雅黑"/>
                <w:sz w:val="18"/>
              </w:rPr>
              <w:t>每年一次</w:t>
            </w:r>
          </w:p>
        </w:tc>
        <w:tc>
          <w:tcPr>
            <w:tcW w:w="3240" w:type="dxa"/>
          </w:tcPr>
          <w:p w14:paraId="60388B91">
            <w:pPr>
              <w:rPr>
                <w:rFonts w:hint="eastAsia" w:ascii="微软雅黑" w:hAnsi="微软雅黑" w:eastAsia="微软雅黑" w:cs="微软雅黑"/>
              </w:rPr>
            </w:pPr>
            <w:r>
              <w:rPr>
                <w:rFonts w:hint="eastAsia" w:ascii="微软雅黑" w:hAnsi="微软雅黑" w:eastAsia="微软雅黑" w:cs="微软雅黑"/>
                <w:sz w:val="18"/>
              </w:rPr>
              <w:t>缺口列入下一年度立项计划，并明确责任单位与拟立项时间</w:t>
            </w:r>
          </w:p>
        </w:tc>
      </w:tr>
      <w:tr>
        <w:trPr/>
        <w:tc>
          <w:tcPr>
            <w:tcW w:w="1807" w:type="dxa"/>
          </w:tcPr>
          <w:p w14:paraId="200B2CA2">
            <w:pPr>
              <w:jc w:val="center"/>
              <w:rPr>
                <w:rFonts w:hint="eastAsia" w:ascii="微软雅黑" w:hAnsi="微软雅黑" w:eastAsia="微软雅黑" w:cs="微软雅黑"/>
              </w:rPr>
            </w:pPr>
            <w:r>
              <w:rPr>
                <w:rFonts w:hint="eastAsia" w:ascii="微软雅黑" w:hAnsi="微软雅黑" w:eastAsia="微软雅黑" w:cs="微软雅黑"/>
                <w:sz w:val="18"/>
              </w:rPr>
              <w:t>引用映射表登记</w:t>
            </w:r>
          </w:p>
        </w:tc>
        <w:tc>
          <w:tcPr>
            <w:tcW w:w="3493" w:type="dxa"/>
          </w:tcPr>
          <w:p w14:paraId="7B0F61E9">
            <w:pPr>
              <w:rPr>
                <w:rFonts w:hint="eastAsia" w:ascii="微软雅黑" w:hAnsi="微软雅黑" w:eastAsia="微软雅黑" w:cs="微软雅黑"/>
              </w:rPr>
            </w:pPr>
            <w:r>
              <w:rPr>
                <w:rFonts w:hint="eastAsia" w:ascii="微软雅黑" w:hAnsi="微软雅黑" w:eastAsia="微软雅黑" w:cs="微软雅黑"/>
                <w:sz w:val="18"/>
              </w:rPr>
              <w:t>全部对外引用</w:t>
            </w:r>
          </w:p>
        </w:tc>
        <w:tc>
          <w:tcPr>
            <w:tcW w:w="4400" w:type="dxa"/>
          </w:tcPr>
          <w:p w14:paraId="1F9580A2">
            <w:pPr>
              <w:rPr>
                <w:rFonts w:hint="eastAsia" w:ascii="微软雅黑" w:hAnsi="微软雅黑" w:eastAsia="微软雅黑" w:cs="微软雅黑"/>
              </w:rPr>
            </w:pPr>
            <w:r>
              <w:rPr>
                <w:rFonts w:hint="eastAsia" w:ascii="微软雅黑" w:hAnsi="微软雅黑" w:eastAsia="微软雅黑" w:cs="微软雅黑"/>
                <w:sz w:val="18"/>
              </w:rPr>
              <w:t>逐条登记引用对象、引用方式、条款范围与适用边界说明</w:t>
            </w:r>
          </w:p>
        </w:tc>
        <w:tc>
          <w:tcPr>
            <w:tcW w:w="2200" w:type="dxa"/>
          </w:tcPr>
          <w:p w14:paraId="59F17812">
            <w:pPr>
              <w:rPr>
                <w:rFonts w:hint="eastAsia" w:ascii="微软雅黑" w:hAnsi="微软雅黑" w:eastAsia="微软雅黑" w:cs="微软雅黑"/>
              </w:rPr>
            </w:pPr>
            <w:r>
              <w:rPr>
                <w:rFonts w:hint="eastAsia" w:ascii="微软雅黑" w:hAnsi="微软雅黑" w:eastAsia="微软雅黑" w:cs="微软雅黑"/>
                <w:sz w:val="18"/>
              </w:rPr>
              <w:t>标准报批前登记，每年复核</w:t>
            </w:r>
          </w:p>
        </w:tc>
        <w:tc>
          <w:tcPr>
            <w:tcW w:w="3240" w:type="dxa"/>
          </w:tcPr>
          <w:p w14:paraId="43F425D7">
            <w:pPr>
              <w:rPr>
                <w:rFonts w:hint="eastAsia" w:ascii="微软雅黑" w:hAnsi="微软雅黑" w:eastAsia="微软雅黑" w:cs="微软雅黑"/>
              </w:rPr>
            </w:pPr>
            <w:r>
              <w:rPr>
                <w:rFonts w:hint="eastAsia" w:ascii="微软雅黑" w:hAnsi="微软雅黑" w:eastAsia="微软雅黑" w:cs="微软雅黑"/>
                <w:sz w:val="18"/>
              </w:rPr>
              <w:t>未登记引用的标准不予报批；复核发现过时引用的强制更新</w:t>
            </w:r>
          </w:p>
        </w:tc>
      </w:tr>
      <w:tr>
        <w:trPr/>
        <w:tc>
          <w:tcPr>
            <w:tcW w:w="1807" w:type="dxa"/>
          </w:tcPr>
          <w:p w14:paraId="6BD468EA">
            <w:pPr>
              <w:jc w:val="center"/>
              <w:rPr>
                <w:rFonts w:hint="eastAsia" w:ascii="微软雅黑" w:hAnsi="微软雅黑" w:eastAsia="微软雅黑" w:cs="微软雅黑"/>
              </w:rPr>
            </w:pPr>
            <w:r>
              <w:rPr>
                <w:rFonts w:hint="eastAsia" w:ascii="微软雅黑" w:hAnsi="微软雅黑" w:eastAsia="微软雅黑" w:cs="微软雅黑"/>
                <w:sz w:val="18"/>
              </w:rPr>
              <w:t>术语一致性校验</w:t>
            </w:r>
          </w:p>
        </w:tc>
        <w:tc>
          <w:tcPr>
            <w:tcW w:w="3493" w:type="dxa"/>
          </w:tcPr>
          <w:p w14:paraId="58E5736D">
            <w:pPr>
              <w:rPr>
                <w:rFonts w:hint="eastAsia" w:ascii="微软雅黑" w:hAnsi="微软雅黑" w:eastAsia="微软雅黑" w:cs="微软雅黑"/>
              </w:rPr>
            </w:pPr>
            <w:r>
              <w:rPr>
                <w:rFonts w:hint="eastAsia" w:ascii="微软雅黑" w:hAnsi="微软雅黑" w:eastAsia="微软雅黑" w:cs="微软雅黑"/>
                <w:sz w:val="18"/>
              </w:rPr>
              <w:t>全部标准中的术语与分类分级</w:t>
            </w:r>
          </w:p>
        </w:tc>
        <w:tc>
          <w:tcPr>
            <w:tcW w:w="4400" w:type="dxa"/>
          </w:tcPr>
          <w:p w14:paraId="01C2E9AE">
            <w:pPr>
              <w:rPr>
                <w:rFonts w:hint="eastAsia" w:ascii="微软雅黑" w:hAnsi="微软雅黑" w:eastAsia="微软雅黑" w:cs="微软雅黑"/>
              </w:rPr>
            </w:pPr>
            <w:r>
              <w:rPr>
                <w:rFonts w:hint="eastAsia" w:ascii="微软雅黑" w:hAnsi="微软雅黑" w:eastAsia="微软雅黑" w:cs="微软雅黑"/>
                <w:sz w:val="18"/>
              </w:rPr>
              <w:t>与总体标准术语表逐条比对，检查是否存在未定义专有术语</w:t>
            </w:r>
          </w:p>
        </w:tc>
        <w:tc>
          <w:tcPr>
            <w:tcW w:w="2200" w:type="dxa"/>
          </w:tcPr>
          <w:p w14:paraId="7721E83E">
            <w:pPr>
              <w:rPr>
                <w:rFonts w:hint="eastAsia" w:ascii="微软雅黑" w:hAnsi="微软雅黑" w:eastAsia="微软雅黑" w:cs="微软雅黑"/>
              </w:rPr>
            </w:pPr>
            <w:r>
              <w:rPr>
                <w:rFonts w:hint="eastAsia" w:ascii="微软雅黑" w:hAnsi="微软雅黑" w:eastAsia="微软雅黑" w:cs="微软雅黑"/>
                <w:sz w:val="18"/>
              </w:rPr>
              <w:t>报批前一次性校验</w:t>
            </w:r>
          </w:p>
        </w:tc>
        <w:tc>
          <w:tcPr>
            <w:tcW w:w="3240" w:type="dxa"/>
          </w:tcPr>
          <w:p w14:paraId="02D55C7C">
            <w:pPr>
              <w:rPr>
                <w:rFonts w:hint="eastAsia" w:ascii="微软雅黑" w:hAnsi="微软雅黑" w:eastAsia="微软雅黑" w:cs="微软雅黑"/>
              </w:rPr>
            </w:pPr>
            <w:r>
              <w:rPr>
                <w:rFonts w:hint="eastAsia" w:ascii="微软雅黑" w:hAnsi="微软雅黑" w:eastAsia="微软雅黑" w:cs="微软雅黑"/>
                <w:sz w:val="18"/>
              </w:rPr>
              <w:t>未通过不得报批，须先修订总体标准或改用已定义术语</w:t>
            </w:r>
          </w:p>
        </w:tc>
      </w:tr>
      <w:tr>
        <w:trPr/>
        <w:tc>
          <w:tcPr>
            <w:tcW w:w="1807" w:type="dxa"/>
          </w:tcPr>
          <w:p w14:paraId="4CFA7211">
            <w:pPr>
              <w:jc w:val="center"/>
              <w:rPr>
                <w:rFonts w:hint="eastAsia" w:ascii="微软雅黑" w:hAnsi="微软雅黑" w:eastAsia="微软雅黑" w:cs="微软雅黑"/>
              </w:rPr>
            </w:pPr>
            <w:r>
              <w:rPr>
                <w:rFonts w:hint="eastAsia" w:ascii="微软雅黑" w:hAnsi="微软雅黑" w:eastAsia="微软雅黑" w:cs="微软雅黑"/>
                <w:sz w:val="18"/>
              </w:rPr>
              <w:t>要求—方法配对校验</w:t>
            </w:r>
          </w:p>
        </w:tc>
        <w:tc>
          <w:tcPr>
            <w:tcW w:w="3493" w:type="dxa"/>
          </w:tcPr>
          <w:p w14:paraId="472CF461">
            <w:pPr>
              <w:rPr>
                <w:rFonts w:hint="eastAsia" w:ascii="微软雅黑" w:hAnsi="微软雅黑" w:eastAsia="微软雅黑" w:cs="微软雅黑"/>
              </w:rPr>
            </w:pPr>
            <w:r>
              <w:rPr>
                <w:rFonts w:hint="eastAsia" w:ascii="微软雅黑" w:hAnsi="微软雅黑" w:eastAsia="微软雅黑" w:cs="微软雅黑"/>
                <w:sz w:val="18"/>
              </w:rPr>
              <w:t>技术标准与管控标准提出的全部要求</w:t>
            </w:r>
          </w:p>
        </w:tc>
        <w:tc>
          <w:tcPr>
            <w:tcW w:w="4400" w:type="dxa"/>
          </w:tcPr>
          <w:p w14:paraId="7FA5FDD9">
            <w:pPr>
              <w:rPr>
                <w:rFonts w:hint="eastAsia" w:ascii="微软雅黑" w:hAnsi="微软雅黑" w:eastAsia="微软雅黑" w:cs="微软雅黑"/>
              </w:rPr>
            </w:pPr>
            <w:r>
              <w:rPr>
                <w:rFonts w:hint="eastAsia" w:ascii="微软雅黑" w:hAnsi="微软雅黑" w:eastAsia="微软雅黑" w:cs="微软雅黑"/>
                <w:sz w:val="18"/>
              </w:rPr>
              <w:t>逐条核对是否存在可复现的试验方法或检查规则</w:t>
            </w:r>
          </w:p>
        </w:tc>
        <w:tc>
          <w:tcPr>
            <w:tcW w:w="2200" w:type="dxa"/>
          </w:tcPr>
          <w:p w14:paraId="0B0C5A3D">
            <w:pPr>
              <w:rPr>
                <w:rFonts w:hint="eastAsia" w:ascii="微软雅黑" w:hAnsi="微软雅黑" w:eastAsia="微软雅黑" w:cs="微软雅黑"/>
              </w:rPr>
            </w:pPr>
            <w:r>
              <w:rPr>
                <w:rFonts w:hint="eastAsia" w:ascii="微软雅黑" w:hAnsi="微软雅黑" w:eastAsia="微软雅黑" w:cs="微软雅黑"/>
                <w:sz w:val="18"/>
              </w:rPr>
              <w:t>报批前一次性校验</w:t>
            </w:r>
          </w:p>
        </w:tc>
        <w:tc>
          <w:tcPr>
            <w:tcW w:w="3240" w:type="dxa"/>
          </w:tcPr>
          <w:p w14:paraId="6EB13FF2">
            <w:pPr>
              <w:rPr>
                <w:rFonts w:hint="eastAsia" w:ascii="微软雅黑" w:hAnsi="微软雅黑" w:eastAsia="微软雅黑" w:cs="微软雅黑"/>
              </w:rPr>
            </w:pPr>
            <w:r>
              <w:rPr>
                <w:rFonts w:hint="eastAsia" w:ascii="微软雅黑" w:hAnsi="微软雅黑" w:eastAsia="微软雅黑" w:cs="微软雅黑"/>
                <w:sz w:val="18"/>
              </w:rPr>
              <w:t>未配对的要求不得报批，或降格为指导性技术文件</w:t>
            </w:r>
          </w:p>
        </w:tc>
      </w:tr>
      <w:tr>
        <w:trPr/>
        <w:tc>
          <w:tcPr>
            <w:tcW w:w="1807" w:type="dxa"/>
          </w:tcPr>
          <w:p w14:paraId="20050992">
            <w:pPr>
              <w:jc w:val="center"/>
              <w:rPr>
                <w:rFonts w:hint="eastAsia" w:ascii="微软雅黑" w:hAnsi="微软雅黑" w:eastAsia="微软雅黑" w:cs="微软雅黑"/>
              </w:rPr>
            </w:pPr>
            <w:r>
              <w:rPr>
                <w:rFonts w:hint="eastAsia" w:ascii="微软雅黑" w:hAnsi="微软雅黑" w:eastAsia="微软雅黑" w:cs="微软雅黑"/>
                <w:sz w:val="18"/>
              </w:rPr>
              <w:t>三维覆盖度检查</w:t>
            </w:r>
          </w:p>
        </w:tc>
        <w:tc>
          <w:tcPr>
            <w:tcW w:w="3493" w:type="dxa"/>
          </w:tcPr>
          <w:p w14:paraId="4D497075">
            <w:pPr>
              <w:rPr>
                <w:rFonts w:hint="eastAsia" w:ascii="微软雅黑" w:hAnsi="微软雅黑" w:eastAsia="微软雅黑" w:cs="微软雅黑"/>
              </w:rPr>
            </w:pPr>
            <w:r>
              <w:rPr>
                <w:rFonts w:hint="eastAsia" w:ascii="微软雅黑" w:hAnsi="微软雅黑" w:eastAsia="微软雅黑" w:cs="微软雅黑"/>
                <w:sz w:val="18"/>
              </w:rPr>
              <w:t>对象、过程、场景三个维度</w:t>
            </w:r>
          </w:p>
        </w:tc>
        <w:tc>
          <w:tcPr>
            <w:tcW w:w="4400" w:type="dxa"/>
          </w:tcPr>
          <w:p w14:paraId="56BB3FBA">
            <w:pPr>
              <w:rPr>
                <w:rFonts w:hint="eastAsia" w:ascii="微软雅黑" w:hAnsi="微软雅黑" w:eastAsia="微软雅黑" w:cs="微软雅黑"/>
              </w:rPr>
            </w:pPr>
            <w:r>
              <w:rPr>
                <w:rFonts w:hint="eastAsia" w:ascii="微软雅黑" w:hAnsi="微软雅黑" w:eastAsia="微软雅黑" w:cs="微软雅黑"/>
                <w:sz w:val="18"/>
              </w:rPr>
              <w:t>制作覆盖矩阵，逐格标注已覆盖／在研／缺口</w:t>
            </w:r>
          </w:p>
        </w:tc>
        <w:tc>
          <w:tcPr>
            <w:tcW w:w="2200" w:type="dxa"/>
          </w:tcPr>
          <w:p w14:paraId="5B0BB373">
            <w:pPr>
              <w:rPr>
                <w:rFonts w:hint="eastAsia" w:ascii="微软雅黑" w:hAnsi="微软雅黑" w:eastAsia="微软雅黑" w:cs="微软雅黑"/>
              </w:rPr>
            </w:pPr>
            <w:r>
              <w:rPr>
                <w:rFonts w:hint="eastAsia" w:ascii="微软雅黑" w:hAnsi="微软雅黑" w:eastAsia="微软雅黑" w:cs="微软雅黑"/>
                <w:sz w:val="18"/>
              </w:rPr>
              <w:t>每年一次</w:t>
            </w:r>
          </w:p>
        </w:tc>
        <w:tc>
          <w:tcPr>
            <w:tcW w:w="3240" w:type="dxa"/>
          </w:tcPr>
          <w:p w14:paraId="7102344B">
            <w:pPr>
              <w:rPr>
                <w:rFonts w:hint="eastAsia" w:ascii="微软雅黑" w:hAnsi="微软雅黑" w:eastAsia="微软雅黑" w:cs="微软雅黑"/>
              </w:rPr>
            </w:pPr>
            <w:r>
              <w:rPr>
                <w:rFonts w:hint="eastAsia" w:ascii="微软雅黑" w:hAnsi="微软雅黑" w:eastAsia="微软雅黑" w:cs="微软雅黑"/>
                <w:sz w:val="18"/>
              </w:rPr>
              <w:t>缺口进入清单；连续两年未消除的缺口上报部际协调机制</w:t>
            </w:r>
          </w:p>
        </w:tc>
      </w:tr>
      <w:tr>
        <w:trPr/>
        <w:tc>
          <w:tcPr>
            <w:tcW w:w="1807" w:type="dxa"/>
          </w:tcPr>
          <w:p w14:paraId="687BA1B8">
            <w:pPr>
              <w:jc w:val="center"/>
              <w:rPr>
                <w:rFonts w:hint="eastAsia" w:ascii="微软雅黑" w:hAnsi="微软雅黑" w:eastAsia="微软雅黑" w:cs="微软雅黑"/>
              </w:rPr>
            </w:pPr>
            <w:r>
              <w:rPr>
                <w:rFonts w:hint="eastAsia" w:ascii="微软雅黑" w:hAnsi="微软雅黑" w:eastAsia="微软雅黑" w:cs="微软雅黑"/>
                <w:sz w:val="18"/>
              </w:rPr>
              <w:t>依赖链断点检查</w:t>
            </w:r>
          </w:p>
        </w:tc>
        <w:tc>
          <w:tcPr>
            <w:tcW w:w="3493" w:type="dxa"/>
          </w:tcPr>
          <w:p w14:paraId="59D5078A">
            <w:pPr>
              <w:rPr>
                <w:rFonts w:hint="eastAsia" w:ascii="微软雅黑" w:hAnsi="微软雅黑" w:eastAsia="微软雅黑" w:cs="微软雅黑"/>
              </w:rPr>
            </w:pPr>
            <w:r>
              <w:rPr>
                <w:rFonts w:hint="eastAsia" w:ascii="微软雅黑" w:hAnsi="微软雅黑" w:eastAsia="微软雅黑" w:cs="微软雅黑"/>
                <w:sz w:val="18"/>
              </w:rPr>
              <w:t>能力链、数据链、权责链</w:t>
            </w:r>
          </w:p>
        </w:tc>
        <w:tc>
          <w:tcPr>
            <w:tcW w:w="4400" w:type="dxa"/>
          </w:tcPr>
          <w:p w14:paraId="5330C01E">
            <w:pPr>
              <w:rPr>
                <w:rFonts w:hint="eastAsia" w:ascii="微软雅黑" w:hAnsi="微软雅黑" w:eastAsia="微软雅黑" w:cs="微软雅黑"/>
              </w:rPr>
            </w:pPr>
            <w:r>
              <w:rPr>
                <w:rFonts w:hint="eastAsia" w:ascii="微软雅黑" w:hAnsi="微软雅黑" w:eastAsia="微软雅黑" w:cs="微软雅黑"/>
                <w:sz w:val="18"/>
              </w:rPr>
              <w:t>逐环节检查标准空位，重点检查跨门类交界处</w:t>
            </w:r>
          </w:p>
        </w:tc>
        <w:tc>
          <w:tcPr>
            <w:tcW w:w="2200" w:type="dxa"/>
          </w:tcPr>
          <w:p w14:paraId="26854673">
            <w:pPr>
              <w:rPr>
                <w:rFonts w:hint="eastAsia" w:ascii="微软雅黑" w:hAnsi="微软雅黑" w:eastAsia="微软雅黑" w:cs="微软雅黑"/>
              </w:rPr>
            </w:pPr>
            <w:r>
              <w:rPr>
                <w:rFonts w:hint="eastAsia" w:ascii="微软雅黑" w:hAnsi="微软雅黑" w:eastAsia="微软雅黑" w:cs="微软雅黑"/>
                <w:sz w:val="18"/>
              </w:rPr>
              <w:t>每年一次</w:t>
            </w:r>
          </w:p>
        </w:tc>
        <w:tc>
          <w:tcPr>
            <w:tcW w:w="3240" w:type="dxa"/>
          </w:tcPr>
          <w:p w14:paraId="6DF92CC4">
            <w:pPr>
              <w:rPr>
                <w:rFonts w:hint="eastAsia" w:ascii="微软雅黑" w:hAnsi="微软雅黑" w:eastAsia="微软雅黑" w:cs="微软雅黑"/>
              </w:rPr>
            </w:pPr>
            <w:r>
              <w:rPr>
                <w:rFonts w:hint="eastAsia" w:ascii="微软雅黑" w:hAnsi="微软雅黑" w:eastAsia="微软雅黑" w:cs="微软雅黑"/>
                <w:sz w:val="18"/>
              </w:rPr>
              <w:t>断点处指定牵头单位限期补齐，必要时先出指导性技术文件过渡</w:t>
            </w:r>
          </w:p>
        </w:tc>
      </w:tr>
      <w:tr>
        <w:trPr/>
        <w:tc>
          <w:tcPr>
            <w:tcW w:w="1807" w:type="dxa"/>
          </w:tcPr>
          <w:p w14:paraId="1EED6A86">
            <w:pPr>
              <w:jc w:val="center"/>
              <w:rPr>
                <w:rFonts w:hint="eastAsia" w:ascii="微软雅黑" w:hAnsi="微软雅黑" w:eastAsia="微软雅黑" w:cs="微软雅黑"/>
              </w:rPr>
            </w:pPr>
            <w:r>
              <w:rPr>
                <w:rFonts w:hint="eastAsia" w:ascii="微软雅黑" w:hAnsi="微软雅黑" w:eastAsia="微软雅黑" w:cs="微软雅黑"/>
                <w:sz w:val="18"/>
              </w:rPr>
              <w:t>外部接口比对</w:t>
            </w:r>
          </w:p>
        </w:tc>
        <w:tc>
          <w:tcPr>
            <w:tcW w:w="3493" w:type="dxa"/>
          </w:tcPr>
          <w:p w14:paraId="6378680E">
            <w:pPr>
              <w:rPr>
                <w:rFonts w:hint="eastAsia" w:ascii="微软雅黑" w:hAnsi="微软雅黑" w:eastAsia="微软雅黑" w:cs="微软雅黑"/>
              </w:rPr>
            </w:pPr>
            <w:r>
              <w:rPr>
                <w:rFonts w:hint="eastAsia" w:ascii="微软雅黑" w:hAnsi="微软雅黑" w:eastAsia="微软雅黑" w:cs="微软雅黑"/>
                <w:sz w:val="18"/>
              </w:rPr>
              <w:t>与外部标准体系的引用关系</w:t>
            </w:r>
          </w:p>
        </w:tc>
        <w:tc>
          <w:tcPr>
            <w:tcW w:w="4400" w:type="dxa"/>
          </w:tcPr>
          <w:p w14:paraId="3A8AD022">
            <w:pPr>
              <w:rPr>
                <w:rFonts w:hint="eastAsia" w:ascii="微软雅黑" w:hAnsi="微软雅黑" w:eastAsia="微软雅黑" w:cs="微软雅黑"/>
              </w:rPr>
            </w:pPr>
            <w:r>
              <w:rPr>
                <w:rFonts w:hint="eastAsia" w:ascii="微软雅黑" w:hAnsi="微软雅黑" w:eastAsia="微软雅黑" w:cs="微软雅黑"/>
                <w:sz w:val="18"/>
              </w:rPr>
              <w:t>核对 SAC/TC561、SAC/TC100、SAC/TC577、SAC/TC591、MIIT/TC8 及国际标准最新版本</w:t>
            </w:r>
          </w:p>
        </w:tc>
        <w:tc>
          <w:tcPr>
            <w:tcW w:w="2200" w:type="dxa"/>
          </w:tcPr>
          <w:p w14:paraId="6C7EB7C9">
            <w:pPr>
              <w:rPr>
                <w:rFonts w:hint="eastAsia" w:ascii="微软雅黑" w:hAnsi="微软雅黑" w:eastAsia="微软雅黑" w:cs="微软雅黑"/>
              </w:rPr>
            </w:pPr>
            <w:r>
              <w:rPr>
                <w:rFonts w:hint="eastAsia" w:ascii="微软雅黑" w:hAnsi="微软雅黑" w:eastAsia="微软雅黑" w:cs="微软雅黑"/>
                <w:sz w:val="18"/>
              </w:rPr>
              <w:t>每年一次</w:t>
            </w:r>
          </w:p>
        </w:tc>
        <w:tc>
          <w:tcPr>
            <w:tcW w:w="3240" w:type="dxa"/>
          </w:tcPr>
          <w:p w14:paraId="7A75EDFA">
            <w:pPr>
              <w:rPr>
                <w:rFonts w:hint="eastAsia" w:ascii="微软雅黑" w:hAnsi="微软雅黑" w:eastAsia="微软雅黑" w:cs="微软雅黑"/>
              </w:rPr>
            </w:pPr>
            <w:r>
              <w:rPr>
                <w:rFonts w:hint="eastAsia" w:ascii="微软雅黑" w:hAnsi="微软雅黑" w:eastAsia="微软雅黑" w:cs="微软雅黑"/>
                <w:sz w:val="18"/>
              </w:rPr>
              <w:t>更新引用映射表，并对受影响标准启动修订评估</w:t>
            </w:r>
          </w:p>
        </w:tc>
      </w:tr>
      <w:tr>
        <w:trPr/>
        <w:tc>
          <w:tcPr>
            <w:tcW w:w="1807" w:type="dxa"/>
          </w:tcPr>
          <w:p w14:paraId="30E05625">
            <w:pPr>
              <w:jc w:val="center"/>
              <w:rPr>
                <w:rFonts w:hint="eastAsia" w:ascii="微软雅黑" w:hAnsi="微软雅黑" w:eastAsia="微软雅黑" w:cs="微软雅黑"/>
              </w:rPr>
            </w:pPr>
            <w:r>
              <w:rPr>
                <w:rFonts w:hint="eastAsia" w:ascii="微软雅黑" w:hAnsi="微软雅黑" w:eastAsia="微软雅黑" w:cs="微软雅黑"/>
                <w:sz w:val="18"/>
              </w:rPr>
              <w:t>检测机构间比对</w:t>
            </w:r>
          </w:p>
        </w:tc>
        <w:tc>
          <w:tcPr>
            <w:tcW w:w="3493" w:type="dxa"/>
          </w:tcPr>
          <w:p w14:paraId="4217B653">
            <w:pPr>
              <w:rPr>
                <w:rFonts w:hint="eastAsia" w:ascii="微软雅黑" w:hAnsi="微软雅黑" w:eastAsia="微软雅黑" w:cs="微软雅黑"/>
              </w:rPr>
            </w:pPr>
            <w:r>
              <w:rPr>
                <w:rFonts w:hint="eastAsia" w:ascii="微软雅黑" w:hAnsi="微软雅黑" w:eastAsia="微软雅黑" w:cs="微软雅黑"/>
                <w:sz w:val="18"/>
              </w:rPr>
              <w:t>检测机构与检测尺度</w:t>
            </w:r>
          </w:p>
        </w:tc>
        <w:tc>
          <w:tcPr>
            <w:tcW w:w="4400" w:type="dxa"/>
          </w:tcPr>
          <w:p w14:paraId="5FEADF3F">
            <w:pPr>
              <w:rPr>
                <w:rFonts w:hint="eastAsia" w:ascii="微软雅黑" w:hAnsi="微软雅黑" w:eastAsia="微软雅黑" w:cs="微软雅黑"/>
              </w:rPr>
            </w:pPr>
            <w:r>
              <w:rPr>
                <w:rFonts w:hint="eastAsia" w:ascii="微软雅黑" w:hAnsi="微软雅黑" w:eastAsia="微软雅黑" w:cs="微软雅黑"/>
                <w:sz w:val="18"/>
              </w:rPr>
              <w:t>统一发放样品或数据集，比对检测结论一致性</w:t>
            </w:r>
          </w:p>
        </w:tc>
        <w:tc>
          <w:tcPr>
            <w:tcW w:w="2200" w:type="dxa"/>
          </w:tcPr>
          <w:p w14:paraId="6FAA31C6">
            <w:pPr>
              <w:rPr>
                <w:rFonts w:hint="eastAsia" w:ascii="微软雅黑" w:hAnsi="微软雅黑" w:eastAsia="微软雅黑" w:cs="微软雅黑"/>
              </w:rPr>
            </w:pPr>
            <w:r>
              <w:rPr>
                <w:rFonts w:hint="eastAsia" w:ascii="微软雅黑" w:hAnsi="微软雅黑" w:eastAsia="微软雅黑" w:cs="微软雅黑"/>
                <w:sz w:val="18"/>
              </w:rPr>
              <w:t>每年至少一次，结果公开</w:t>
            </w:r>
          </w:p>
        </w:tc>
        <w:tc>
          <w:tcPr>
            <w:tcW w:w="3240" w:type="dxa"/>
          </w:tcPr>
          <w:p w14:paraId="15B1DA6C">
            <w:pPr>
              <w:rPr>
                <w:rFonts w:hint="eastAsia" w:ascii="微软雅黑" w:hAnsi="微软雅黑" w:eastAsia="微软雅黑" w:cs="微软雅黑"/>
              </w:rPr>
            </w:pPr>
            <w:r>
              <w:rPr>
                <w:rFonts w:hint="eastAsia" w:ascii="微软雅黑" w:hAnsi="微软雅黑" w:eastAsia="微软雅黑" w:cs="微软雅黑"/>
                <w:sz w:val="18"/>
              </w:rPr>
              <w:t>偏差超限的机构暂停指定资格，限期整改后复评</w:t>
            </w:r>
          </w:p>
        </w:tc>
      </w:tr>
      <w:bookmarkEnd w:id="1"/>
    </w:tbl>
    <w:p w14:paraId="79A603BE">
      <w:pPr>
        <w:rPr>
          <w:rFonts w:hint="eastAsia" w:ascii="微软雅黑" w:hAnsi="微软雅黑" w:eastAsia="微软雅黑" w:cs="微软雅黑"/>
        </w:rPr>
      </w:pPr>
    </w:p>
    <w:sectPr>
      <w:footerReference r:id="rId9" w:type="even"/>
      <w:footerReference r:id="rId10" w:type="default"/>
      <w:footerReference r:id="rId11" w:type="first"/>
      <w:pgSz w:w="16838" w:h="11906" w:orient="landscape"/>
      <w:pgMar w:top="1134" w:right="850" w:bottom="1134" w:left="850" w:header="720" w:footer="720" w:gutter="0"/>
      <w:pgNumType w:fmt="decimal"/>
      <w:cols w:space="720" w:num="1"/>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0">
    <w:p w14:paraId="6CD3F085">
      <w:pPr>
        <w:spacing w:line="240" w:lineRule="auto"/>
      </w:pPr>
      <w:r>
        <w:continuationSeparator/>
      </w:r>
    </w:p>
  </w:endnote>
  <w:endnote w:type="separator" w:id="1">
    <w:p w14:paraId="672B4597">
      <w:pPr>
        <w:spacing w:line="240" w:lineRule="auto"/>
      </w:pPr>
      <w:r>
        <w:separator/>
      </w:r>
    </w:p>
  </w:endnote>
</w:endnotes>
</file>

<file path=word/fontTable.xml><?xml version="1.0" encoding="utf-8"?>
<w:fonts xmlns:w="http://schemas.openxmlformats.org/wordprocessingml/2006/main">
  <w:font w:name="Microsoft YaHei UI">
    <w:panose1 w:val="020B0503020204020204"/>
    <w:charset w:val="86" w:characterSet="ISO-8859-1"/>
    <w:family w:val="auto"/>
    <w:pitch w:val="default"/>
    <w:sig w:usb0="80000287" w:usb1="2ACF3C50" w:usb2="00000016" w:usb3="00000000" w:csb0="0004001F" w:csb1="00000000"/>
  </w:font>
  <w:font w:name="Courier New">
    <w:panose1 w:val="02070309020205020404"/>
    <w:charset w:val="01" w:characterSet="ISO-8859-1"/>
    <w:family w:val="modern"/>
    <w:pitch w:val="default"/>
    <w:sig w:usb0="E0002EFF" w:usb1="C0007843" w:usb2="00000009" w:usb3="00000000" w:csb0="400001FF" w:csb1="FFFF0000"/>
  </w:font>
  <w:font w:name="Wingdings">
    <w:panose1 w:val="05000000000000000000"/>
    <w:charset w:val="02" w:characterSet="ISO-8859-1"/>
    <w:family w:val="auto"/>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微软雅黑">
    <w:panose1 w:val="020B0503020204020204"/>
    <w:charset w:val="86" w:characterSet="ISO-8859-1"/>
    <w:family w:val="auto"/>
    <w:pitch w:val="default"/>
    <w:sig w:usb0="80000287" w:usb1="2ACF3C50" w:usb2="00000016" w:usb3="00000000" w:csb0="0004001F" w:csb1="00000000"/>
  </w:font>
  <w:font w:name="Tahoma">
    <w:panose1 w:val="020B0604030504040204"/>
    <w:charset w:val="00" w:characterSet="ISO-8859-1"/>
    <w:family w:val="auto"/>
    <w:pitch w:val="default"/>
    <w:sig w:usb0="E1002EFF" w:usb1="C000605B" w:usb2="00000029" w:usb3="00000000" w:csb0="200101FF" w:csb1="20280000"/>
  </w:font>
  <w:font w:name="Calibri">
    <w:panose1 w:val="020F0502020204030204"/>
    <w:charset w:val="00" w:characterSet="ISO-8859-1"/>
    <w:family w:val="swiss"/>
    <w:pitch w:val="default"/>
    <w:sig w:usb0="E4002EFF" w:usb1="C000247B" w:usb2="00000009" w:usb3="00000000" w:csb0="200001FF" w:csb1="00000000"/>
  </w:font>
  <w:font w:name="黑体">
    <w:panose1 w:val="02010609060101010101"/>
    <w:charset w:val="86" w:characterSet="ISO-8859-1"/>
    <w:family w:val="auto"/>
    <w:pitch w:val="default"/>
    <w:sig w:usb0="800002BF" w:usb1="38CF7CFA" w:usb2="0000001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s>
</file>

<file path=word/footer1.xml><?xml version="1.0" encoding="utf-8"?>
<w:ftr xmlns:w="http://schemas.openxmlformats.org/wordprocessingml/2006/main" xmlns:w14="http://schemas.microsoft.com/office/word/2010/wordml" xmlns:mc="http://schemas.openxmlformats.org/markup-compatibility/2006" mc:Ignorable="w14">
  <w:sdt>
    <w:sdtPr>
      <w:id w:val="147462373"/>
      <w:docPartObj>
        <w:docPartGallery w:val="AutoText"/>
      </w:docPartObj>
    </w:sdtPr>
    <w:sdtContent>
      <w:p w14:paraId="7B3579AB">
        <w:pPr>
          <w:framePr w:wrap="auto" w:hAnchor="margin" w:vAnchor="text" w:xAlign="right" w:y="1"/>
        </w:pPr>
        <w:r>
          <w:fldChar w:fldCharType="begin"/>
        </w:r>
        <w:r>
          <w:instrText>PAGE</w:instrText>
        </w:r>
        <w:r>
          <w:fldChar w:fldCharType="separate"/>
        </w:r>
        <w:r>
          <w:t>1</w:t>
        </w:r>
        <w:r>
          <w:fldChar w:fldCharType="end"/>
        </w:r>
      </w:p>
    </w:sdtContent>
  </w:sdt>
  <w:p w14:paraId="5432BE84">
    <w:pPr/>
  </w:p>
</w:ftr>
</file>

<file path=word/footer2.xml><?xml version="1.0" encoding="utf-8"?>
<w:ftr xmlns:w="http://schemas.openxmlformats.org/wordprocessingml/2006/main" xmlns:w14="http://schemas.microsoft.com/office/word/2010/wordml" xmlns:mc="http://schemas.openxmlformats.org/markup-compatibility/2006" mc:Ignorable="w14">
  <w:sdt>
    <w:sdtPr>
      <w:id w:val="147464529"/>
      <w:docPartObj>
        <w:docPartGallery w:val="AutoText"/>
      </w:docPartObj>
    </w:sdtPr>
    <w:sdtContent>
      <w:p w14:paraId="1CF23846">
        <w:pPr>
          <w:framePr w:wrap="auto" w:hAnchor="margin" w:vAnchor="text" w:xAlign="right" w:y="1"/>
        </w:pPr>
        <w:r>
          <w:fldChar w:fldCharType="begin"/>
        </w:r>
        <w:r>
          <w:instrText>PAGE</w:instrText>
        </w:r>
        <w:r>
          <w:fldChar w:fldCharType="separate"/>
        </w:r>
        <w:r>
          <w:t>1</w:t>
        </w:r>
        <w:r>
          <w:fldChar w:fldCharType="end"/>
        </w:r>
      </w:p>
    </w:sdtContent>
  </w:sdt>
  <w:p w14:paraId="6A2A5B04">
    <w:pPr/>
  </w:p>
</w:ftr>
</file>

<file path=word/footer3.xml><?xml version="1.0" encoding="utf-8"?>
<w:ftr xmlns:w="http://schemas.openxmlformats.org/wordprocessingml/2006/main" xmlns:w14="http://schemas.microsoft.com/office/word/2010/wordml" xmlns:mc="http://schemas.openxmlformats.org/markup-compatibility/2006" mc:Ignorable="w14">
  <w:sdt>
    <w:sdtPr>
      <w:id w:val="147469461"/>
      <w:docPartObj>
        <w:docPartGallery w:val="AutoText"/>
      </w:docPartObj>
    </w:sdtPr>
    <w:sdtContent>
      <w:p w14:paraId="546CDB1E">
        <w:pPr>
          <w:framePr w:wrap="auto" w:hAnchor="margin" w:vAnchor="text" w:xAlign="right" w:y="1"/>
        </w:pPr>
        <w:r>
          <w:fldChar w:fldCharType="begin"/>
        </w:r>
        <w:r>
          <w:instrText>PAGE</w:instrText>
        </w:r>
        <w:r>
          <w:fldChar w:fldCharType="separate"/>
        </w:r>
        <w:r>
          <w:t>1</w:t>
        </w:r>
        <w:r>
          <w:fldChar w:fldCharType="end"/>
        </w:r>
      </w:p>
    </w:sdtContent>
  </w:sdt>
  <w:p w14:paraId="6E50CAA8">
    <w:pPr/>
  </w:p>
</w:ftr>
</file>

<file path=word/footer4.xml><?xml version="1.0" encoding="utf-8"?>
<w:ftr xmlns:w="http://schemas.openxmlformats.org/wordprocessingml/2006/main" xmlns:w14="http://schemas.microsoft.com/office/word/2010/wordml" xmlns:mc="http://schemas.openxmlformats.org/markup-compatibility/2006" mc:Ignorable="w14">
  <w:sdt>
    <w:sdtPr>
      <w:id w:val="147483184"/>
      <w:docPartObj>
        <w:docPartGallery w:val="AutoText"/>
      </w:docPartObj>
    </w:sdtPr>
    <w:sdtContent>
      <w:p w14:paraId="639B406D">
        <w:pPr>
          <w:framePr w:wrap="auto" w:hAnchor="margin" w:vAnchor="text" w:xAlign="right" w:y="1"/>
        </w:pPr>
        <w:r>
          <w:fldChar w:fldCharType="begin"/>
        </w:r>
        <w:r>
          <w:instrText>PAGE</w:instrText>
        </w:r>
        <w:r>
          <w:fldChar w:fldCharType="separate"/>
        </w:r>
        <w:r>
          <w:t>1</w:t>
        </w:r>
        <w:r>
          <w:fldChar w:fldCharType="end"/>
        </w:r>
      </w:p>
    </w:sdtContent>
  </w:sdt>
  <w:p w14:paraId="06C80DD4">
    <w:pPr/>
  </w:p>
</w:ftr>
</file>

<file path=word/footer5.xml><?xml version="1.0" encoding="utf-8"?>
<w:ftr xmlns:w="http://schemas.openxmlformats.org/wordprocessingml/2006/main" xmlns:w14="http://schemas.microsoft.com/office/word/2010/wordml" xmlns:mc="http://schemas.openxmlformats.org/markup-compatibility/2006" mc:Ignorable="w14">
  <w:sdt>
    <w:sdtPr>
      <w:id w:val="147473613"/>
      <w:docPartObj>
        <w:docPartGallery w:val="AutoText"/>
      </w:docPartObj>
    </w:sdtPr>
    <w:sdtContent>
      <w:p w14:paraId="7876D535">
        <w:pPr>
          <w:framePr w:wrap="auto" w:hAnchor="margin" w:vAnchor="text" w:xAlign="right" w:y="1"/>
        </w:pPr>
        <w:r>
          <w:fldChar w:fldCharType="begin"/>
        </w:r>
        <w:r>
          <w:instrText>PAGE</w:instrText>
        </w:r>
        <w:r>
          <w:fldChar w:fldCharType="separate"/>
        </w:r>
        <w:r>
          <w:t>1</w:t>
        </w:r>
        <w:r>
          <w:fldChar w:fldCharType="end"/>
        </w:r>
      </w:p>
    </w:sdtContent>
  </w:sdt>
  <w:p w14:paraId="764BCA5D">
    <w:pPr/>
  </w:p>
</w:ftr>
</file>

<file path=word/footer6.xml><?xml version="1.0" encoding="utf-8"?>
<w:ftr xmlns:w="http://schemas.openxmlformats.org/wordprocessingml/2006/main" xmlns:w14="http://schemas.microsoft.com/office/word/2010/wordml" xmlns:mc="http://schemas.openxmlformats.org/markup-compatibility/2006" mc:Ignorable="w14">
  <w:sdt>
    <w:sdtPr>
      <w:id w:val="147468787"/>
      <w:docPartObj>
        <w:docPartGallery w:val="AutoText"/>
      </w:docPartObj>
    </w:sdtPr>
    <w:sdtContent>
      <w:p w14:paraId="64D89528">
        <w:pPr>
          <w:framePr w:wrap="auto" w:hAnchor="margin" w:vAnchor="text" w:xAlign="right" w:y="1"/>
        </w:pPr>
        <w:r>
          <w:fldChar w:fldCharType="begin"/>
        </w:r>
        <w:r>
          <w:instrText>PAGE</w:instrText>
        </w:r>
        <w:r>
          <w:fldChar w:fldCharType="separate"/>
        </w:r>
        <w:r>
          <w:t>1</w:t>
        </w:r>
        <w:r>
          <w:fldChar w:fldCharType="end"/>
        </w:r>
      </w:p>
    </w:sdtContent>
  </w:sdt>
  <w:p w14:paraId="601ED70C">
    <w:pP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0">
    <w:p w14:paraId="7CA2A80D">
      <w:pPr>
        <w:spacing w:before="0" w:after="0" w:line="240" w:lineRule="auto"/>
      </w:pPr>
      <w:r>
        <w:continuationSeparator/>
      </w:r>
    </w:p>
  </w:footnote>
  <w:footnote w:type="separator" w:id="1">
    <w:p w14:paraId="77430A0B">
      <w:pPr>
        <w:spacing w:before="0" w:after="0" w:line="240" w:lineRule="auto"/>
      </w:pPr>
      <w:r>
        <w:separator/>
      </w:r>
    </w:p>
  </w:footnote>
</w:footnotes>
</file>

<file path=word/settings.xml><?xml version="1.0" encoding="utf-8"?>
<w:settings xmlns:w="http://schemas.openxmlformats.org/wordprocessingml/2006/main">
  <w:zoom w:percent="120"/>
  <w:doNotDisplayPageBoundaries w:val="1"/>
  <w:documentProtection w:enforcement="0"/>
  <w:defaultTabStop w:val="420"/>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2"/>
  </w:compat>
  <w:rsids>
    <w:rsidRoot w:val="00000000"/>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ADC3A6D"/>
    <w:rsid w:val="0F2B6FD9"/>
    <w:rsid w:val="183C240D"/>
    <w:rsid w:val="1AA24D9F"/>
    <w:rsid w:val="1C79702B"/>
    <w:rsid w:val="1D023F9A"/>
    <w:rsid w:val="20673947"/>
    <w:rsid w:val="27FBD2E2"/>
    <w:rsid w:val="28DA2E89"/>
    <w:rsid w:val="2A4254F9"/>
    <w:rsid w:val="2D1F32F4"/>
    <w:rsid w:val="323B4D81"/>
    <w:rsid w:val="328305A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DA12AB5"/>
    <w:rsid w:val="6E5F49A6"/>
    <w:rsid w:val="6FFF37D2"/>
    <w:rsid w:val="70DE2EF1"/>
    <w:rsid w:val="73C30FE6"/>
    <w:rsid w:val="76EF1037"/>
    <w:rsid w:val="7C5F4108"/>
    <w:rsid w:val="7F0653CC"/>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Table Web 2" w:uiPriority="0"/>
    <w:lsdException w:name="Medium Grid 1" w:uiPriority="67" w:semiHidden="0" w:unhideWhenUsed="0"/>
    <w:lsdException w:name="Table List 6" w:uiPriority="0"/>
    <w:lsdException w:name="Dark List" w:uiPriority="70" w:semiHidden="0" w:unhideWhenUsed="0"/>
    <w:lsdException w:name="HTML Sample" w:uiPriority="99" w:semiHidden="0" w:unhideWhenUsed="0"/>
    <w:lsdException w:name="Medium List 1" w:uiPriority="65" w:semiHidden="0" w:unhideWhenUsed="0"/>
    <w:lsdException w:name="Light Grid Accent 5" w:uiPriority="62" w:semiHidden="0" w:unhideWhenUsed="0"/>
    <w:lsdException w:name="Light Grid Accent 2" w:uiPriority="62" w:semiHidden="0" w:unhideWhenUsed="0"/>
    <w:lsdException w:name="Colorful List Accent 6" w:uiPriority="72" w:semiHidden="0" w:unhideWhenUsed="0"/>
    <w:lsdException w:name="Table Web 3" w:uiPriority="0"/>
    <w:lsdException w:name="Table Columns 4" w:uiPriority="0"/>
    <w:lsdException w:name="Colorful Grid Accent 1" w:uiPriority="73" w:semiHidden="0" w:unhideWhenUsed="0"/>
    <w:lsdException w:name="Message Header" w:uiPriority="0" w:semiHidden="0" w:unhideWhenUsed="0"/>
    <w:lsdException w:name="Subtitle" w:uiPriority="0" w:semiHidden="0" w:unhideWhenUsed="0" w:qFormat="1"/>
    <w:lsdException w:name="Light List Accent 3" w:uiPriority="61" w:semiHidden="0" w:unhideWhenUsed="0"/>
    <w:lsdException w:name="Table Grid 2" w:uiPriority="0"/>
    <w:lsdException w:name="List Continue 4" w:uiPriority="0" w:semiHidden="0" w:unhideWhenUsed="0"/>
    <w:lsdException w:name="Colorful Shading Accent 6" w:uiPriority="71" w:semiHidden="0" w:unhideWhenUsed="0"/>
    <w:lsdException w:name="Light Grid Accent 3" w:uiPriority="62" w:semiHidden="0" w:unhideWhenUsed="0"/>
    <w:lsdException w:name="Balloon Text" w:uiPriority="0" w:semiHidden="0" w:unhideWhenUsed="0"/>
    <w:lsdException w:name="Light Shading" w:uiPriority="60" w:semiHidden="0" w:unhideWhenUsed="0"/>
    <w:lsdException w:name="Table Web 1" w:uiPriority="0"/>
    <w:lsdException w:name="Medium Shading 1 Accent 2" w:uiPriority="63" w:semiHidden="0" w:unhideWhenUsed="0"/>
    <w:lsdException w:name="envelope return" w:uiPriority="0" w:semiHidden="0" w:unhideWhenUsed="0"/>
    <w:lsdException w:name="Medium Shading 1 Accent 4" w:uiPriority="63" w:semiHidden="0" w:unhideWhenUsed="0"/>
    <w:lsdException w:name="List Bullet 5" w:uiPriority="0" w:semiHidden="0" w:unhideWhenUsed="0"/>
    <w:lsdException w:name="Medium Shading 1 Accent 3" w:uiPriority="63" w:semiHidden="0" w:unhideWhenUsed="0"/>
    <w:lsdException w:name="List Bullet" w:uiPriority="0" w:semiHidden="0" w:unhideWhenUsed="0"/>
    <w:lsdException w:name="List Continue 5" w:uiPriority="0" w:semiHidden="0" w:unhideWhenUsed="0"/>
    <w:lsdException w:name="toc 6" w:uiPriority="99" w:semiHidden="0" w:unhideWhenUsed="0"/>
    <w:lsdException w:name="toc 1" w:uiPriority="99" w:semiHidden="0" w:unhideWhenUsed="0"/>
    <w:lsdException w:name="Light Shading Accent 2" w:uiPriority="60" w:semiHidden="0" w:unhideWhenUsed="0"/>
    <w:lsdException w:name="index 9" w:uiPriority="0" w:semiHidden="0" w:unhideWhenUsed="0"/>
    <w:lsdException w:name="Plain Text" w:uiPriority="0" w:semiHidden="0" w:unhideWhenUsed="0"/>
    <w:lsdException w:name="Medium Grid 2" w:uiPriority="68" w:semiHidden="0" w:unhideWhenUsed="0"/>
    <w:lsdException w:name="HTML Typewriter" w:uiPriority="99" w:semiHidden="0" w:unhideWhenUsed="0"/>
    <w:lsdException w:name="toc 5" w:uiPriority="99" w:semiHidden="0" w:unhideWhenUsed="0"/>
    <w:lsdException w:name="Light Grid Accent 6" w:uiPriority="62" w:semiHidden="0" w:unhideWhenUsed="0"/>
    <w:lsdException w:name="List Continue 3" w:uiPriority="0" w:semiHidden="0" w:unhideWhenUsed="0"/>
    <w:lsdException w:name="Block Text" w:uiPriority="0" w:semiHidden="0" w:unhideWhenUsed="0"/>
    <w:lsdException w:name="Medium List 1 Accent 4" w:uiPriority="65" w:semiHidden="0" w:unhideWhenUsed="0"/>
    <w:lsdException w:name="Medium List 2 Accent 2" w:uiPriority="66" w:semiHidden="0" w:unhideWhenUsed="0"/>
    <w:lsdException w:name="heading 3" w:uiPriority="0" w:semiHidden="0" w:unhideWhenUsed="0" w:qFormat="1"/>
    <w:lsdException w:name="Medium Shading 2 Accent 3" w:uiPriority="64" w:semiHidden="0" w:unhideWhenUsed="0"/>
    <w:lsdException w:name="Medium Grid 2 Accent 5" w:uiPriority="68" w:semiHidden="0" w:unhideWhenUsed="0"/>
    <w:lsdException w:name="Table Columns 1" w:uiPriority="0"/>
    <w:lsdException w:name="Table Subtle 1" w:uiPriority="0"/>
    <w:lsdException w:name="List Continue 2" w:uiPriority="0" w:semiHidden="0" w:unhideWhenUsed="0"/>
    <w:lsdException w:name="Medium List 1 Accent 2" w:uiPriority="65" w:semiHidden="0" w:unhideWhenUsed="0"/>
    <w:lsdException w:name="Medium List 1 Accent 5" w:uiPriority="65" w:semiHidden="0" w:unhideWhenUsed="0"/>
    <w:lsdException w:name="Medium List 2 Accent 4" w:uiPriority="66" w:semiHidden="0" w:unhideWhenUsed="0"/>
    <w:lsdException w:name="heading 9" w:uiPriority="0" w:semiHidden="0" w:qFormat="1"/>
    <w:lsdException w:name="Medium List 1 Accent 1" w:uiPriority="65" w:semiHidden="0" w:unhideWhenUsed="0"/>
    <w:lsdException w:name="HTML Definition" w:uiPriority="99" w:semiHidden="0" w:unhideWhenUsed="0"/>
    <w:lsdException w:name="Medium Grid 2 Accent 3" w:uiPriority="68" w:semiHidden="0" w:unhideWhenUsed="0"/>
    <w:lsdException w:name="Medium Grid 3 Accent 5" w:uiPriority="69" w:semiHidden="0" w:unhideWhenUsed="0"/>
    <w:lsdException w:name="Normal (Web)" w:uiPriority="0" w:semiHidden="0" w:unhideWhenUsed="0"/>
    <w:lsdException w:name="Dark List Accent 3" w:uiPriority="70" w:semiHidden="0" w:unhideWhenUsed="0"/>
    <w:lsdException w:name="Body Text First Indent 2" w:uiPriority="0" w:semiHidden="0" w:unhideWhenUsed="0"/>
    <w:lsdException w:name="envelope address" w:uiPriority="0" w:semiHidden="0" w:unhideWhenUsed="0"/>
    <w:lsdException w:name="Light List Accent 4" w:uiPriority="61" w:semiHidden="0" w:unhideWhenUsed="0"/>
    <w:lsdException w:name="toc 2" w:uiPriority="99" w:semiHidden="0" w:unhideWhenUsed="0"/>
    <w:lsdException w:name="Light Shading Accent 1" w:uiPriority="60" w:semiHidden="0" w:unhideWhenUsed="0"/>
    <w:lsdException w:name="List Continue" w:uiPriority="0" w:semiHidden="0" w:unhideWhenUsed="0"/>
    <w:lsdException w:name="HTML Code" w:uiPriority="99" w:semiHidden="0" w:unhideWhenUsed="0"/>
    <w:lsdException w:name="Medium Grid 2 Accent 2" w:uiPriority="68" w:semiHidden="0" w:unhideWhenUsed="0"/>
    <w:lsdException w:name="Dark List Accent 5" w:uiPriority="70" w:semiHidden="0" w:unhideWhenUsed="0"/>
    <w:lsdException w:name="Table Subtle 2" w:uiPriority="0"/>
    <w:lsdException w:name="Light Shading Accent 5" w:uiPriority="60" w:semiHidden="0" w:unhideWhenUsed="0"/>
    <w:lsdException w:name="Body Text Indent 2" w:uiPriority="0" w:semiHidden="0" w:unhideWhenUsed="0"/>
    <w:lsdException w:name="Table Colorful 2" w:uiPriority="0"/>
    <w:lsdException w:name="List Bullet 3" w:uiPriority="0" w:semiHidden="0" w:unhideWhenUsed="0"/>
    <w:lsdException w:name="Medium List 2 Accent 1" w:uiPriority="66" w:semiHidden="0" w:unhideWhenUsed="0"/>
    <w:lsdException w:name="toc 8" w:uiPriority="99" w:semiHidden="0" w:unhideWhenUsed="0"/>
    <w:lsdException w:name="Table Classic 2" w:uiPriority="0"/>
    <w:lsdException w:name="HTML Cite" w:uiPriority="99" w:semiHidden="0" w:unhideWhenUsed="0"/>
    <w:lsdException w:name="Closing" w:uiPriority="0" w:semiHidden="0" w:unhideWhenUsed="0"/>
    <w:lsdException w:name="Date" w:uiPriority="0" w:semiHidden="0" w:unhideWhenUsed="0"/>
    <w:lsdException w:name="footnote reference" w:uiPriority="99"/>
    <w:lsdException w:name="Title" w:uiPriority="0" w:semiHidden="0" w:unhideWhenUsed="0" w:qFormat="1"/>
    <w:lsdException w:name="table of authorities" w:uiPriority="0" w:semiHidden="0" w:unhideWhenUsed="0"/>
    <w:lsdException w:name="index 1" w:uiPriority="0" w:semiHidden="0" w:unhideWhenUsed="0"/>
    <w:lsdException w:name="Table List 4" w:uiPriority="0"/>
    <w:lsdException w:name="Medium List 1 Accent 6" w:uiPriority="65" w:semiHidden="0" w:unhideWhenUsed="0"/>
    <w:lsdException w:name="heading 5" w:uiPriority="0" w:semiHidden="0" w:unhideWhenUsed="0" w:qFormat="1"/>
    <w:lsdException w:name="Table Grid 3" w:uiPriority="0"/>
    <w:lsdException w:name="Table Grid 8" w:uiPriority="0"/>
    <w:lsdException w:name="Light List" w:uiPriority="61" w:semiHidden="0" w:unhideWhenUsed="0"/>
    <w:lsdException w:name="Body Text Indent" w:uiPriority="0" w:semiHidden="0" w:unhideWhenUsed="0"/>
    <w:lsdException w:name="endnote reference" w:uiPriority="0" w:semiHidden="0" w:unhideWhenUsed="0"/>
    <w:lsdException w:name="HTML Acronym" w:uiPriority="99" w:semiHidden="0" w:unhideWhenUsed="0"/>
    <w:lsdException w:name="Colorful Grid Accent 4" w:uiPriority="73" w:semiHidden="0" w:unhideWhenUsed="0"/>
    <w:lsdException w:name="Table Contemporary" w:uiPriority="0"/>
    <w:lsdException w:name="Medium Grid 2 Accent 1" w:uiPriority="68" w:semiHidden="0" w:unhideWhenUsed="0"/>
    <w:lsdException w:name="index 3" w:uiPriority="0" w:semiHidden="0" w:unhideWhenUsed="0"/>
    <w:lsdException w:name="Table Grid 1" w:uiPriority="0"/>
    <w:lsdException w:name="E-mail Signature" w:uiPriority="0" w:semiHidden="0" w:unhideWhenUsed="0"/>
    <w:lsdException w:name="Colorful Grid Accent 3" w:uiPriority="73" w:semiHidden="0" w:unhideWhenUsed="0"/>
    <w:lsdException w:name="Colorful Shading Accent 4" w:uiPriority="71" w:semiHidden="0" w:unhideWhenUsed="0"/>
    <w:lsdException w:name="Colorful List" w:uiPriority="72" w:semiHidden="0" w:unhideWhenUsed="0"/>
    <w:lsdException w:name="caption" w:uiPriority="0" w:qFormat="1"/>
    <w:lsdException w:name="Table Simple 1" w:uiPriority="0"/>
    <w:lsdException w:name="List Bullet 4" w:uiPriority="0" w:semiHidden="0" w:unhideWhenUsed="0"/>
    <w:lsdException w:name="Dark List Accent 1" w:uiPriority="70" w:semiHidden="0" w:unhideWhenUsed="0"/>
    <w:lsdException w:name="Colorful List Accent 2" w:uiPriority="72" w:semiHidden="0" w:unhideWhenUsed="0"/>
    <w:lsdException w:name="Body Text 2" w:uiPriority="0" w:semiHidden="0" w:unhideWhenUsed="0"/>
    <w:lsdException w:name="Table 3D effects 1" w:uiPriority="0"/>
    <w:lsdException w:name="HTML Variable" w:uiPriority="99" w:semiHidden="0" w:unhideWhenUsed="0"/>
    <w:lsdException w:name="HTML Keyboard" w:uiPriority="99" w:semiHidden="0" w:unhideWhenUsed="0"/>
    <w:lsdException w:name="Medium Grid 1 Accent 1" w:uiPriority="67" w:semiHidden="0" w:unhideWhenUsed="0"/>
    <w:lsdException w:name="Medium Grid 1 Accent 5" w:uiPriority="67" w:semiHidden="0" w:unhideWhenUsed="0"/>
    <w:lsdException w:name="Colorful Grid" w:uiPriority="73" w:semiHidden="0" w:unhideWhenUsed="0"/>
    <w:lsdException w:name="Medium Shading 1 Accent 6" w:uiPriority="63" w:semiHidden="0" w:unhideWhenUsed="0"/>
    <w:lsdException w:name="Light Grid" w:uiPriority="62" w:semiHidden="0" w:unhideWhenUsed="0"/>
    <w:lsdException w:name="Table List 7" w:uiPriority="0"/>
    <w:lsdException w:name="annotation subject" w:uiPriority="0" w:semiHidden="0" w:unhideWhenUsed="0"/>
    <w:lsdException w:name="Table Grid 6" w:uiPriority="0"/>
    <w:lsdException w:name="macro" w:uiPriority="0" w:semiHidden="0" w:unhideWhenUsed="0"/>
    <w:lsdException w:name="Table 3D effects 2" w:uiPriority="0"/>
    <w:lsdException w:name="HTML Preformatted" w:uiPriority="99" w:semiHidden="0" w:unhideWhenUsed="0"/>
    <w:lsdException w:name="Medium Shading 2 Accent 4" w:uiPriority="64" w:semiHidden="0" w:unhideWhenUsed="0"/>
    <w:lsdException w:name="Colorful Shading" w:uiPriority="71" w:semiHidden="0" w:unhideWhenUsed="0"/>
    <w:lsdException w:name="page number" w:uiPriority="0" w:semiHidden="0" w:unhideWhenUsed="0"/>
    <w:lsdException w:name="Table Simple 2" w:uiPriority="0"/>
    <w:lsdException w:name="Table Colorful 3" w:uiPriority="0"/>
    <w:lsdException w:name="Light List Accent 2" w:uiPriority="61" w:semiHidden="0" w:unhideWhenUsed="0"/>
    <w:lsdException w:name="heading 6" w:uiPriority="0" w:semiHidden="0" w:unhideWhenUsed="0" w:qFormat="1"/>
    <w:lsdException w:name="Body Text" w:uiPriority="0" w:semiHidden="0" w:unhideWhenUsed="0"/>
    <w:lsdException w:name="heading 1" w:uiPriority="0" w:semiHidden="0" w:unhideWhenUsed="0" w:qFormat="1"/>
    <w:lsdException w:name="Emphasis" w:uiPriority="0" w:semiHidden="0" w:unhideWhenUsed="0" w:qFormat="1"/>
    <w:lsdException w:name="Table Classic 3" w:uiPriority="0"/>
    <w:lsdException w:name="Medium Grid 3 Accent 6" w:uiPriority="69" w:semiHidden="0" w:unhideWhenUsed="0"/>
    <w:lsdException w:name="Colorful Grid Accent 6" w:uiPriority="73" w:semiHidden="0" w:unhideWhenUsed="0"/>
    <w:lsdException w:name="Colorful List Accent 1" w:uiPriority="72" w:semiHidden="0" w:unhideWhenUsed="0"/>
    <w:lsdException w:name="List Number 4" w:uiPriority="0" w:semiHidden="0" w:unhideWhenUsed="0"/>
    <w:lsdException w:name="heading 7" w:uiPriority="0" w:semiHidden="0" w:qFormat="1"/>
    <w:lsdException w:name="index 7" w:uiPriority="0" w:semiHidden="0" w:unhideWhenUsed="0"/>
    <w:lsdException w:name="Colorful List Accent 5" w:uiPriority="72" w:semiHidden="0" w:unhideWhenUsed="0"/>
    <w:lsdException w:name="Table Grid 5" w:uiPriority="0"/>
    <w:lsdException w:name="Medium List 2 Accent 6" w:uiPriority="66" w:semiHidden="0" w:unhideWhenUsed="0"/>
    <w:lsdException w:name="Medium Grid 1 Accent 2" w:uiPriority="67" w:semiHidden="0" w:unhideWhenUsed="0"/>
    <w:lsdException w:name="Dark List Accent 6" w:uiPriority="70" w:semiHidden="0" w:unhideWhenUsed="0"/>
    <w:lsdException w:name="Light List Accent 1" w:uiPriority="61" w:semiHidden="0" w:unhideWhenUsed="0"/>
    <w:lsdException w:name="Default Paragraph Font" w:uiPriority="1"/>
    <w:lsdException w:name="Medium Shading 1 Accent 5" w:uiPriority="63" w:semiHidden="0" w:unhideWhenUsed="0"/>
    <w:lsdException w:name="Table Grid" w:uiPriority="0" w:semiHidden="0" w:unhideWhenUsed="0" w:qFormat="1"/>
    <w:lsdException w:name="toc 7" w:uiPriority="99" w:semiHidden="0" w:unhideWhenUsed="0"/>
    <w:lsdException w:name="Normal Table" w:uiPriority="99"/>
    <w:lsdException w:name="Light Shading Accent 4" w:uiPriority="60" w:semiHidden="0" w:unhideWhenUsed="0"/>
    <w:lsdException w:name="Medium Shading 1" w:uiPriority="63" w:semiHidden="0" w:unhideWhenUsed="0"/>
    <w:lsdException w:name="Medium Grid 3 Accent 1" w:uiPriority="69" w:semiHidden="0" w:unhideWhenUsed="0"/>
    <w:lsdException w:name="Medium Grid 1 Accent 3" w:uiPriority="67" w:semiHidden="0" w:unhideWhenUsed="0"/>
    <w:lsdException w:name="Light Shading Accent 3" w:uiPriority="60" w:semiHidden="0" w:unhideWhenUsed="0"/>
    <w:lsdException w:name="HTML Address" w:uiPriority="99" w:semiHidden="0" w:unhideWhenUsed="0"/>
    <w:lsdException w:name="index 2" w:uiPriority="0" w:semiHidden="0" w:unhideWhenUsed="0"/>
    <w:lsdException w:name="annotation reference" w:uiPriority="0" w:semiHidden="0" w:unhideWhenUsed="0"/>
    <w:lsdException w:name="Normal" w:uiPriority="0" w:semiHidden="0" w:unhideWhenUsed="0" w:qFormat="1"/>
    <w:lsdException w:name="heading 4" w:uiPriority="0" w:semiHidden="0" w:unhideWhenUsed="0" w:qFormat="1"/>
    <w:lsdException w:name="Medium List 2 Accent 5" w:uiPriority="66" w:semiHidden="0" w:unhideWhenUsed="0"/>
    <w:lsdException w:name="index 8" w:uiPriority="0" w:semiHidden="0" w:unhideWhenUsed="0"/>
    <w:lsdException w:name="Medium Shading 2 Accent 2" w:uiPriority="64" w:semiHidden="0" w:unhideWhenUsed="0"/>
    <w:lsdException w:name="Medium Grid 3" w:uiPriority="69" w:semiHidden="0" w:unhideWhenUsed="0"/>
    <w:lsdException w:name="index 4" w:uiPriority="0" w:semiHidden="0" w:unhideWhenUsed="0"/>
    <w:lsdException w:name="heading 8" w:uiPriority="0" w:semiHidden="0" w:qFormat="1"/>
    <w:lsdException w:name="footer" w:uiPriority="0" w:semiHidden="0" w:unhideWhenUsed="0"/>
    <w:lsdException w:name="Colorful Shading Accent 5" w:uiPriority="71" w:semiHidden="0" w:unhideWhenUsed="0"/>
    <w:lsdException w:name="Colorful Shading Accent 2" w:uiPriority="71" w:semiHidden="0" w:unhideWhenUsed="0"/>
    <w:lsdException w:name="annotation text" w:uiPriority="0" w:semiHidden="0" w:unhideWhenUsed="0"/>
    <w:lsdException w:name="Medium List 1 Accent 3" w:uiPriority="65" w:semiHidden="0" w:unhideWhenUsed="0"/>
    <w:lsdException w:name="Body Text Indent 3" w:uiPriority="0" w:semiHidden="0" w:unhideWhenUsed="0"/>
    <w:lsdException w:name="List 4" w:uiPriority="0" w:semiHidden="0" w:unhideWhenUsed="0"/>
    <w:lsdException w:name="Strong" w:uiPriority="0" w:semiHidden="0" w:unhideWhenUsed="0" w:qFormat="1"/>
    <w:lsdException w:name="heading 2" w:uiPriority="0" w:semiHidden="0" w:unhideWhenUsed="0" w:qFormat="1"/>
    <w:lsdException w:name="Document Map" w:uiPriority="0" w:semiHidden="0" w:unhideWhenUsed="0"/>
    <w:lsdException w:name="Medium List 2 Accent 3" w:uiPriority="66" w:semiHidden="0" w:unhideWhenUsed="0"/>
    <w:lsdException w:name="Light List Accent 5" w:uiPriority="61" w:semiHidden="0" w:unhideWhenUsed="0"/>
    <w:lsdException w:name="index 5" w:uiPriority="0" w:semiHidden="0" w:unhideWhenUsed="0"/>
    <w:lsdException w:name="toc 4" w:uiPriority="99" w:semiHidden="0" w:unhideWhenUsed="0"/>
    <w:lsdException w:name="Medium Grid 3 Accent 2" w:uiPriority="69" w:semiHidden="0" w:unhideWhenUsed="0"/>
    <w:lsdException w:name="Table Grid 7" w:uiPriority="0"/>
    <w:lsdException w:name="line number" w:uiPriority="0" w:semiHidden="0" w:unhideWhenUsed="0"/>
    <w:lsdException w:name="Body Text First Indent" w:uiPriority="0" w:semiHidden="0" w:unhideWhenUsed="0"/>
    <w:lsdException w:name="Dark List Accent 4" w:uiPriority="70" w:semiHidden="0" w:unhideWhenUsed="0"/>
    <w:lsdException w:name="Medium Shading 2" w:uiPriority="64" w:semiHidden="0" w:unhideWhenUsed="0"/>
    <w:lsdException w:name="Body Text 3" w:uiPriority="0" w:semiHidden="0" w:unhideWhenUsed="0"/>
    <w:lsdException w:name="Dark List Accent 2" w:uiPriority="70" w:semiHidden="0" w:unhideWhenUsed="0"/>
    <w:lsdException w:name="toc 9" w:uiPriority="99" w:semiHidden="0" w:unhideWhenUsed="0"/>
    <w:lsdException w:name="Light Shading Accent 6" w:uiPriority="60" w:semiHidden="0" w:unhideWhenUsed="0"/>
    <w:lsdException w:name="Table 3D effects 3" w:uiPriority="0"/>
    <w:lsdException w:name="Medium Grid 1 Accent 4" w:uiPriority="67" w:semiHidden="0" w:unhideWhenUsed="0"/>
    <w:lsdException w:name="Table Columns 3" w:uiPriority="0"/>
    <w:lsdException w:name="Medium Shading 1 Accent 1" w:uiPriority="63" w:semiHidden="0" w:unhideWhenUsed="0"/>
    <w:lsdException w:name="table of figures" w:uiPriority="0" w:semiHidden="0" w:unhideWhenUsed="0"/>
    <w:lsdException w:name="List Number" w:uiPriority="0" w:semiHidden="0" w:unhideWhenUsed="0"/>
    <w:lsdException w:name="toc 3" w:uiPriority="99" w:semiHidden="0" w:unhideWhenUsed="0"/>
    <w:lsdException w:name="List Number 5" w:uiPriority="0" w:semiHidden="0" w:unhideWhenUsed="0"/>
    <w:lsdException w:name="Light Grid Accent 4" w:uiPriority="62" w:semiHidden="0" w:unhideWhenUsed="0"/>
    <w:lsdException w:name="Hyperlink" w:uiPriority="0" w:semiHidden="0" w:unhideWhenUsed="0"/>
    <w:lsdException w:name="Colorful Grid Accent 5" w:uiPriority="73" w:semiHidden="0" w:unhideWhenUsed="0"/>
    <w:lsdException w:name="Table Theme" w:uiPriority="0"/>
    <w:lsdException w:name="Table Columns 5" w:uiPriority="0"/>
    <w:lsdException w:name="Table Columns 2" w:uiPriority="0"/>
    <w:lsdException w:name="footnote text" w:uiPriority="99"/>
    <w:lsdException w:name="Table List 2" w:uiPriority="0"/>
    <w:lsdException w:name="Table List 5" w:uiPriority="0"/>
    <w:lsdException w:name="Signature" w:uiPriority="0" w:semiHidden="0" w:unhideWhenUsed="0"/>
    <w:lsdException w:name="FollowedHyperlink" w:uiPriority="0" w:semiHidden="0" w:unhideWhenUsed="0"/>
    <w:lsdException w:name="index 6" w:uiPriority="0" w:semiHidden="0" w:unhideWhenUsed="0"/>
    <w:lsdException w:name="Table Classic 4" w:uiPriority="0"/>
    <w:lsdException w:name="header" w:uiPriority="0" w:semiHidden="0" w:unhideWhenUsed="0"/>
    <w:lsdException w:name="Table Grid 4" w:uiPriority="0"/>
    <w:lsdException w:name="index heading" w:uiPriority="0" w:semiHidden="0" w:unhideWhenUsed="0"/>
    <w:lsdException w:name="Table Elegant" w:uiPriority="0"/>
    <w:lsdException w:name="List Number 3" w:uiPriority="0" w:semiHidden="0" w:unhideWhenUsed="0"/>
    <w:lsdException w:name="Medium Shading 2 Accent 1" w:uiPriority="64" w:semiHidden="0" w:unhideWhenUsed="0"/>
    <w:lsdException w:name="Table List 8" w:uiPriority="0"/>
    <w:lsdException w:name="Table List 3" w:uiPriority="0"/>
    <w:lsdException w:name="Medium Shading 2 Accent 6" w:uiPriority="64" w:semiHidden="0" w:unhideWhenUsed="0"/>
    <w:lsdException w:name="List Bullet 2" w:uiPriority="0" w:semiHidden="0" w:unhideWhenUsed="0"/>
    <w:lsdException w:name="endnote text" w:uiPriority="0" w:semiHidden="0" w:unhideWhenUsed="0"/>
    <w:lsdException w:name="Light Grid Accent 1" w:uiPriority="62" w:semiHidden="0" w:unhideWhenUsed="0"/>
    <w:lsdException w:name="Colorful List Accent 4" w:uiPriority="72" w:semiHidden="0" w:unhideWhenUsed="0"/>
    <w:lsdException w:name="List Number 2" w:uiPriority="0" w:semiHidden="0" w:unhideWhenUsed="0"/>
    <w:lsdException w:name="Light List Accent 6" w:uiPriority="61" w:semiHidden="0" w:unhideWhenUsed="0"/>
    <w:lsdException w:name="Note Heading" w:uiPriority="0" w:semiHidden="0" w:unhideWhenUsed="0"/>
    <w:lsdException w:name="Colorful List Accent 3" w:uiPriority="72" w:semiHidden="0" w:unhideWhenUsed="0"/>
    <w:lsdException w:name="Medium Grid 2 Accent 6" w:uiPriority="68" w:semiHidden="0" w:unhideWhenUsed="0"/>
    <w:lsdException w:name="Table List 1" w:uiPriority="0"/>
    <w:lsdException w:name="Colorful Shading Accent 3" w:uiPriority="71" w:semiHidden="0" w:unhideWhenUsed="0"/>
    <w:lsdException w:name="Medium List 2" w:uiPriority="66" w:semiHidden="0" w:unhideWhenUsed="0"/>
    <w:lsdException w:name="Normal Indent" w:uiPriority="0" w:semiHidden="0" w:unhideWhenUsed="0"/>
    <w:lsdException w:name="Colorful Grid Accent 2" w:uiPriority="73" w:semiHidden="0" w:unhideWhenUsed="0"/>
    <w:lsdException w:name="List 2" w:uiPriority="0" w:semiHidden="0" w:unhideWhenUsed="0"/>
    <w:lsdException w:name="List 5" w:uiPriority="0" w:semiHidden="0" w:unhideWhenUsed="0"/>
    <w:lsdException w:name="Medium Grid 2 Accent 4" w:uiPriority="68" w:semiHidden="0" w:unhideWhenUsed="0"/>
    <w:lsdException w:name="toa heading" w:uiPriority="0" w:semiHidden="0" w:unhideWhenUsed="0"/>
    <w:lsdException w:name="Medium Grid 1 Accent 6" w:uiPriority="67" w:semiHidden="0" w:unhideWhenUsed="0"/>
    <w:lsdException w:name="Colorful Shading Accent 1" w:uiPriority="71" w:semiHidden="0" w:unhideWhenUsed="0"/>
    <w:lsdException w:name="Medium Grid 3 Accent 4" w:uiPriority="69" w:semiHidden="0" w:unhideWhenUsed="0"/>
    <w:lsdException w:name="Medium Grid 3 Accent 3" w:uiPriority="69" w:semiHidden="0" w:unhideWhenUsed="0"/>
    <w:lsdException w:name="List 3" w:uiPriority="0" w:semiHidden="0" w:unhideWhenUsed="0"/>
    <w:lsdException w:name="Table Professional" w:uiPriority="0"/>
    <w:lsdException w:name="Medium Shading 2 Accent 5" w:uiPriority="64" w:semiHidden="0" w:unhideWhenUsed="0"/>
    <w:lsdException w:name="Table Colorful 1" w:uiPriority="0"/>
    <w:lsdException w:name="List" w:uiPriority="0" w:semiHidden="0" w:unhideWhenUsed="0"/>
    <w:lsdException w:name="Table Simple 3" w:uiPriority="0"/>
    <w:lsdException w:name="Salutation" w:uiPriority="0" w:semiHidden="0" w:unhideWhenUsed="0"/>
    <w:lsdException w:name="Table Classic 1" w:uiPriority="0"/>
  </w:latentStyles>
  <w:style w:type="table" w:styleId="00000d" w:default="1">
    <w:name w:val="Normal Table"/>
    <w:uiPriority w:val="99"/>
    <w:semiHidden w:val="1"/>
    <w:unhideWhenUsed w:val="1"/>
    <w:tblPr>
      <w:tblCellMar>
        <w:top w:w="0" w:type="dxa"/>
        <w:left w:w="108" w:type="dxa"/>
        <w:bottom w:w="0" w:type="dxa"/>
        <w:right w:w="108" w:type="dxa"/>
      </w:tblCellMar>
    </w:tblPr>
  </w:style>
  <w:style w:type="paragraph" w:styleId="00000b" w:default="1">
    <w:name w:val="Normal"/>
    <w:uiPriority w:val="0"/>
    <w:qFormat w:val="1"/>
    <w:pPr>
      <w:widowControl w:val="0"/>
      <w:spacing w:before="60" w:after="60" w:line="240" w:lineRule="auto"/>
      <w:jc w:val="left"/>
    </w:pPr>
    <w:rPr>
      <w:color w:val="333333"/>
      <w:sz w:val="22"/>
      <w:szCs w:val="22"/>
    </w:rPr>
  </w:style>
  <w:style w:type="character" w:styleId="00000c" w:default="1">
    <w:name w:val="Default Paragraph Font"/>
    <w:uiPriority w:val="1"/>
    <w:semiHidden w:val="1"/>
    <w:unhideWhenUsed w:val="1"/>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4" Type="http://schemas.openxmlformats.org/officeDocument/2006/relationships/fontTable" Target="fontTable.xml" /><Relationship Id="rId2" Type="http://schemas.openxmlformats.org/officeDocument/2006/relationships/footnotes" Target="footnotes.xml" /><Relationship Id="rId11" Type="http://schemas.openxmlformats.org/officeDocument/2006/relationships/footer" Target="footer6.xml" /><Relationship Id="rId1" Type="http://schemas.openxmlformats.org/officeDocument/2006/relationships/settings" Target="settings.xml" /><Relationship Id="rId10" Type="http://schemas.openxmlformats.org/officeDocument/2006/relationships/footer" Target="footer5.xml" /><Relationship Id="rId5" Type="http://schemas.openxmlformats.org/officeDocument/2006/relationships/theme" Target="theme/theme1.xml" /><Relationship Id="rId3" Type="http://schemas.openxmlformats.org/officeDocument/2006/relationships/endnotes" Target="endnot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2026-09-18T07:19:53Z</dcterms:created>
  <dcterms:modified xsi:type="dcterms:W3CDTF">2026-09-18T07:19:53Z</dcterms:modified>
</cp:coreProperties>
</file>