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7F520">
      <w:pPr>
        <w:keepNext/>
        <w:keepLines/>
        <w:spacing w:before="100" w:beforeAutospacing="1" w:after="100" w:afterAutospacing="1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</w:rPr>
        <w:t>表 1　问题—方案—责任—交付物对应总表</w:t>
      </w:r>
    </w:p>
    <w:p w14:paraId="32EFC2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说明：本表是“一一对应”的核心校验表。左侧列严格对应原文档序号与主题，中间列给出提炼后的核心问题与对应方案要点（S 编号指向正文对应小节），右侧列给出建议责任单位与可验收的交付物，确保每条议题既有答案、又有主责、还能验收。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1982"/>
        <w:gridCol w:w="2895"/>
        <w:gridCol w:w="5940"/>
        <w:gridCol w:w="3255"/>
      </w:tblGrid>
      <w:tr w14:paraId="101C63BB">
        <w:trPr>
          <w:tblHeader/>
        </w:trPr>
        <w:tc>
          <w:tcPr>
            <w:tcW w:w="500" w:type="dxa"/>
            <w:shd w:val="clear" w:color="auto" w:fill="95B3D7" w:themeFill="accent1" w:themeFillTint="99"/>
          </w:tcPr>
          <w:p w14:paraId="695CFA7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编号</w:t>
            </w:r>
          </w:p>
        </w:tc>
        <w:tc>
          <w:tcPr>
            <w:tcW w:w="1982" w:type="dxa"/>
            <w:shd w:val="clear" w:color="auto" w:fill="95B3D7" w:themeFill="accent1" w:themeFillTint="99"/>
          </w:tcPr>
          <w:p w14:paraId="2738F5F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主题</w:t>
            </w:r>
          </w:p>
        </w:tc>
        <w:tc>
          <w:tcPr>
            <w:tcW w:w="2895" w:type="dxa"/>
            <w:shd w:val="clear" w:color="auto" w:fill="95B3D7" w:themeFill="accent1" w:themeFillTint="99"/>
          </w:tcPr>
          <w:p w14:paraId="5E6E89D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核心问题（提炼）</w:t>
            </w:r>
          </w:p>
        </w:tc>
        <w:tc>
          <w:tcPr>
            <w:tcW w:w="5940" w:type="dxa"/>
            <w:shd w:val="clear" w:color="auto" w:fill="95B3D7" w:themeFill="accent1" w:themeFillTint="99"/>
          </w:tcPr>
          <w:p w14:paraId="3FF96B3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解决方案要点</w:t>
            </w:r>
          </w:p>
        </w:tc>
        <w:tc>
          <w:tcPr>
            <w:tcW w:w="3255" w:type="dxa"/>
            <w:shd w:val="clear" w:color="auto" w:fill="95B3D7" w:themeFill="accent1" w:themeFillTint="99"/>
          </w:tcPr>
          <w:p w14:paraId="05176F5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交付物与验证</w:t>
            </w:r>
          </w:p>
        </w:tc>
      </w:tr>
      <w:tr w14:paraId="1BF83DC7">
        <w:tc>
          <w:tcPr>
            <w:tcW w:w="500" w:type="dxa"/>
            <w:shd w:val="clear" w:color="auto" w:fill="auto"/>
          </w:tcPr>
          <w:p w14:paraId="29F2853B">
            <w:pPr>
              <w:jc w:val="center"/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R1</w:t>
            </w:r>
          </w:p>
        </w:tc>
        <w:tc>
          <w:tcPr>
            <w:tcW w:w="1982" w:type="dxa"/>
            <w:shd w:val="clear" w:color="auto" w:fill="auto"/>
          </w:tcPr>
          <w:p w14:paraId="15EBAEDD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安防巡逻场景定义</w:t>
            </w:r>
          </w:p>
        </w:tc>
        <w:tc>
          <w:tcPr>
            <w:tcW w:w="2895" w:type="dxa"/>
            <w:shd w:val="clear" w:color="auto" w:fill="auto"/>
          </w:tcPr>
          <w:p w14:paraId="2F0FD2EF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场景定义停留在自然语言描述，无法转为可测指标；场景与能力之间缺少映射规则，验收时无法判定是否满足场景</w:t>
            </w:r>
          </w:p>
        </w:tc>
        <w:tc>
          <w:tcPr>
            <w:tcW w:w="5940" w:type="dxa"/>
            <w:shd w:val="clear" w:color="auto" w:fill="auto"/>
          </w:tcPr>
          <w:p w14:paraId="34FC94C1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S1-1 建立四维场景标签体系（空间、任务、环境、风险）；S1-2 定义机器可读的场景画像 Scene Profile；S1-3 建立场景—能力映射矩阵与 G1–G4 作业分级；S1-4 任务下发即加载能力配置集，自检不达标拒绝执行</w:t>
            </w:r>
          </w:p>
        </w:tc>
        <w:tc>
          <w:tcPr>
            <w:tcW w:w="3255" w:type="dxa"/>
            <w:shd w:val="clear" w:color="auto" w:fill="auto"/>
          </w:tcPr>
          <w:p w14:paraId="7CDAEC77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《安防巡逻场景分类与分级规范》；《场景—能力映射矩阵》；G1–G4 各级至少 1 套验收用例并实测</w:t>
            </w:r>
          </w:p>
        </w:tc>
      </w:tr>
      <w:tr w14:paraId="75372274">
        <w:tc>
          <w:tcPr>
            <w:tcW w:w="500" w:type="dxa"/>
            <w:shd w:val="clear" w:color="auto" w:fill="auto"/>
          </w:tcPr>
          <w:p w14:paraId="43D929E2">
            <w:pPr>
              <w:jc w:val="center"/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R2</w:t>
            </w:r>
          </w:p>
        </w:tc>
        <w:tc>
          <w:tcPr>
            <w:tcW w:w="1982" w:type="dxa"/>
            <w:shd w:val="clear" w:color="auto" w:fill="auto"/>
          </w:tcPr>
          <w:p w14:paraId="5F0310B8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人机协同机制</w:t>
            </w:r>
          </w:p>
        </w:tc>
        <w:tc>
          <w:tcPr>
            <w:tcW w:w="2895" w:type="dxa"/>
            <w:shd w:val="clear" w:color="auto" w:fill="auto"/>
          </w:tcPr>
          <w:p w14:paraId="2E5B3028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人员与机器人的职责边界未划定，机器人要么越权带来法律风险，要么沦为移动摄像机；协同机制缺少技术承载</w:t>
            </w:r>
          </w:p>
        </w:tc>
        <w:tc>
          <w:tcPr>
            <w:tcW w:w="5940" w:type="dxa"/>
            <w:shd w:val="clear" w:color="auto" w:fill="auto"/>
          </w:tcPr>
          <w:p w14:paraId="20028B1B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S2-1 制定职责三清单（可自主、须确认、禁止）；S2-2 三种协同模式（人在环上、人在环中、降级自治）与升级超时规则；S2-3 编制班组与人机比并实测；S2-4 平台侧权限引擎固化职责；S2-5 状态共享、接管通道与告警可信度技术指标</w:t>
            </w:r>
          </w:p>
        </w:tc>
        <w:tc>
          <w:tcPr>
            <w:tcW w:w="3255" w:type="dxa"/>
            <w:shd w:val="clear" w:color="auto" w:fill="auto"/>
          </w:tcPr>
          <w:p w14:paraId="5327997D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《人机协同作业规范》；《职责清单与权限配置表》；接管时延不超过 2 s、越权拦截率 100%、告警证据完整率 100%</w:t>
            </w:r>
          </w:p>
        </w:tc>
      </w:tr>
      <w:tr w14:paraId="6E9161E3">
        <w:tc>
          <w:tcPr>
            <w:tcW w:w="500" w:type="dxa"/>
          </w:tcPr>
          <w:p w14:paraId="214C8E4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R3</w:t>
            </w:r>
          </w:p>
        </w:tc>
        <w:tc>
          <w:tcPr>
            <w:tcW w:w="1982" w:type="dxa"/>
          </w:tcPr>
          <w:p w14:paraId="0F8F45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具身智能巡逻机器人安全</w:t>
            </w:r>
          </w:p>
        </w:tc>
        <w:tc>
          <w:tcPr>
            <w:tcW w:w="2895" w:type="dxa"/>
          </w:tcPr>
          <w:p w14:paraId="24D3B6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模型、本体、数据、网络、应用五域安全技术指标缺位，等级不明、无法测评；五域之间缺少衔接设计</w:t>
            </w:r>
          </w:p>
        </w:tc>
        <w:tc>
          <w:tcPr>
            <w:tcW w:w="5940" w:type="dxa"/>
          </w:tcPr>
          <w:p w14:paraId="74DCBD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S3-1 建立五域—指标—验证矩阵并划分强制与推荐项；S3-2 决策双轨制与安全闸（安全关键决策走确定性规则）；S3-3 模型安全红队与鲁棒性指标；S3-4 数据分类分级与生物特征本地化处理；S3-5 网络 mTLS、安全启动、抗重放；S3-6 应用侧 SBOM 与漏洞修复时限</w:t>
            </w:r>
          </w:p>
        </w:tc>
        <w:tc>
          <w:tcPr>
            <w:tcW w:w="3255" w:type="dxa"/>
          </w:tcPr>
          <w:p w14:paraId="2F3DA0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《具身智能巡逻机器人安全要求》（五域）；红队用例库不少于 500 条；型式试验与渗透测试报告</w:t>
            </w:r>
          </w:p>
        </w:tc>
      </w:tr>
      <w:tr w14:paraId="73843353">
        <w:tc>
          <w:tcPr>
            <w:tcW w:w="500" w:type="dxa"/>
          </w:tcPr>
          <w:p w14:paraId="34221C1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R4</w:t>
            </w:r>
          </w:p>
        </w:tc>
        <w:tc>
          <w:tcPr>
            <w:tcW w:w="1982" w:type="dxa"/>
          </w:tcPr>
          <w:p w14:paraId="1E9831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具身智能能力与巡逻场景的适配要求</w:t>
            </w:r>
          </w:p>
        </w:tc>
        <w:tc>
          <w:tcPr>
            <w:tcW w:w="2895" w:type="dxa"/>
          </w:tcPr>
          <w:p w14:paraId="6BDF07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六类能力只有名称没有指标，缺少测量条件与判定准则，跨场景不可比；招投标中指标被无意义刷高</w:t>
            </w:r>
          </w:p>
        </w:tc>
        <w:tc>
          <w:tcPr>
            <w:tcW w:w="5940" w:type="dxa"/>
          </w:tcPr>
          <w:p w14:paraId="1EDDA6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S4-1 六域能力指标化（每域 3–6 项，含门槛值与目标值）；S4-2 每指标绑定测量条件、测试方法与样本量；S4-3 能力成熟度 E1–E4 与场景等级 G1–G4 对齐；S4-4 安全类指标不设优选档</w:t>
            </w:r>
          </w:p>
        </w:tc>
        <w:tc>
          <w:tcPr>
            <w:tcW w:w="3255" w:type="dxa"/>
          </w:tcPr>
          <w:p w14:paraId="6C713C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《能力指标体系表》；E1–E4 分级判定规则（每级不少于 5 条）；要求—方法配对率 100%；第三方检测报告覆盖全部门槛值项</w:t>
            </w:r>
          </w:p>
        </w:tc>
      </w:tr>
      <w:tr w14:paraId="0DC472D5">
        <w:tc>
          <w:tcPr>
            <w:tcW w:w="500" w:type="dxa"/>
          </w:tcPr>
          <w:p w14:paraId="5C0F8F7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R5</w:t>
            </w:r>
          </w:p>
        </w:tc>
        <w:tc>
          <w:tcPr>
            <w:tcW w:w="1982" w:type="dxa"/>
          </w:tcPr>
          <w:p w14:paraId="277DF5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倒地后自行恢复站立</w:t>
            </w:r>
          </w:p>
        </w:tc>
        <w:tc>
          <w:tcPr>
            <w:tcW w:w="2895" w:type="dxa"/>
          </w:tcPr>
          <w:p w14:paraId="68BE2C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被当作单一算法问题，忽略选型、形态与兜底，可靠性无从保证；是否存在可行方案需明确结论</w:t>
            </w:r>
          </w:p>
        </w:tc>
        <w:tc>
          <w:tcPr>
            <w:tcW w:w="5940" w:type="dxa"/>
          </w:tcPr>
          <w:p w14:paraId="574C99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S5-1 选型层面降低倒地概率（平层优先轮式或轮腿式）；S5-2 形态与质心设计（低重心、恢复支撑凸台、传感器内嵌、关节抱闸）；S5-3 姿态与可恢复性自诊断；S5-4 恢复策略库与仿真训练加 sim2real；S5-5 四级恢复分级与兜底通道</w:t>
            </w:r>
          </w:p>
        </w:tc>
        <w:tc>
          <w:tcPr>
            <w:tcW w:w="3255" w:type="dxa"/>
          </w:tcPr>
          <w:p w14:paraId="5A479A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不少于 200 次倒地复位实物试验报告（成功率不低于 95%）；不可恢复场景 100% 进入安全停驻并告警；分级要求条款草案</w:t>
            </w:r>
          </w:p>
        </w:tc>
      </w:tr>
      <w:tr w14:paraId="28992DE3">
        <w:tc>
          <w:tcPr>
            <w:tcW w:w="500" w:type="dxa"/>
          </w:tcPr>
          <w:p w14:paraId="43725259">
            <w:pPr>
              <w:jc w:val="center"/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R6</w:t>
            </w:r>
          </w:p>
        </w:tc>
        <w:tc>
          <w:tcPr>
            <w:tcW w:w="1982" w:type="dxa"/>
          </w:tcPr>
          <w:p w14:paraId="23BB09B6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急停按钮弊端</w:t>
            </w:r>
          </w:p>
        </w:tc>
        <w:tc>
          <w:tcPr>
            <w:tcW w:w="2895" w:type="dxa"/>
          </w:tcPr>
          <w:p w14:paraId="03AF9951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急停会被无关人员误触，也会被恶意触发；而急停功能不可取消，需在可达性与防误之间做工程设计</w:t>
            </w:r>
          </w:p>
        </w:tc>
        <w:tc>
          <w:tcPr>
            <w:tcW w:w="5940" w:type="dxa"/>
          </w:tcPr>
          <w:p w14:paraId="41C204CA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S6-1 按钮功能分级（暂停或求助、急停分设）；S6-2 形态与位置防误触（护罩加两次动作、凹陷安装、防拆与开盖检测）；S6-3 触发即留证并上报（前后各 30 s）；S6-4 复位需授权留痕，远程复位附加条件；S6-5 异常触发频次告警；S6-6 现场告知与环境急停拉绳</w:t>
            </w:r>
          </w:p>
        </w:tc>
        <w:tc>
          <w:tcPr>
            <w:tcW w:w="3255" w:type="dxa"/>
          </w:tcPr>
          <w:p w14:paraId="4CA4C458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误触发率专项试验报告（折算不超过 1 次每月）；留证完整率 100%；复位授权合规率 100%；急停响应不超过 0.5 s</w:t>
            </w:r>
          </w:p>
        </w:tc>
      </w:tr>
      <w:tr w14:paraId="5EC7D405">
        <w:tc>
          <w:tcPr>
            <w:tcW w:w="500" w:type="dxa"/>
          </w:tcPr>
          <w:p w14:paraId="5347286C">
            <w:pPr>
              <w:jc w:val="center"/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R7</w:t>
            </w:r>
          </w:p>
        </w:tc>
        <w:tc>
          <w:tcPr>
            <w:tcW w:w="1982" w:type="dxa"/>
          </w:tcPr>
          <w:p w14:paraId="7218D54F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联网接口</w:t>
            </w:r>
          </w:p>
        </w:tc>
        <w:tc>
          <w:tcPr>
            <w:tcW w:w="2895" w:type="dxa"/>
          </w:tcPr>
          <w:p w14:paraId="1457B507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协议、接口功能、数据格式未定义；与既有视频、报警、出入口系统不能互补，反而叠加成第二套孤岛</w:t>
            </w:r>
          </w:p>
        </w:tc>
        <w:tc>
          <w:tcPr>
            <w:tcW w:w="5940" w:type="dxa"/>
          </w:tcPr>
          <w:p w14:paraId="6FFD1F1C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S7-1 三层接口架构（设备内、平台、跨系统）；S7-2 统一信息模型与 JSON Schema 加 Protobuf；S7-3 QoS 分级、幂等指令、断网续传不少于 24 h、时间同步不超过 50 ms；S7-4 视频纳管走 GB/T 28181-2022；S7-5 事件融合去重（半径 50 m、窗口 60 s）；S7-6 双向联动与统一人机界面</w:t>
            </w:r>
          </w:p>
        </w:tc>
        <w:tc>
          <w:tcPr>
            <w:tcW w:w="3255" w:type="dxa"/>
          </w:tcPr>
          <w:p w14:paraId="09DF0B0C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《机器人—平台接口规范》（含 schema、状态机与时序图）；一致性测试用例集；断网续传完整率 100%、重复率 0；联调与融合验收报告</w:t>
            </w:r>
          </w:p>
        </w:tc>
      </w:tr>
      <w:tr w14:paraId="6A82FE9E">
        <w:tc>
          <w:tcPr>
            <w:tcW w:w="500" w:type="dxa"/>
          </w:tcPr>
          <w:p w14:paraId="793DAD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R8</w:t>
            </w:r>
          </w:p>
        </w:tc>
        <w:tc>
          <w:tcPr>
            <w:tcW w:w="1982" w:type="dxa"/>
          </w:tcPr>
          <w:p w14:paraId="26A29F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数据集构建</w:t>
            </w:r>
          </w:p>
        </w:tc>
        <w:tc>
          <w:tcPr>
            <w:tcW w:w="2895" w:type="dxa"/>
          </w:tcPr>
          <w:p w14:paraId="2D77D1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缺构建原则、类别数量与质量口径，训练与第三方评测均无共同基准；长尾危险场景难以真实采集</w:t>
            </w:r>
          </w:p>
        </w:tc>
        <w:tc>
          <w:tcPr>
            <w:tcW w:w="5940" w:type="dxa"/>
          </w:tcPr>
          <w:p w14:paraId="34AE74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S8-1 三源数据策略（真实为主、仿真补长尾、合成补规模）；S8-2 场景对齐与合规优先的采集原则；S8-3 多级标注与双人交叉（Kappa 不低于 0.85）；S8-4 规模与质量门槛（视觉不少于 100 万帧等）；S8-5 数据集卡、版本化与血缘；S8-6 建立公共安全巡逻基准 PSPB；S8-7 联邦共享（数据不出域）</w:t>
            </w:r>
          </w:p>
        </w:tc>
        <w:tc>
          <w:tcPr>
            <w:tcW w:w="3255" w:type="dxa"/>
          </w:tcPr>
          <w:p w14:paraId="2F7A0B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《数据集构建规范》；PSPB 基准测试集与评分脚本；数据集卡齐备率 100%；同模型两次评测差异不超过 2%</w:t>
            </w:r>
          </w:p>
        </w:tc>
      </w:tr>
      <w:tr w14:paraId="6DD897AD">
        <w:tc>
          <w:tcPr>
            <w:tcW w:w="500" w:type="dxa"/>
          </w:tcPr>
          <w:p w14:paraId="26003A88">
            <w:pPr>
              <w:jc w:val="center"/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R9</w:t>
            </w:r>
          </w:p>
        </w:tc>
        <w:tc>
          <w:tcPr>
            <w:tcW w:w="1982" w:type="dxa"/>
          </w:tcPr>
          <w:p w14:paraId="6D657215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合法合规性</w:t>
            </w:r>
          </w:p>
        </w:tc>
        <w:tc>
          <w:tcPr>
            <w:tcW w:w="2895" w:type="dxa"/>
          </w:tcPr>
          <w:p w14:paraId="3E364786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以“模型可解释”作为定责手段在技术上不成立；生产者、运营者、操作者的责任边界未划分</w:t>
            </w:r>
          </w:p>
        </w:tc>
        <w:tc>
          <w:tcPr>
            <w:tcW w:w="5940" w:type="dxa"/>
          </w:tcPr>
          <w:p w14:paraId="08CEF1DC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S9-1 以可解释性证据链替代模型可解释（A 级记录追溯强制、B 级局部可解释推荐、C 级关键功能形式化探索）；S9-2 决策双轨制与安全闸；S9-3 五方责任矩阵（生产、运营、操作、数据算法、平台）；S9-4 强制 EDR 事件记录（不少于 10 Hz、保留不少于 1 年、防篡改）；S9-5 强制责任险与第三方事故鉴定</w:t>
            </w:r>
          </w:p>
        </w:tc>
        <w:tc>
          <w:tcPr>
            <w:tcW w:w="3255" w:type="dxa"/>
          </w:tcPr>
          <w:p w14:paraId="18D1A14F">
            <w:pPr>
              <w:rPr>
                <w:rFonts w:hint="eastAsia" w:ascii="微软雅黑" w:hAnsi="微软雅黑" w:eastAsia="微软雅黑" w:cs="微软雅黑"/>
                <w:color w:val="00B050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16"/>
              </w:rPr>
              <w:t>《可解释性与证据链要求》；《责任划分指引》（每类主体不少于 2 个典型情形）；EDR 技术规范；责任险与鉴定机制方案</w:t>
            </w:r>
          </w:p>
        </w:tc>
      </w:tr>
      <w:tr w14:paraId="6A873644">
        <w:tc>
          <w:tcPr>
            <w:tcW w:w="500" w:type="dxa"/>
          </w:tcPr>
          <w:p w14:paraId="556EB03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R10</w:t>
            </w:r>
          </w:p>
        </w:tc>
        <w:tc>
          <w:tcPr>
            <w:tcW w:w="1982" w:type="dxa"/>
          </w:tcPr>
          <w:p w14:paraId="6EEDF1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......（原表占位）</w:t>
            </w:r>
          </w:p>
        </w:tc>
        <w:tc>
          <w:tcPr>
            <w:tcW w:w="2895" w:type="dxa"/>
          </w:tcPr>
          <w:p w14:paraId="0317BA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原文档预留待补；本报告补充 C1–C9 共 9 项关键难点，与前述 9 条构成完整闭环</w:t>
            </w:r>
          </w:p>
        </w:tc>
        <w:tc>
          <w:tcPr>
            <w:tcW w:w="5940" w:type="dxa"/>
          </w:tcPr>
          <w:p w14:paraId="50810C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多源融合定位与无网环境；续航与无人值守自动充电；误报率与处置闭环；电磁兼容与反制装备共存；人机共存与行人安全；恶劣环境适应性；运维与规模化；伦理、告知与舆情；空地协同</w:t>
            </w:r>
          </w:p>
        </w:tc>
        <w:tc>
          <w:tcPr>
            <w:tcW w:w="3255" w:type="dxa"/>
          </w:tcPr>
          <w:p w14:paraId="6B6E67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逐项附表 3</w:t>
            </w:r>
          </w:p>
        </w:tc>
      </w:tr>
    </w:tbl>
    <w:p w14:paraId="7357C9A7">
      <w:pPr>
        <w:keepNext/>
        <w:keepLines/>
        <w:spacing w:before="100" w:beforeAutospacing="1" w:after="100" w:afterAutospacing="1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</w:rPr>
        <w:t>表 2　安全五域指标与验证方法矩阵</w:t>
      </w:r>
    </w:p>
    <w:p w14:paraId="195273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说明：本表对应 R3 。强制项为通过性要求，不满足即不得投用；推荐项用于优选评分与能力提升。全部指标均须有对应验证方法，否则不得进入标准与合同。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3400"/>
        <w:gridCol w:w="5900"/>
        <w:gridCol w:w="4740"/>
      </w:tblGrid>
      <w:tr w14:paraId="2B5C7CBF">
        <w:trPr>
          <w:tblHeader/>
        </w:trPr>
        <w:tc>
          <w:tcPr>
            <w:tcW w:w="1100" w:type="dxa"/>
            <w:shd w:val="clear" w:color="auto" w:fill="95B3D7" w:themeFill="accent1" w:themeFillTint="99"/>
          </w:tcPr>
          <w:p w14:paraId="113ACC0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安全域</w:t>
            </w:r>
          </w:p>
        </w:tc>
        <w:tc>
          <w:tcPr>
            <w:tcW w:w="3400" w:type="dxa"/>
            <w:shd w:val="clear" w:color="auto" w:fill="95B3D7" w:themeFill="accent1" w:themeFillTint="99"/>
          </w:tcPr>
          <w:p w14:paraId="59D7484B">
            <w:pPr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指标项</w:t>
            </w:r>
          </w:p>
        </w:tc>
        <w:tc>
          <w:tcPr>
            <w:tcW w:w="5900" w:type="dxa"/>
            <w:shd w:val="clear" w:color="auto" w:fill="95B3D7" w:themeFill="accent1" w:themeFillTint="99"/>
          </w:tcPr>
          <w:p w14:paraId="4E82622D">
            <w:pPr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建议阈值（强制 / 推荐）</w:t>
            </w:r>
          </w:p>
        </w:tc>
        <w:tc>
          <w:tcPr>
            <w:tcW w:w="4740" w:type="dxa"/>
            <w:shd w:val="clear" w:color="auto" w:fill="95B3D7" w:themeFill="accent1" w:themeFillTint="99"/>
          </w:tcPr>
          <w:p w14:paraId="0B829C90">
            <w:pPr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验证方法</w:t>
            </w:r>
          </w:p>
        </w:tc>
      </w:tr>
      <w:tr w14:paraId="6EEA367B">
        <w:tc>
          <w:tcPr>
            <w:tcW w:w="1100" w:type="dxa"/>
            <w:shd w:val="clear" w:color="auto" w:fill="F1F1F1" w:themeFill="background1" w:themeFillShade="F2"/>
          </w:tcPr>
          <w:p w14:paraId="589A2F0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138502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越狱与提示注入抵抗力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1639D0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强制：注入攻击成功率不超过 5%，权限绕过成功率等于 0；红队用例库不少于 500 条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3C3678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红队测试与自动化注入框架回归测试</w:t>
            </w:r>
          </w:p>
        </w:tc>
      </w:tr>
      <w:tr w14:paraId="2B2389BC">
        <w:tc>
          <w:tcPr>
            <w:tcW w:w="1100" w:type="dxa"/>
            <w:shd w:val="clear" w:color="auto" w:fill="F1F1F1" w:themeFill="background1" w:themeFillShade="F2"/>
          </w:tcPr>
          <w:p w14:paraId="30DBFF8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772857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越权指令拒绝率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67745F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强制：100%（覆盖强制动作、未确认身份下的信息公布、超范围采集）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035CDA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场景化指令集测试，逐条判定</w:t>
            </w:r>
          </w:p>
        </w:tc>
      </w:tr>
      <w:tr w14:paraId="3671B435">
        <w:tc>
          <w:tcPr>
            <w:tcW w:w="1100" w:type="dxa"/>
            <w:shd w:val="clear" w:color="auto" w:fill="F1F1F1" w:themeFill="background1" w:themeFillShade="F2"/>
          </w:tcPr>
          <w:p w14:paraId="54F767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24DB00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事实性幻觉率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13617E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推荐：不超过 2%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52C213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标准问答集测试加人工复核</w:t>
            </w:r>
          </w:p>
        </w:tc>
      </w:tr>
      <w:tr w14:paraId="04D56376">
        <w:tc>
          <w:tcPr>
            <w:tcW w:w="1100" w:type="dxa"/>
            <w:shd w:val="clear" w:color="auto" w:fill="F1F1F1" w:themeFill="background1" w:themeFillShade="F2"/>
          </w:tcPr>
          <w:p w14:paraId="5A2378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5DFBE8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后门与投毒防护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4F4E8E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强制：模型加载前完成哈希与签名校验；推荐：后门检出率不低于 90%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33556A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集束神经元与触发器检测；训练数据血缘审查</w:t>
            </w:r>
          </w:p>
        </w:tc>
      </w:tr>
      <w:tr w14:paraId="25F116BF">
        <w:tc>
          <w:tcPr>
            <w:tcW w:w="1100" w:type="dxa"/>
            <w:shd w:val="clear" w:color="auto" w:fill="F1F1F1" w:themeFill="background1" w:themeFillShade="F2"/>
          </w:tcPr>
          <w:p w14:paraId="4B2DA3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00C274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对抗鲁棒性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440F50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推荐：贴片与对抗样本攻击下目标识别准确率下降不超过 10%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2DE902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对抗样本测试集评测</w:t>
            </w:r>
          </w:p>
        </w:tc>
      </w:tr>
      <w:tr w14:paraId="4782CD33">
        <w:tc>
          <w:tcPr>
            <w:tcW w:w="1100" w:type="dxa"/>
            <w:shd w:val="clear" w:color="auto" w:fill="F1F1F1" w:themeFill="background1" w:themeFillShade="F2"/>
          </w:tcPr>
          <w:p w14:paraId="77DD6B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32E261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生成内容合规标识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46506D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强制：符合生成式人工智能内容标识相关强制性国家标准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4DF333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输出标识核验</w:t>
            </w:r>
          </w:p>
        </w:tc>
      </w:tr>
      <w:tr w14:paraId="03A65226">
        <w:tc>
          <w:tcPr>
            <w:tcW w:w="1100" w:type="dxa"/>
          </w:tcPr>
          <w:p w14:paraId="62990C9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4FBD75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风险评价</w:t>
            </w:r>
          </w:p>
        </w:tc>
        <w:tc>
          <w:tcPr>
            <w:tcW w:w="5900" w:type="dxa"/>
          </w:tcPr>
          <w:p w14:paraId="7DF1C1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强制：完成机械安全风险评估并形成报告</w:t>
            </w:r>
          </w:p>
        </w:tc>
        <w:tc>
          <w:tcPr>
            <w:tcW w:w="4740" w:type="dxa"/>
          </w:tcPr>
          <w:p w14:paraId="75B52A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风险评估报告评审</w:t>
            </w:r>
          </w:p>
        </w:tc>
      </w:tr>
      <w:tr w14:paraId="2DCB1A5B">
        <w:tc>
          <w:tcPr>
            <w:tcW w:w="1100" w:type="dxa"/>
          </w:tcPr>
          <w:p w14:paraId="26DE824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76B915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接触力与压力限值</w:t>
            </w:r>
          </w:p>
        </w:tc>
        <w:tc>
          <w:tcPr>
            <w:tcW w:w="5900" w:type="dxa"/>
          </w:tcPr>
          <w:p w14:paraId="3DD9A8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强制：参照协作机器人准静态接触力与压力限值，并单独定义非预期接触工况</w:t>
            </w:r>
          </w:p>
        </w:tc>
        <w:tc>
          <w:tcPr>
            <w:tcW w:w="4740" w:type="dxa"/>
          </w:tcPr>
          <w:p w14:paraId="3AC838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力与压力测量试验</w:t>
            </w:r>
          </w:p>
        </w:tc>
      </w:tr>
      <w:tr w14:paraId="2BFC93E5">
        <w:tc>
          <w:tcPr>
            <w:tcW w:w="1100" w:type="dxa"/>
          </w:tcPr>
          <w:p w14:paraId="5590815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01F43C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安全监控功能等级</w:t>
            </w:r>
          </w:p>
        </w:tc>
        <w:tc>
          <w:tcPr>
            <w:tcW w:w="5900" w:type="dxa"/>
          </w:tcPr>
          <w:p w14:paraId="19A995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强制：具备速度—距离监控或安全监控停功能，安全等级不低于 PLd / SIL 2</w:t>
            </w:r>
          </w:p>
        </w:tc>
        <w:tc>
          <w:tcPr>
            <w:tcW w:w="4740" w:type="dxa"/>
          </w:tcPr>
          <w:p w14:paraId="05A906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功能安全验证与故障注入测试</w:t>
            </w:r>
          </w:p>
        </w:tc>
      </w:tr>
      <w:tr w14:paraId="5DD4DE14">
        <w:tc>
          <w:tcPr>
            <w:tcW w:w="1100" w:type="dxa"/>
          </w:tcPr>
          <w:p w14:paraId="71AD16E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101DCB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急停功能</w:t>
            </w:r>
          </w:p>
        </w:tc>
        <w:tc>
          <w:tcPr>
            <w:tcW w:w="5900" w:type="dxa"/>
          </w:tcPr>
          <w:p w14:paraId="4671D3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强制：急停符合机械安全急停功能设计要求，Ⅱ类停止、Category 1，响应不超过 0.5 s</w:t>
            </w:r>
          </w:p>
        </w:tc>
        <w:tc>
          <w:tcPr>
            <w:tcW w:w="4740" w:type="dxa"/>
          </w:tcPr>
          <w:p w14:paraId="74E621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急停功能专项试验</w:t>
            </w:r>
          </w:p>
        </w:tc>
      </w:tr>
      <w:tr w14:paraId="12E79663">
        <w:tc>
          <w:tcPr>
            <w:tcW w:w="1100" w:type="dxa"/>
          </w:tcPr>
          <w:p w14:paraId="1FC5DB4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07C39C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防倾倒与稳定性</w:t>
            </w:r>
          </w:p>
        </w:tc>
        <w:tc>
          <w:tcPr>
            <w:tcW w:w="5900" w:type="dxa"/>
          </w:tcPr>
          <w:p w14:paraId="5F0AC4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强制：静态稳定角不低于 15°；动态倾覆预警阈值取极限值 0.7 倍</w:t>
            </w:r>
          </w:p>
        </w:tc>
        <w:tc>
          <w:tcPr>
            <w:tcW w:w="4740" w:type="dxa"/>
          </w:tcPr>
          <w:p w14:paraId="21364F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坡道试验与侧向推力试验</w:t>
            </w:r>
          </w:p>
        </w:tc>
      </w:tr>
      <w:tr w14:paraId="139245F4">
        <w:tc>
          <w:tcPr>
            <w:tcW w:w="1100" w:type="dxa"/>
          </w:tcPr>
          <w:p w14:paraId="06BA53A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6E5C3C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电池安全</w:t>
            </w:r>
          </w:p>
        </w:tc>
        <w:tc>
          <w:tcPr>
            <w:tcW w:w="5900" w:type="dxa"/>
          </w:tcPr>
          <w:p w14:paraId="5CC5F8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强制：符合锂电池安全标准；热失控预警提前不少于 5 min，热蔓延抑制不少于 30 min</w:t>
            </w:r>
          </w:p>
        </w:tc>
        <w:tc>
          <w:tcPr>
            <w:tcW w:w="4740" w:type="dxa"/>
          </w:tcPr>
          <w:p w14:paraId="21EA73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电池滥用试验与热扩散试验</w:t>
            </w:r>
          </w:p>
        </w:tc>
      </w:tr>
      <w:tr w14:paraId="1A0F9435">
        <w:tc>
          <w:tcPr>
            <w:tcW w:w="1100" w:type="dxa"/>
          </w:tcPr>
          <w:p w14:paraId="3A52C35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本体安全</w:t>
            </w:r>
          </w:p>
        </w:tc>
        <w:tc>
          <w:tcPr>
            <w:tcW w:w="3400" w:type="dxa"/>
          </w:tcPr>
          <w:p w14:paraId="26F7BE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防护与电气安全</w:t>
            </w:r>
          </w:p>
        </w:tc>
        <w:tc>
          <w:tcPr>
            <w:tcW w:w="5900" w:type="dxa"/>
          </w:tcPr>
          <w:p w14:paraId="4749E2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强制：户外 IP65、涉水 IP67；电气安全符合机械电气设备通用要求</w:t>
            </w:r>
          </w:p>
        </w:tc>
        <w:tc>
          <w:tcPr>
            <w:tcW w:w="4740" w:type="dxa"/>
          </w:tcPr>
          <w:p w14:paraId="63335C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防护等级试验与电气安全试验</w:t>
            </w:r>
          </w:p>
        </w:tc>
      </w:tr>
      <w:tr w14:paraId="04DF5969">
        <w:tc>
          <w:tcPr>
            <w:tcW w:w="1100" w:type="dxa"/>
            <w:shd w:val="clear" w:color="auto" w:fill="F1F1F1" w:themeFill="background1" w:themeFillShade="F2"/>
          </w:tcPr>
          <w:p w14:paraId="5EEADDF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4F849E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分类分级与合规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152EE4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强制：符合数据安全法、个人信息保护法及人脸识别技术应用安全管理相关规定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7824CA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合规审查与台账核验</w:t>
            </w:r>
          </w:p>
        </w:tc>
      </w:tr>
      <w:tr w14:paraId="18E92883">
        <w:tc>
          <w:tcPr>
            <w:tcW w:w="1100" w:type="dxa"/>
            <w:shd w:val="clear" w:color="auto" w:fill="F1F1F1" w:themeFill="background1" w:themeFillShade="F2"/>
          </w:tcPr>
          <w:p w14:paraId="730FF5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1C56F0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生物特征数据本地化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6C8832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强制：人脸与声纹的原始数据不出端，由边缘侧提取特征后上送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1600F4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数据流审计与抓包核验</w:t>
            </w:r>
          </w:p>
        </w:tc>
      </w:tr>
      <w:tr w14:paraId="651FEC8B">
        <w:tc>
          <w:tcPr>
            <w:tcW w:w="1100" w:type="dxa"/>
            <w:shd w:val="clear" w:color="auto" w:fill="F1F1F1" w:themeFill="background1" w:themeFillShade="F2"/>
          </w:tcPr>
          <w:p w14:paraId="18DE1CC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2C6473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传输与存储加密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2493A1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强制：传输采用 TLS 1.3 或国密 TLS；存储采用 AES-256 或国密 SM4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1F5057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加密配置核查与渗透测试</w:t>
            </w:r>
          </w:p>
        </w:tc>
      </w:tr>
      <w:tr w14:paraId="171CBC95">
        <w:tc>
          <w:tcPr>
            <w:tcW w:w="1100" w:type="dxa"/>
            <w:shd w:val="clear" w:color="auto" w:fill="F1F1F1" w:themeFill="background1" w:themeFillShade="F2"/>
          </w:tcPr>
          <w:p w14:paraId="77A096B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268BAC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留存期限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1346F6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强制：非涉案音视频留存不超过 30 天且到期自动删除；涉案数据单独隔离并审批调阅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7DA1BF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留存策略核验与日志抽查</w:t>
            </w:r>
          </w:p>
        </w:tc>
      </w:tr>
      <w:tr w14:paraId="2434C888">
        <w:tc>
          <w:tcPr>
            <w:tcW w:w="1100" w:type="dxa"/>
            <w:shd w:val="clear" w:color="auto" w:fill="F1F1F1" w:themeFill="background1" w:themeFillShade="F2"/>
          </w:tcPr>
          <w:p w14:paraId="5F0F020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数据安全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3BBB40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操作审计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28A226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强制：全生命周期操作日志，链式哈希防篡改，保留不少于 1 年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151E1F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审计日志完整性测试与篡改测试</w:t>
            </w:r>
          </w:p>
        </w:tc>
      </w:tr>
      <w:tr w14:paraId="67A71C52">
        <w:tc>
          <w:tcPr>
            <w:tcW w:w="1100" w:type="dxa"/>
          </w:tcPr>
          <w:p w14:paraId="56AB99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网络安全</w:t>
            </w:r>
          </w:p>
        </w:tc>
        <w:tc>
          <w:tcPr>
            <w:tcW w:w="3400" w:type="dxa"/>
          </w:tcPr>
          <w:p w14:paraId="5E8DBD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设备身份与认证</w:t>
            </w:r>
          </w:p>
        </w:tc>
        <w:tc>
          <w:tcPr>
            <w:tcW w:w="5900" w:type="dxa"/>
          </w:tcPr>
          <w:p w14:paraId="6F2352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强制：具备唯一设备标识，采用双向证书认证（mTLS）</w:t>
            </w:r>
          </w:p>
        </w:tc>
        <w:tc>
          <w:tcPr>
            <w:tcW w:w="4740" w:type="dxa"/>
          </w:tcPr>
          <w:p w14:paraId="73D3CB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身份认证与证书管理核查</w:t>
            </w:r>
          </w:p>
        </w:tc>
      </w:tr>
      <w:tr w14:paraId="33D9B4B4">
        <w:tc>
          <w:tcPr>
            <w:tcW w:w="1100" w:type="dxa"/>
          </w:tcPr>
          <w:p w14:paraId="14C8A2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网络安全</w:t>
            </w:r>
          </w:p>
        </w:tc>
        <w:tc>
          <w:tcPr>
            <w:tcW w:w="3400" w:type="dxa"/>
          </w:tcPr>
          <w:p w14:paraId="288700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抗重放与指令完整性</w:t>
            </w:r>
          </w:p>
        </w:tc>
        <w:tc>
          <w:tcPr>
            <w:tcW w:w="5900" w:type="dxa"/>
          </w:tcPr>
          <w:p w14:paraId="216523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强制：时间戳加随机数（时间窗不超过 30 s），指令签名且幂等</w:t>
            </w:r>
          </w:p>
        </w:tc>
        <w:tc>
          <w:tcPr>
            <w:tcW w:w="4740" w:type="dxa"/>
          </w:tcPr>
          <w:p w14:paraId="4DC9D5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重放攻击与中间人攻击测试</w:t>
            </w:r>
          </w:p>
        </w:tc>
      </w:tr>
      <w:tr w14:paraId="65FD052A">
        <w:tc>
          <w:tcPr>
            <w:tcW w:w="1100" w:type="dxa"/>
          </w:tcPr>
          <w:p w14:paraId="47C246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网络安全</w:t>
            </w:r>
          </w:p>
        </w:tc>
        <w:tc>
          <w:tcPr>
            <w:tcW w:w="3400" w:type="dxa"/>
          </w:tcPr>
          <w:p w14:paraId="11B65B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固件与升级安全</w:t>
            </w:r>
          </w:p>
        </w:tc>
        <w:tc>
          <w:tcPr>
            <w:tcW w:w="5900" w:type="dxa"/>
          </w:tcPr>
          <w:p w14:paraId="4EAEB1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强制：安全启动、代码签名、OTA 双分区可回滚</w:t>
            </w:r>
          </w:p>
        </w:tc>
        <w:tc>
          <w:tcPr>
            <w:tcW w:w="4740" w:type="dxa"/>
          </w:tcPr>
          <w:p w14:paraId="500256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固件篡改与降级攻击测试</w:t>
            </w:r>
          </w:p>
        </w:tc>
      </w:tr>
      <w:tr w14:paraId="7AAAA7E0">
        <w:tc>
          <w:tcPr>
            <w:tcW w:w="1100" w:type="dxa"/>
          </w:tcPr>
          <w:p w14:paraId="119B063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网络安全</w:t>
            </w:r>
          </w:p>
        </w:tc>
        <w:tc>
          <w:tcPr>
            <w:tcW w:w="3400" w:type="dxa"/>
          </w:tcPr>
          <w:p w14:paraId="591E2D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网络隔离与端口最小化</w:t>
            </w:r>
          </w:p>
        </w:tc>
        <w:tc>
          <w:tcPr>
            <w:tcW w:w="5900" w:type="dxa"/>
          </w:tcPr>
          <w:p w14:paraId="553A18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强制：优先专网或专线，公网须加密隧道；关闭无用端口与调试接口</w:t>
            </w:r>
          </w:p>
        </w:tc>
        <w:tc>
          <w:tcPr>
            <w:tcW w:w="4740" w:type="dxa"/>
          </w:tcPr>
          <w:p w14:paraId="2E5DBA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网络扫描与配置核查</w:t>
            </w:r>
          </w:p>
        </w:tc>
      </w:tr>
      <w:tr w14:paraId="226896DE">
        <w:tc>
          <w:tcPr>
            <w:tcW w:w="1100" w:type="dxa"/>
          </w:tcPr>
          <w:p w14:paraId="610542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网络安全</w:t>
            </w:r>
          </w:p>
        </w:tc>
        <w:tc>
          <w:tcPr>
            <w:tcW w:w="3400" w:type="dxa"/>
          </w:tcPr>
          <w:p w14:paraId="254AC1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漏洞管理</w:t>
            </w:r>
          </w:p>
        </w:tc>
        <w:tc>
          <w:tcPr>
            <w:tcW w:w="5900" w:type="dxa"/>
          </w:tcPr>
          <w:p w14:paraId="1FF3A4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强制：高危漏洞修复不超过 7 天，中危不超过 30 天</w:t>
            </w:r>
          </w:p>
        </w:tc>
        <w:tc>
          <w:tcPr>
            <w:tcW w:w="4740" w:type="dxa"/>
          </w:tcPr>
          <w:p w14:paraId="393C60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漏洞管理台账抽验</w:t>
            </w:r>
          </w:p>
        </w:tc>
      </w:tr>
      <w:tr w14:paraId="39F947BF">
        <w:tc>
          <w:tcPr>
            <w:tcW w:w="1100" w:type="dxa"/>
            <w:shd w:val="clear" w:color="auto" w:fill="F1F1F1" w:themeFill="background1" w:themeFillShade="F2"/>
          </w:tcPr>
          <w:p w14:paraId="34CD2D3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0" w:name="_GoBack" w:colFirst="0" w:colLast="3"/>
            <w:r>
              <w:rPr>
                <w:rFonts w:hint="eastAsia" w:ascii="微软雅黑" w:hAnsi="微软雅黑" w:eastAsia="微软雅黑" w:cs="微软雅黑"/>
                <w:sz w:val="18"/>
              </w:rPr>
              <w:t>应用安全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343374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密钥与进程隔离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451B46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强制：密钥存储于安全芯片或可信执行环境，最小权限运行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3D8D6E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代码审计与密钥提取测试</w:t>
            </w:r>
          </w:p>
        </w:tc>
      </w:tr>
      <w:tr w14:paraId="3C939263">
        <w:tc>
          <w:tcPr>
            <w:tcW w:w="1100" w:type="dxa"/>
            <w:shd w:val="clear" w:color="auto" w:fill="F1F1F1" w:themeFill="background1" w:themeFillShade="F2"/>
          </w:tcPr>
          <w:p w14:paraId="6D15221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应用安全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0C9F8A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组件与供应链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3A392F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强制：提供软件物料清单（SBOM），第三方组件漏洞可控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486B78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SBOM 审查与组件漏洞核查</w:t>
            </w:r>
          </w:p>
        </w:tc>
      </w:tr>
      <w:tr w14:paraId="764F058F">
        <w:tc>
          <w:tcPr>
            <w:tcW w:w="1100" w:type="dxa"/>
            <w:shd w:val="clear" w:color="auto" w:fill="F1F1F1" w:themeFill="background1" w:themeFillShade="F2"/>
          </w:tcPr>
          <w:p w14:paraId="38ABAF1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应用安全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1AF9FD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防逆向与完整性自校验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5AD3CB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推荐：发布版剥离符号，运行时完整性校验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247DFD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逆向分析测试</w:t>
            </w:r>
          </w:p>
        </w:tc>
      </w:tr>
      <w:tr w14:paraId="773C77A9">
        <w:tc>
          <w:tcPr>
            <w:tcW w:w="1100" w:type="dxa"/>
            <w:shd w:val="clear" w:color="auto" w:fill="F1F1F1" w:themeFill="background1" w:themeFillShade="F2"/>
          </w:tcPr>
          <w:p w14:paraId="653185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应用安全</w:t>
            </w:r>
          </w:p>
        </w:tc>
        <w:tc>
          <w:tcPr>
            <w:tcW w:w="3400" w:type="dxa"/>
            <w:shd w:val="clear" w:color="auto" w:fill="F1F1F1" w:themeFill="background1" w:themeFillShade="F2"/>
          </w:tcPr>
          <w:p w14:paraId="3E12DD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远程接管留痕</w:t>
            </w:r>
          </w:p>
        </w:tc>
        <w:tc>
          <w:tcPr>
            <w:tcW w:w="5900" w:type="dxa"/>
            <w:shd w:val="clear" w:color="auto" w:fill="F1F1F1" w:themeFill="background1" w:themeFillShade="F2"/>
          </w:tcPr>
          <w:p w14:paraId="513313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强制：接管会话全程录制并可回溯，用于事故定责</w:t>
            </w:r>
          </w:p>
        </w:tc>
        <w:tc>
          <w:tcPr>
            <w:tcW w:w="4740" w:type="dxa"/>
            <w:shd w:val="clear" w:color="auto" w:fill="F1F1F1" w:themeFill="background1" w:themeFillShade="F2"/>
          </w:tcPr>
          <w:p w14:paraId="2DAEE5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会话记录抽查与回放验证</w:t>
            </w:r>
          </w:p>
        </w:tc>
      </w:tr>
      <w:bookmarkEnd w:id="0"/>
    </w:tbl>
    <w:p w14:paraId="2644492D">
      <w:pPr>
        <w:keepNext/>
        <w:keepLines/>
        <w:spacing w:before="100" w:beforeAutospacing="1" w:after="100" w:afterAutospacing="1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sz w:val="32"/>
        </w:rPr>
        <w:t>表 3　补充难点（C1–C9）方案要点与责任建议</w:t>
      </w:r>
    </w:p>
    <w:p w14:paraId="0EEFA1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说明：本表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9 项补充难点与前述 9 条议题构成完整闭环：前者解决“怎么建怎么用”，后者解决“用得稳不稳、能不能长期用下去”。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112"/>
        <w:gridCol w:w="488"/>
        <w:gridCol w:w="9300"/>
        <w:gridCol w:w="2540"/>
      </w:tblGrid>
      <w:tr w14:paraId="0027D8C7">
        <w:trPr>
          <w:tblHeader/>
        </w:trPr>
        <w:tc>
          <w:tcPr>
            <w:tcW w:w="700" w:type="dxa"/>
            <w:shd w:val="clear" w:color="auto" w:fill="95B3D7" w:themeFill="accent1" w:themeFillTint="99"/>
          </w:tcPr>
          <w:p w14:paraId="069C8F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编号</w:t>
            </w:r>
          </w:p>
        </w:tc>
        <w:tc>
          <w:tcPr>
            <w:tcW w:w="2600" w:type="dxa"/>
            <w:gridSpan w:val="2"/>
            <w:shd w:val="clear" w:color="auto" w:fill="95B3D7" w:themeFill="accent1" w:themeFillTint="99"/>
          </w:tcPr>
          <w:p w14:paraId="76A1B0B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难点名称</w:t>
            </w:r>
          </w:p>
        </w:tc>
        <w:tc>
          <w:tcPr>
            <w:tcW w:w="9300" w:type="dxa"/>
            <w:shd w:val="clear" w:color="auto" w:fill="95B3D7" w:themeFill="accent1" w:themeFillTint="99"/>
          </w:tcPr>
          <w:p w14:paraId="3D69593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方案要点</w:t>
            </w:r>
          </w:p>
        </w:tc>
        <w:tc>
          <w:tcPr>
            <w:tcW w:w="2540" w:type="dxa"/>
            <w:shd w:val="clear" w:color="auto" w:fill="95B3D7" w:themeFill="accent1" w:themeFillTint="99"/>
          </w:tcPr>
          <w:p w14:paraId="44F3217C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建议责任单位</w:t>
            </w:r>
          </w:p>
        </w:tc>
      </w:tr>
      <w:tr w14:paraId="5122B9D2">
        <w:tc>
          <w:tcPr>
            <w:tcW w:w="700" w:type="dxa"/>
          </w:tcPr>
          <w:p w14:paraId="5DCA7A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C1</w:t>
            </w:r>
          </w:p>
        </w:tc>
        <w:tc>
          <w:tcPr>
            <w:tcW w:w="2112" w:type="dxa"/>
          </w:tcPr>
          <w:p w14:paraId="187E98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多源融合定位与无网环境</w:t>
            </w:r>
          </w:p>
        </w:tc>
        <w:tc>
          <w:tcPr>
            <w:tcW w:w="9788" w:type="dxa"/>
            <w:gridSpan w:val="2"/>
          </w:tcPr>
          <w:p w14:paraId="4AFD29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采用 UWB、激光雷达、视觉、惯导、轮式里程计多源融合（ESKF 或因子图优化）；室外 RTK 与室内 UWB 或激光自动切换；无网时启用本地语义地图与地标重定位；告警位置必须给出置信半径，超阈值时标注“位置待核”并提示人工核实</w:t>
            </w:r>
          </w:p>
        </w:tc>
        <w:tc>
          <w:tcPr>
            <w:tcW w:w="2540" w:type="dxa"/>
          </w:tcPr>
          <w:p w14:paraId="6ECB48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机器人企业；标准归口机构（定位精度与失锁降级要求）；用户单位（点位与场地图纸）</w:t>
            </w:r>
          </w:p>
        </w:tc>
      </w:tr>
      <w:tr w14:paraId="2FECAA4B">
        <w:tc>
          <w:tcPr>
            <w:tcW w:w="700" w:type="dxa"/>
          </w:tcPr>
          <w:p w14:paraId="3F7D89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C2</w:t>
            </w:r>
          </w:p>
        </w:tc>
        <w:tc>
          <w:tcPr>
            <w:tcW w:w="2112" w:type="dxa"/>
          </w:tcPr>
          <w:p w14:paraId="3D6EB87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续航与无人值守自动充电</w:t>
            </w:r>
          </w:p>
        </w:tc>
        <w:tc>
          <w:tcPr>
            <w:tcW w:w="9788" w:type="dxa"/>
            <w:gridSpan w:val="2"/>
          </w:tcPr>
          <w:p w14:paraId="7BDD21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连续巡逻不少于 6 h、混合作业不少于 8 h；自动回充成功率不低于 99%、对位精度不超过 2 cm、0 至 80% 充电不超过 2 h；低电量 30% 自动返航、20% 强制返航；低温容量保持不低于 80%；充电桩具备防雨防撞设计</w:t>
            </w:r>
          </w:p>
        </w:tc>
        <w:tc>
          <w:tcPr>
            <w:tcW w:w="2540" w:type="dxa"/>
          </w:tcPr>
          <w:p w14:paraId="44B2E1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整机企业；用户单位（充电点位规划与电力条件）</w:t>
            </w:r>
          </w:p>
        </w:tc>
      </w:tr>
      <w:tr w14:paraId="6F96DC9F">
        <w:tc>
          <w:tcPr>
            <w:tcW w:w="700" w:type="dxa"/>
          </w:tcPr>
          <w:p w14:paraId="4F4722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C3</w:t>
            </w:r>
          </w:p>
        </w:tc>
        <w:tc>
          <w:tcPr>
            <w:tcW w:w="2112" w:type="dxa"/>
          </w:tcPr>
          <w:p w14:paraId="09F0B06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误报率与处置闭环</w:t>
            </w:r>
          </w:p>
        </w:tc>
        <w:tc>
          <w:tcPr>
            <w:tcW w:w="9788" w:type="dxa"/>
            <w:gridSpan w:val="2"/>
          </w:tcPr>
          <w:p w14:paraId="1E8235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设定可测目标：误报不超过 1 次每班次、告警有效率不低于 90%；告警分级（提示、关注、紧急）与置信度阈值可按区域时段配置；强制二次确认流程（先看证据片段再出警）；误报样本自动回收并纳入模型迭代闭环</w:t>
            </w:r>
          </w:p>
        </w:tc>
        <w:tc>
          <w:tcPr>
            <w:tcW w:w="2540" w:type="dxa"/>
          </w:tcPr>
          <w:p w14:paraId="7E196A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用户单位（处置流程）；平台企业（告警分级）；算法企业（迭代闭环）</w:t>
            </w:r>
          </w:p>
        </w:tc>
      </w:tr>
      <w:tr w14:paraId="4EFB7A48">
        <w:tc>
          <w:tcPr>
            <w:tcW w:w="700" w:type="dxa"/>
          </w:tcPr>
          <w:p w14:paraId="257E5B5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C4</w:t>
            </w:r>
          </w:p>
        </w:tc>
        <w:tc>
          <w:tcPr>
            <w:tcW w:w="2112" w:type="dxa"/>
          </w:tcPr>
          <w:p w14:paraId="45C1F0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电磁兼容与反制装备共存</w:t>
            </w:r>
          </w:p>
        </w:tc>
        <w:tc>
          <w:tcPr>
            <w:tcW w:w="9788" w:type="dxa"/>
            <w:gridSpan w:val="2"/>
          </w:tcPr>
          <w:p w14:paraId="6BF90E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执行电磁兼容相关标准；建立现场频谱协调与作业回避机制；明确反制期间机器人安全策略（自动降速、停驻、返航或进入安全区）；将“现场存在反制装备”写入场景画像并在采购文件中明确；反制作业前进行电磁环境评估</w:t>
            </w:r>
          </w:p>
        </w:tc>
        <w:tc>
          <w:tcPr>
            <w:tcW w:w="2540" w:type="dxa"/>
          </w:tcPr>
          <w:p w14:paraId="684162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用户单位（现场频谱协调）；整机企业（抗扰设计）；标准归口机构（EMC 与安全策略条款）</w:t>
            </w:r>
          </w:p>
        </w:tc>
      </w:tr>
      <w:tr w14:paraId="7EC389FC">
        <w:tc>
          <w:tcPr>
            <w:tcW w:w="700" w:type="dxa"/>
          </w:tcPr>
          <w:p w14:paraId="73B5B0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C5</w:t>
            </w:r>
          </w:p>
        </w:tc>
        <w:tc>
          <w:tcPr>
            <w:tcW w:w="2112" w:type="dxa"/>
          </w:tcPr>
          <w:p w14:paraId="26C715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人机共存与行人安全</w:t>
            </w:r>
          </w:p>
        </w:tc>
        <w:tc>
          <w:tcPr>
            <w:tcW w:w="9788" w:type="dxa"/>
            <w:gridSpan w:val="2"/>
          </w:tcPr>
          <w:p w14:paraId="7ED66F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采用社交导航与分层安全半径（预警 2 m、减速 1.5 m、停止 1 m）；分类识别儿童、老人等弱势对象并加大安全距离；对倒地人员执行“不压不碰、呼救上报”策略；通行礼仪（靠右、让行、不贴行）写入作业规范；密集人流场景自动降速并切换为伴随模式</w:t>
            </w:r>
          </w:p>
        </w:tc>
        <w:tc>
          <w:tcPr>
            <w:tcW w:w="2540" w:type="dxa"/>
          </w:tcPr>
          <w:p w14:paraId="619C29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机器人企业（避让算法与安全半径实现）；公共安全业务部门（礼仪与处置规范）</w:t>
            </w:r>
          </w:p>
        </w:tc>
      </w:tr>
      <w:tr w14:paraId="00994CEE">
        <w:tc>
          <w:tcPr>
            <w:tcW w:w="700" w:type="dxa"/>
          </w:tcPr>
          <w:p w14:paraId="60DE7E3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C6</w:t>
            </w:r>
          </w:p>
        </w:tc>
        <w:tc>
          <w:tcPr>
            <w:tcW w:w="2112" w:type="dxa"/>
          </w:tcPr>
          <w:p w14:paraId="48F9F84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恶劣环境适应性</w:t>
            </w:r>
          </w:p>
        </w:tc>
        <w:tc>
          <w:tcPr>
            <w:tcW w:w="9788" w:type="dxa"/>
            <w:gridSpan w:val="2"/>
          </w:tcPr>
          <w:p w14:paraId="4032F9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分级环境适应性要求（工作温度 -20 至 55 ℃、抗风 6 级、防护 IP65 与 IP67）；传感器加热除雾与镜面疏水处理；地面摩擦变化时自适应调整速度上限；暴雨、大雪、结冰等条件下自动降级为定点值守或返航</w:t>
            </w:r>
          </w:p>
        </w:tc>
        <w:tc>
          <w:tcPr>
            <w:tcW w:w="2540" w:type="dxa"/>
          </w:tcPr>
          <w:p w14:paraId="5443EB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整机企业；检测机构（环境适应性试验）；用户单位（本地气候条件输入）</w:t>
            </w:r>
          </w:p>
        </w:tc>
      </w:tr>
      <w:tr w14:paraId="4BACE89D">
        <w:tc>
          <w:tcPr>
            <w:tcW w:w="700" w:type="dxa"/>
          </w:tcPr>
          <w:p w14:paraId="58D9746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C7</w:t>
            </w:r>
          </w:p>
        </w:tc>
        <w:tc>
          <w:tcPr>
            <w:tcW w:w="2112" w:type="dxa"/>
          </w:tcPr>
          <w:p w14:paraId="1CAA4D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运维与规模化</w:t>
            </w:r>
          </w:p>
        </w:tc>
        <w:tc>
          <w:tcPr>
            <w:tcW w:w="9788" w:type="dxa"/>
            <w:gridSpan w:val="2"/>
          </w:tcPr>
          <w:p w14:paraId="546E66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建立健康管理与故障预测（电池、电机、减速器、激光雷达的剩余寿命预测）；批量 OTA 与灰度发布；备机率不低于 10%、常用备件 4 h 到位；将可用率不低于 99%、MTBF 不低于 2000 h 纳入运维考核；建立远程诊断与一线运维两级体系</w:t>
            </w:r>
          </w:p>
        </w:tc>
        <w:tc>
          <w:tcPr>
            <w:tcW w:w="2540" w:type="dxa"/>
          </w:tcPr>
          <w:p w14:paraId="59A4D2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整机企业（健康管理与备件）；用户单位（运维制度与考核）</w:t>
            </w:r>
          </w:p>
        </w:tc>
      </w:tr>
      <w:tr w14:paraId="6CC12E80">
        <w:tc>
          <w:tcPr>
            <w:tcW w:w="700" w:type="dxa"/>
          </w:tcPr>
          <w:p w14:paraId="63C1870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C8</w:t>
            </w:r>
          </w:p>
        </w:tc>
        <w:tc>
          <w:tcPr>
            <w:tcW w:w="2112" w:type="dxa"/>
          </w:tcPr>
          <w:p w14:paraId="35FC1C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伦理、告知与舆情</w:t>
            </w:r>
          </w:p>
        </w:tc>
        <w:tc>
          <w:tcPr>
            <w:tcW w:w="9788" w:type="dxa"/>
            <w:gridSpan w:val="2"/>
          </w:tcPr>
          <w:p w14:paraId="32C238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现场告知（机身标识、语音提示、试运行公示）；对住宅、窗户、私密场所实施自动遮挡；公开数据用途与留存期限；建立投诉受理与 24 h 响应机制；严格限制涉未成年人影像的采集与使用；重大节点前开展舆情预评估</w:t>
            </w:r>
          </w:p>
        </w:tc>
        <w:tc>
          <w:tcPr>
            <w:tcW w:w="2540" w:type="dxa"/>
          </w:tcPr>
          <w:p w14:paraId="5B825A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用户单位（告知与公示）；公共安全业务部门（拍摄边界与伦理规则）；宣传部门（舆情应对）</w:t>
            </w:r>
          </w:p>
        </w:tc>
      </w:tr>
      <w:tr w14:paraId="61774757">
        <w:tc>
          <w:tcPr>
            <w:tcW w:w="700" w:type="dxa"/>
          </w:tcPr>
          <w:p w14:paraId="278D404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C9</w:t>
            </w:r>
          </w:p>
        </w:tc>
        <w:tc>
          <w:tcPr>
            <w:tcW w:w="2112" w:type="dxa"/>
          </w:tcPr>
          <w:p w14:paraId="099947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空地协同（无人机与地面机器人）</w:t>
            </w:r>
          </w:p>
        </w:tc>
        <w:tc>
          <w:tcPr>
            <w:tcW w:w="9788" w:type="dxa"/>
            <w:gridSpan w:val="2"/>
          </w:tcPr>
          <w:p w14:paraId="68984F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由统一调度平台下发协同任务：无人机负责大范围快速巡查与目标发现，地面机器人负责近距核查与持续值守；目标交接采用统一目标 ID 与坐标基准；明确空域合规（飞行审批、禁飞区）与安全间隔规则；无人机续航不足时采用多机轮转与自动机场实现接力覆盖</w:t>
            </w:r>
          </w:p>
        </w:tc>
        <w:tc>
          <w:tcPr>
            <w:tcW w:w="2540" w:type="dxa"/>
          </w:tcPr>
          <w:p w14:paraId="108238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用户单位（协同流程）；无人机与机器人企业（接口与目标交接）；空管与公安主管部门（空域合规）</w:t>
            </w:r>
          </w:p>
        </w:tc>
      </w:tr>
    </w:tbl>
    <w:p w14:paraId="319CCE98">
      <w:pPr>
        <w:rPr>
          <w:rFonts w:hint="eastAsia" w:ascii="微软雅黑" w:hAnsi="微软雅黑" w:eastAsia="微软雅黑" w:cs="微软雅黑"/>
        </w:rPr>
      </w:pPr>
    </w:p>
    <w:sectPr>
      <w:footerReference r:id="rId7" w:type="first"/>
      <w:footerReference r:id="rId5" w:type="default"/>
      <w:footerReference r:id="rId6" w:type="even"/>
      <w:pgSz w:w="16838" w:h="11906" w:orient="landscape"/>
      <w:pgMar w:top="1134" w:right="850" w:bottom="1134" w:left="85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332"/>
      <w:docPartObj>
        <w:docPartGallery w:val="autotext"/>
      </w:docPartObj>
    </w:sdtPr>
    <w:sdtContent>
      <w:p w14:paraId="46A4127D">
        <w:pPr>
          <w:framePr w:wrap="auto" w:vAnchor="text" w:hAnchor="margin" w:xAlign="right" w:y="1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9E16A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946"/>
      <w:docPartObj>
        <w:docPartGallery w:val="autotext"/>
      </w:docPartObj>
    </w:sdtPr>
    <w:sdtContent>
      <w:p w14:paraId="57FCDDAC">
        <w:pPr>
          <w:framePr w:wrap="auto" w:vAnchor="text" w:hAnchor="margin" w:xAlign="right" w:y="1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5F96C0A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3096"/>
      <w:docPartObj>
        <w:docPartGallery w:val="autotext"/>
      </w:docPartObj>
    </w:sdtPr>
    <w:sdtContent>
      <w:p w14:paraId="7E3C27FA">
        <w:pPr>
          <w:framePr w:wrap="auto" w:vAnchor="text" w:hAnchor="margin" w:xAlign="right" w:y="1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285ACE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ocumentProtection w:enforcement="0"/>
  <w:defaultTabStop w:val="42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ED91C40"/>
    <w:rsid w:val="0F177709"/>
    <w:rsid w:val="0F2B6FD9"/>
    <w:rsid w:val="183C240D"/>
    <w:rsid w:val="1AA24D9F"/>
    <w:rsid w:val="1F9E1039"/>
    <w:rsid w:val="201B3E66"/>
    <w:rsid w:val="254944BC"/>
    <w:rsid w:val="26056EE9"/>
    <w:rsid w:val="27FBD2E2"/>
    <w:rsid w:val="28DA2E89"/>
    <w:rsid w:val="2A4254F9"/>
    <w:rsid w:val="2B9B22FF"/>
    <w:rsid w:val="2D1F32F4"/>
    <w:rsid w:val="2DF9330D"/>
    <w:rsid w:val="2E690493"/>
    <w:rsid w:val="2E7B1445"/>
    <w:rsid w:val="323B4D81"/>
    <w:rsid w:val="337201A6"/>
    <w:rsid w:val="337D214D"/>
    <w:rsid w:val="344A48C2"/>
    <w:rsid w:val="34B70380"/>
    <w:rsid w:val="36461DDF"/>
    <w:rsid w:val="379C3687"/>
    <w:rsid w:val="39CE564E"/>
    <w:rsid w:val="3AE174A3"/>
    <w:rsid w:val="3E4B5E3D"/>
    <w:rsid w:val="43446334"/>
    <w:rsid w:val="44A84E71"/>
    <w:rsid w:val="477DCE1E"/>
    <w:rsid w:val="4D553C64"/>
    <w:rsid w:val="4D825C2E"/>
    <w:rsid w:val="4E4B27AD"/>
    <w:rsid w:val="50845C1D"/>
    <w:rsid w:val="52EF06B7"/>
    <w:rsid w:val="573E1E21"/>
    <w:rsid w:val="5A2413B5"/>
    <w:rsid w:val="5B487E91"/>
    <w:rsid w:val="5CF9550F"/>
    <w:rsid w:val="5EFEBDE8"/>
    <w:rsid w:val="5FD84208"/>
    <w:rsid w:val="62DB47B4"/>
    <w:rsid w:val="68CA2609"/>
    <w:rsid w:val="68CC1AED"/>
    <w:rsid w:val="69BB0F42"/>
    <w:rsid w:val="6A637494"/>
    <w:rsid w:val="6BCF62E6"/>
    <w:rsid w:val="6CD3A16D"/>
    <w:rsid w:val="6D535020"/>
    <w:rsid w:val="6E180321"/>
    <w:rsid w:val="6E5F49A6"/>
    <w:rsid w:val="6FFF37D2"/>
    <w:rsid w:val="70DE2EF1"/>
    <w:rsid w:val="71665B90"/>
    <w:rsid w:val="726A1D20"/>
    <w:rsid w:val="74FBFDCC"/>
    <w:rsid w:val="76796366"/>
    <w:rsid w:val="799B093F"/>
    <w:rsid w:val="7C5F4108"/>
    <w:rsid w:val="7D686059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 w:line="240" w:lineRule="auto"/>
      <w:jc w:val="left"/>
    </w:pPr>
    <w:rPr>
      <w:rFonts w:asciiTheme="minorHAnsi" w:hAnsiTheme="minorHAnsi" w:eastAsiaTheme="minorEastAsia" w:cstheme="minorBidi"/>
      <w:color w:val="333333"/>
      <w:sz w:val="22"/>
      <w:szCs w:val="22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2026-09-18T15:01:00Z</dcterms:created>
  <dc:creator>Data</dc:creator>
  <cp:lastModifiedBy>贾亮亮</cp:lastModifiedBy>
  <dcterms:modified xsi:type="dcterms:W3CDTF">2026-09-18T09:28:13Z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1A2C6C3845D09F94A293AC6AB39B2085_42</vt:lpwstr>
  </property>
</Properties>
</file>