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6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document.xml" ContentType="application/vnd.openxmlformats-officedocument.wordprocessingml.document.main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r="http://schemas.openxmlformats.org/officeDocument/2006/relationships" xmlns:w="http://schemas.openxmlformats.org/wordprocessingml/2006/main" xmlns:mc="http://schemas.openxmlformats.org/markup-compatibility/2006" mc:Ignorable="w14">
  <w:body>
    <w:p w14:paraId="36F5D964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安防具身智能巡逻机器人难点痛点梳理与解决方案</w:t>
      </w:r>
    </w:p>
    <w:p w14:paraId="3193DA44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——面向技术层与应用层的逐条对应方案设计</w:t>
      </w:r>
    </w:p>
    <w:p w14:paraId="488004F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编制说明</w:t>
      </w:r>
    </w:p>
    <w:p w14:paraId="1C003C5A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一、审阅对象</w:t>
      </w:r>
    </w:p>
    <w:p w14:paraId="4524AE85">
      <w:r>
        <w:rPr>
          <w:rFonts w:hint="eastAsia"/>
        </w:rPr>
        <w:t>本报告针对《20260907-安防具身智能巡逻机器人难点和痛点梳理》编写。该文档以表格形式提出 9 条实质议题，另留 1 条占位（序号 10，内容为“......”），表头共 5 列：序号、主题、存在的问题、责任单位、解决方案。其中“责任单位”与“解决方案”两列</w:t>
      </w:r>
      <w:r>
        <w:rPr>
          <w:rFonts w:hint="eastAsia"/>
          <w:b w:val="1"/>
        </w:rPr>
        <w:t>完全空白</w:t>
      </w:r>
      <w:r>
        <w:rPr>
          <w:rFonts w:hint="eastAsia"/>
        </w:rPr>
        <w:t>——即原文档只完成了“提问”，尚未形成“回答”。本报告的任务，就是把这 9 个提问逐条变成可执行、可验收的答案。</w:t>
      </w:r>
    </w:p>
    <w:p w14:paraId="30F72FB3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二、审阅视角与专家分工</w:t>
      </w:r>
    </w:p>
    <w:p w14:paraId="784B14B8">
      <w:r>
        <w:rPr>
          <w:rFonts w:hint="eastAsia"/>
        </w:rPr>
        <w:t>本报告由六个领域的专家视角联合完成。为使“六视角”不流于形式，明确各视角的主责条目与关注面如下：</w:t>
      </w:r>
    </w:p>
    <w:tbl>
      <w:tblPr>
        <w:tblW w:w="850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0"/>
        <w:gridCol w:w="4200"/>
        <w:gridCol w:w="2700"/>
      </w:tblGrid>
      <w:tr>
        <w:trPr>
          <w:tblHeader w:val="1"/>
        </w:trPr>
        <w:tc>
          <w:tcPr>
            <w:tcW w:w="1600" w:type="dxa"/>
          </w:tcPr>
          <w:p w14:paraId="2E8068E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专家视角</w:t>
            </w:r>
          </w:p>
        </w:tc>
        <w:tc>
          <w:tcPr>
            <w:tcW w:w="4200" w:type="dxa"/>
          </w:tcPr>
          <w:p w14:paraId="01001B7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主要关注点</w:t>
            </w:r>
          </w:p>
        </w:tc>
        <w:tc>
          <w:tcPr>
            <w:tcW w:w="2700" w:type="dxa"/>
          </w:tcPr>
          <w:p w14:paraId="37D9421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主责条目</w:t>
            </w:r>
          </w:p>
        </w:tc>
      </w:tr>
      <w:tr>
        <w:trPr/>
        <w:tc>
          <w:tcPr>
            <w:tcW w:w="1600" w:type="dxa"/>
          </w:tcPr>
          <w:p w14:paraId="47D77B8E">
            <w:r>
              <w:rPr>
                <w:rFonts w:hint="eastAsia"/>
                <w:sz w:val="18"/>
              </w:rPr>
              <w:t>具身智能专家</w:t>
            </w:r>
          </w:p>
        </w:tc>
        <w:tc>
          <w:tcPr>
            <w:tcW w:w="4200" w:type="dxa"/>
          </w:tcPr>
          <w:p w14:paraId="4A802D7E">
            <w:r>
              <w:rPr>
                <w:rFonts w:hint="eastAsia"/>
                <w:sz w:val="18"/>
              </w:rPr>
              <w:t>模型能力与场景适配、训练与数据集、模型安全（越狱、幻觉、鲁棒性）</w:t>
            </w:r>
          </w:p>
        </w:tc>
        <w:tc>
          <w:tcPr>
            <w:tcW w:w="2700" w:type="dxa"/>
          </w:tcPr>
          <w:p w14:paraId="0192D7DB">
            <w:r>
              <w:rPr>
                <w:rFonts w:hint="eastAsia"/>
                <w:sz w:val="18"/>
              </w:rPr>
              <w:t>序号 1、4、8，序号 3 的模型安全部分</w:t>
            </w:r>
          </w:p>
        </w:tc>
      </w:tr>
      <w:tr>
        <w:trPr/>
        <w:tc>
          <w:tcPr>
            <w:tcW w:w="1600" w:type="dxa"/>
          </w:tcPr>
          <w:p w14:paraId="11AD8F6F">
            <w:r>
              <w:rPr>
                <w:rFonts w:hint="eastAsia"/>
                <w:sz w:val="18"/>
              </w:rPr>
              <w:t>公共安全专家</w:t>
            </w:r>
          </w:p>
        </w:tc>
        <w:tc>
          <w:tcPr>
            <w:tcW w:w="4200" w:type="dxa"/>
          </w:tcPr>
          <w:p w14:paraId="4027B590">
            <w:r>
              <w:rPr>
                <w:rFonts w:hint="eastAsia"/>
                <w:sz w:val="18"/>
              </w:rPr>
              <w:t>业务职责与人机协同、合规与责任划分、现场秩序与告知</w:t>
            </w:r>
          </w:p>
        </w:tc>
        <w:tc>
          <w:tcPr>
            <w:tcW w:w="2700" w:type="dxa"/>
          </w:tcPr>
          <w:p w14:paraId="3AADCB50">
            <w:r>
              <w:rPr>
                <w:rFonts w:hint="eastAsia"/>
                <w:sz w:val="18"/>
              </w:rPr>
              <w:t>序号 2、9，序号 6 的现场管理部分</w:t>
            </w:r>
          </w:p>
        </w:tc>
      </w:tr>
      <w:tr>
        <w:trPr/>
        <w:tc>
          <w:tcPr>
            <w:tcW w:w="1600" w:type="dxa"/>
          </w:tcPr>
          <w:p w14:paraId="0E24CBC5">
            <w:r>
              <w:rPr>
                <w:rFonts w:hint="eastAsia"/>
                <w:sz w:val="18"/>
              </w:rPr>
              <w:t>技术专家</w:t>
            </w:r>
          </w:p>
        </w:tc>
        <w:tc>
          <w:tcPr>
            <w:tcW w:w="4200" w:type="dxa"/>
          </w:tcPr>
          <w:p w14:paraId="655ACA21">
            <w:r>
              <w:rPr>
                <w:rFonts w:hint="eastAsia"/>
                <w:sz w:val="18"/>
              </w:rPr>
              <w:t>接口与互操作、系统集成、指标可测化与验收口径</w:t>
            </w:r>
          </w:p>
        </w:tc>
        <w:tc>
          <w:tcPr>
            <w:tcW w:w="2700" w:type="dxa"/>
          </w:tcPr>
          <w:p w14:paraId="0A495D0B">
            <w:r>
              <w:rPr>
                <w:rFonts w:hint="eastAsia"/>
                <w:sz w:val="18"/>
              </w:rPr>
              <w:t>序号 7、4 的指标部分</w:t>
            </w:r>
          </w:p>
        </w:tc>
      </w:tr>
      <w:tr>
        <w:trPr/>
        <w:tc>
          <w:tcPr>
            <w:tcW w:w="1600" w:type="dxa"/>
          </w:tcPr>
          <w:p w14:paraId="1A57069E">
            <w:r>
              <w:rPr>
                <w:rFonts w:hint="eastAsia"/>
                <w:sz w:val="18"/>
              </w:rPr>
              <w:t>安全领域专家</w:t>
            </w:r>
          </w:p>
        </w:tc>
        <w:tc>
          <w:tcPr>
            <w:tcW w:w="4200" w:type="dxa"/>
          </w:tcPr>
          <w:p w14:paraId="24A5C470">
            <w:r>
              <w:rPr>
                <w:rFonts w:hint="eastAsia"/>
                <w:sz w:val="18"/>
              </w:rPr>
              <w:t>全栈安全（模型/本体/数据/网络/应用）、功能安全与急停</w:t>
            </w:r>
          </w:p>
        </w:tc>
        <w:tc>
          <w:tcPr>
            <w:tcW w:w="2700" w:type="dxa"/>
          </w:tcPr>
          <w:p w14:paraId="16E4B8CC">
            <w:r>
              <w:rPr>
                <w:rFonts w:hint="eastAsia"/>
                <w:sz w:val="18"/>
              </w:rPr>
              <w:t>序号 3、6</w:t>
            </w:r>
          </w:p>
        </w:tc>
      </w:tr>
      <w:tr>
        <w:trPr/>
        <w:tc>
          <w:tcPr>
            <w:tcW w:w="1600" w:type="dxa"/>
          </w:tcPr>
          <w:p w14:paraId="08327449">
            <w:r>
              <w:rPr>
                <w:rFonts w:hint="eastAsia"/>
                <w:sz w:val="18"/>
              </w:rPr>
              <w:t>机器人专家</w:t>
            </w:r>
          </w:p>
        </w:tc>
        <w:tc>
          <w:tcPr>
            <w:tcW w:w="4200" w:type="dxa"/>
          </w:tcPr>
          <w:p w14:paraId="41002CAC">
            <w:r>
              <w:rPr>
                <w:rFonts w:hint="eastAsia"/>
                <w:sz w:val="18"/>
              </w:rPr>
              <w:t>本体设计、运动与跌倒恢复、可靠性与环境适应</w:t>
            </w:r>
          </w:p>
        </w:tc>
        <w:tc>
          <w:tcPr>
            <w:tcW w:w="2700" w:type="dxa"/>
          </w:tcPr>
          <w:p w14:paraId="7FEE8B09">
            <w:r>
              <w:rPr>
                <w:rFonts w:hint="eastAsia"/>
                <w:sz w:val="18"/>
              </w:rPr>
              <w:t>序号 5，序号 3 的本体安全部分</w:t>
            </w:r>
          </w:p>
        </w:tc>
      </w:tr>
      <w:tr>
        <w:trPr/>
        <w:tc>
          <w:tcPr>
            <w:tcW w:w="1600" w:type="dxa"/>
          </w:tcPr>
          <w:p w14:paraId="714FB36D">
            <w:r>
              <w:rPr>
                <w:rFonts w:hint="eastAsia"/>
                <w:sz w:val="18"/>
              </w:rPr>
              <w:t>无人机专家</w:t>
            </w:r>
          </w:p>
        </w:tc>
        <w:tc>
          <w:tcPr>
            <w:tcW w:w="4200" w:type="dxa"/>
          </w:tcPr>
          <w:p w14:paraId="622545C5">
            <w:r>
              <w:rPr>
                <w:rFonts w:hint="eastAsia"/>
                <w:sz w:val="18"/>
              </w:rPr>
              <w:t>跨系统协同、空域与频谱、反制装备共存、空地一体</w:t>
            </w:r>
          </w:p>
        </w:tc>
        <w:tc>
          <w:tcPr>
            <w:tcW w:w="2700" w:type="dxa"/>
          </w:tcPr>
          <w:p w14:paraId="394AB761">
            <w:r>
              <w:rPr>
                <w:rFonts w:hint="eastAsia"/>
                <w:sz w:val="18"/>
              </w:rPr>
              <w:t>序号 7 的跨系统部分，补充条目 C4、C9</w:t>
            </w:r>
          </w:p>
        </w:tc>
      </w:tr>
    </w:tbl>
    <w:p w14:paraId="7F81CF8A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三、梳理方法与分类口径</w:t>
      </w:r>
    </w:p>
    <w:p w14:paraId="5BD7EE75">
      <w:r>
        <w:rPr>
          <w:rFonts w:hint="eastAsia"/>
        </w:rPr>
        <w:t>采用“先分层、再归类、后对应”三步法。</w:t>
      </w:r>
    </w:p>
    <w:p w14:paraId="12AF8B15">
      <w:r>
        <w:rPr>
          <w:rFonts w:hint="eastAsia"/>
        </w:rPr>
        <w:t>第一步，分层。把 9 条议题按问题性质拆为</w:t>
      </w:r>
      <w:r>
        <w:rPr>
          <w:rFonts w:hint="eastAsia"/>
          <w:b w:val="1"/>
        </w:rPr>
        <w:t>技术层（T）</w:t>
      </w:r>
      <w:r>
        <w:rPr>
          <w:rFonts w:hint="eastAsia"/>
        </w:rPr>
        <w:t>与</w:t>
      </w:r>
      <w:r>
        <w:rPr>
          <w:rFonts w:hint="eastAsia"/>
          <w:b w:val="1"/>
        </w:rPr>
        <w:t>应用层（A）</w:t>
      </w:r>
      <w:r>
        <w:rPr>
          <w:rFonts w:hint="eastAsia"/>
        </w:rPr>
        <w:t>。判定标准很直接：必须改变装备、算法或接口才能解决的，归技术层；必须改变流程、职责、界面或管理规则才能解决的，归应用层。同一条议题往往同时落入两层——例如序号 3（安全）、序号 6（急停）、序号 7（接口）均跨越两层，本报告在同一议题下分别成节论述，不强行二选一。</w:t>
      </w:r>
    </w:p>
    <w:p w14:paraId="5B13B122">
      <w:r>
        <w:rPr>
          <w:rFonts w:hint="eastAsia"/>
        </w:rPr>
        <w:t>第二步，归类。技术层归纳为 8 类（T1–T8），应用层归纳为 6 类（A1–A6），见第一章。</w:t>
      </w:r>
    </w:p>
    <w:p w14:paraId="374A93B6">
      <w:r>
        <w:rPr>
          <w:rFonts w:hint="eastAsia"/>
        </w:rPr>
        <w:t>第三步，对应。把每条议题提炼为若干“问题点”，每个问题点对应一个编号方案（S 编号），并在附表 1 中给出“问题—方案—责任单位—交付物”的一一对应关系，确保无遗漏、无重复、可回溯。</w:t>
      </w:r>
    </w:p>
    <w:p w14:paraId="0AD9721B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四、编号规则</w:t>
      </w:r>
    </w:p>
    <w:p w14:paraId="1C3B4DA8">
      <w:r>
        <w:rPr>
          <w:rFonts w:hint="eastAsia"/>
        </w:rPr>
        <w:t>R1–R9 为原表序号，与原文严格一致，便于回溯；T1–T8、A1–A6 为技术层与应用层分类编号；S 编号指向具体方案点，形如 S1-1 表示序号 1 的第 1 个方案点；C1–C9 为本报告补充的、原文档未覆盖但必须纳入的关键难点（原表序号 10 即为占位待补，本报告在第五章给出补充清单）。</w:t>
      </w:r>
    </w:p>
    <w:p w14:paraId="44CB3D7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第一章 难点与痛点总体盘点</w:t>
      </w:r>
    </w:p>
    <w:p w14:paraId="20805FB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1.1 原表 9 条议题总览与分类归属</w:t>
      </w:r>
    </w:p>
    <w:tbl>
      <w:tblPr>
        <w:tblW w:w="850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0"/>
        <w:gridCol w:w="2200"/>
        <w:gridCol w:w="1900"/>
        <w:gridCol w:w="1900"/>
        <w:gridCol w:w="2000"/>
      </w:tblGrid>
      <w:tr>
        <w:trPr>
          <w:tblHeader w:val="1"/>
        </w:trPr>
        <w:tc>
          <w:tcPr>
            <w:tcW w:w="500" w:type="dxa"/>
          </w:tcPr>
          <w:p w14:paraId="19E4FFF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序号</w:t>
            </w:r>
          </w:p>
        </w:tc>
        <w:tc>
          <w:tcPr>
            <w:tcW w:w="2200" w:type="dxa"/>
          </w:tcPr>
          <w:p w14:paraId="16F75FB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主题</w:t>
            </w:r>
          </w:p>
        </w:tc>
        <w:tc>
          <w:tcPr>
            <w:tcW w:w="1900" w:type="dxa"/>
          </w:tcPr>
          <w:p w14:paraId="657FF82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技术层归类</w:t>
            </w:r>
          </w:p>
        </w:tc>
        <w:tc>
          <w:tcPr>
            <w:tcW w:w="1900" w:type="dxa"/>
          </w:tcPr>
          <w:p w14:paraId="39F748D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应用层归类</w:t>
            </w:r>
          </w:p>
        </w:tc>
        <w:tc>
          <w:tcPr>
            <w:tcW w:w="2000" w:type="dxa"/>
          </w:tcPr>
          <w:p w14:paraId="7280BE4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主责视角</w:t>
            </w:r>
          </w:p>
        </w:tc>
      </w:tr>
      <w:tr>
        <w:trPr/>
        <w:tc>
          <w:tcPr>
            <w:tcW w:w="500" w:type="dxa"/>
          </w:tcPr>
          <w:p w14:paraId="6BA45C4D">
            <w:r>
              <w:rPr>
                <w:sz w:val="18"/>
              </w:rPr>
              <w:t>1</w:t>
            </w:r>
          </w:p>
        </w:tc>
        <w:tc>
          <w:tcPr>
            <w:tcW w:w="2200" w:type="dxa"/>
          </w:tcPr>
          <w:p w14:paraId="15806134">
            <w:r>
              <w:rPr>
                <w:rFonts w:hint="eastAsia"/>
                <w:sz w:val="18"/>
              </w:rPr>
              <w:t>安防巡逻场景定义</w:t>
            </w:r>
          </w:p>
        </w:tc>
        <w:tc>
          <w:tcPr>
            <w:tcW w:w="1900" w:type="dxa"/>
          </w:tcPr>
          <w:p w14:paraId="00F3A8E2">
            <w:r>
              <w:rPr>
                <w:rFonts w:hint="eastAsia"/>
                <w:sz w:val="18"/>
              </w:rPr>
              <w:t>T1 场景不可计算化</w:t>
            </w:r>
          </w:p>
        </w:tc>
        <w:tc>
          <w:tcPr>
            <w:tcW w:w="1900" w:type="dxa"/>
          </w:tcPr>
          <w:p w14:paraId="2A12FA1C">
            <w:r>
              <w:rPr>
                <w:rFonts w:hint="eastAsia"/>
                <w:sz w:val="18"/>
              </w:rPr>
              <w:t>A1 场景与作业规范缺失</w:t>
            </w:r>
          </w:p>
        </w:tc>
        <w:tc>
          <w:tcPr>
            <w:tcW w:w="2000" w:type="dxa"/>
          </w:tcPr>
          <w:p w14:paraId="7671F884">
            <w:r>
              <w:rPr>
                <w:rFonts w:hint="eastAsia"/>
                <w:sz w:val="18"/>
              </w:rPr>
              <w:t>具身智能、公共安全</w:t>
            </w:r>
          </w:p>
        </w:tc>
      </w:tr>
      <w:tr>
        <w:trPr/>
        <w:tc>
          <w:tcPr>
            <w:tcW w:w="500" w:type="dxa"/>
          </w:tcPr>
          <w:p w14:paraId="6D599AB5">
            <w:r>
              <w:rPr>
                <w:sz w:val="18"/>
              </w:rPr>
              <w:t>2</w:t>
            </w:r>
          </w:p>
        </w:tc>
        <w:tc>
          <w:tcPr>
            <w:tcW w:w="2200" w:type="dxa"/>
          </w:tcPr>
          <w:p w14:paraId="6300A2B9">
            <w:r>
              <w:rPr>
                <w:rFonts w:hint="eastAsia"/>
                <w:sz w:val="18"/>
              </w:rPr>
              <w:t>人机协同机制</w:t>
            </w:r>
          </w:p>
        </w:tc>
        <w:tc>
          <w:tcPr>
            <w:tcW w:w="1900" w:type="dxa"/>
          </w:tcPr>
          <w:p w14:paraId="6BFF99EB">
            <w:r>
              <w:rPr>
                <w:rFonts w:hint="eastAsia"/>
                <w:sz w:val="18"/>
              </w:rPr>
              <w:t>T7 协同缺乏技术支撑</w:t>
            </w:r>
          </w:p>
        </w:tc>
        <w:tc>
          <w:tcPr>
            <w:tcW w:w="1900" w:type="dxa"/>
          </w:tcPr>
          <w:p w14:paraId="69B1ECCC">
            <w:r>
              <w:rPr>
                <w:rFonts w:hint="eastAsia"/>
                <w:sz w:val="18"/>
              </w:rPr>
              <w:t>A2 职责边界与协同机制未划定</w:t>
            </w:r>
          </w:p>
        </w:tc>
        <w:tc>
          <w:tcPr>
            <w:tcW w:w="2000" w:type="dxa"/>
          </w:tcPr>
          <w:p w14:paraId="79AC375E">
            <w:r>
              <w:rPr>
                <w:rFonts w:hint="eastAsia"/>
                <w:sz w:val="18"/>
              </w:rPr>
              <w:t>公共安全、技术</w:t>
            </w:r>
          </w:p>
        </w:tc>
      </w:tr>
      <w:tr>
        <w:trPr/>
        <w:tc>
          <w:tcPr>
            <w:tcW w:w="500" w:type="dxa"/>
          </w:tcPr>
          <w:p w14:paraId="7048C7D8">
            <w:r>
              <w:rPr>
                <w:sz w:val="18"/>
              </w:rPr>
              <w:t>3</w:t>
            </w:r>
          </w:p>
        </w:tc>
        <w:tc>
          <w:tcPr>
            <w:tcW w:w="2200" w:type="dxa"/>
          </w:tcPr>
          <w:p w14:paraId="7F039F14">
            <w:r>
              <w:rPr>
                <w:rFonts w:hint="eastAsia"/>
                <w:sz w:val="18"/>
              </w:rPr>
              <w:t>具身智能巡逻机器人安全</w:t>
            </w:r>
          </w:p>
        </w:tc>
        <w:tc>
          <w:tcPr>
            <w:tcW w:w="1900" w:type="dxa"/>
          </w:tcPr>
          <w:p w14:paraId="06399480">
            <w:r>
              <w:rPr>
                <w:rFonts w:hint="eastAsia"/>
                <w:sz w:val="18"/>
              </w:rPr>
              <w:t>T4 全栈安全指标缺位</w:t>
            </w:r>
          </w:p>
        </w:tc>
        <w:tc>
          <w:tcPr>
            <w:tcW w:w="1900" w:type="dxa"/>
          </w:tcPr>
          <w:p w14:paraId="4900F919">
            <w:r>
              <w:rPr>
                <w:rFonts w:hint="eastAsia"/>
                <w:sz w:val="18"/>
              </w:rPr>
              <w:t>A3 现场运营安全（部分）</w:t>
            </w:r>
          </w:p>
        </w:tc>
        <w:tc>
          <w:tcPr>
            <w:tcW w:w="2000" w:type="dxa"/>
          </w:tcPr>
          <w:p w14:paraId="7B3F0CEA">
            <w:r>
              <w:rPr>
                <w:rFonts w:hint="eastAsia"/>
                <w:sz w:val="18"/>
              </w:rPr>
              <w:t>安全领域、机器人</w:t>
            </w:r>
          </w:p>
        </w:tc>
      </w:tr>
      <w:tr>
        <w:trPr/>
        <w:tc>
          <w:tcPr>
            <w:tcW w:w="500" w:type="dxa"/>
          </w:tcPr>
          <w:p w14:paraId="721FAA2C">
            <w:r>
              <w:rPr>
                <w:sz w:val="18"/>
              </w:rPr>
              <w:t>4</w:t>
            </w:r>
          </w:p>
        </w:tc>
        <w:tc>
          <w:tcPr>
            <w:tcW w:w="2200" w:type="dxa"/>
          </w:tcPr>
          <w:p w14:paraId="126DFB48">
            <w:r>
              <w:rPr>
                <w:rFonts w:hint="eastAsia"/>
                <w:sz w:val="18"/>
              </w:rPr>
              <w:t>具身智能能力与巡逻场景的适配要求</w:t>
            </w:r>
          </w:p>
        </w:tc>
        <w:tc>
          <w:tcPr>
            <w:tcW w:w="1900" w:type="dxa"/>
          </w:tcPr>
          <w:p w14:paraId="327B489D">
            <w:r>
              <w:rPr>
                <w:rFonts w:hint="eastAsia"/>
                <w:sz w:val="18"/>
              </w:rPr>
              <w:t>T2 能力指标不可测、与场景失配</w:t>
            </w:r>
          </w:p>
        </w:tc>
        <w:tc>
          <w:tcPr>
            <w:tcW w:w="1900" w:type="dxa"/>
          </w:tcPr>
          <w:p w14:paraId="08ABED68">
            <w:r>
              <w:rPr>
                <w:sz w:val="18"/>
              </w:rPr>
              <w:t>—</w:t>
            </w:r>
          </w:p>
        </w:tc>
        <w:tc>
          <w:tcPr>
            <w:tcW w:w="2000" w:type="dxa"/>
          </w:tcPr>
          <w:p w14:paraId="18DAB59B">
            <w:r>
              <w:rPr>
                <w:rFonts w:hint="eastAsia"/>
                <w:sz w:val="18"/>
              </w:rPr>
              <w:t>具身智能、技术</w:t>
            </w:r>
          </w:p>
        </w:tc>
      </w:tr>
      <w:tr>
        <w:trPr/>
        <w:tc>
          <w:tcPr>
            <w:tcW w:w="500" w:type="dxa"/>
          </w:tcPr>
          <w:p w14:paraId="17E50185">
            <w:r>
              <w:rPr>
                <w:sz w:val="18"/>
              </w:rPr>
              <w:t>5</w:t>
            </w:r>
          </w:p>
        </w:tc>
        <w:tc>
          <w:tcPr>
            <w:tcW w:w="2200" w:type="dxa"/>
          </w:tcPr>
          <w:p w14:paraId="6381B0F4">
            <w:r>
              <w:rPr>
                <w:rFonts w:hint="eastAsia"/>
                <w:sz w:val="18"/>
              </w:rPr>
              <w:t>倒地后自行恢复站立</w:t>
            </w:r>
          </w:p>
        </w:tc>
        <w:tc>
          <w:tcPr>
            <w:tcW w:w="1900" w:type="dxa"/>
          </w:tcPr>
          <w:p w14:paraId="25B757ED">
            <w:r>
              <w:rPr>
                <w:rFonts w:hint="eastAsia"/>
                <w:sz w:val="18"/>
              </w:rPr>
              <w:t>T3 本体可靠性与跌倒恢复</w:t>
            </w:r>
          </w:p>
        </w:tc>
        <w:tc>
          <w:tcPr>
            <w:tcW w:w="1900" w:type="dxa"/>
          </w:tcPr>
          <w:p w14:paraId="035FDFD8">
            <w:r>
              <w:rPr>
                <w:sz w:val="18"/>
              </w:rPr>
              <w:t>—</w:t>
            </w:r>
          </w:p>
        </w:tc>
        <w:tc>
          <w:tcPr>
            <w:tcW w:w="2000" w:type="dxa"/>
          </w:tcPr>
          <w:p w14:paraId="14762851">
            <w:r>
              <w:rPr>
                <w:rFonts w:hint="eastAsia"/>
                <w:sz w:val="18"/>
              </w:rPr>
              <w:t>机器人</w:t>
            </w:r>
          </w:p>
        </w:tc>
      </w:tr>
      <w:tr>
        <w:trPr/>
        <w:tc>
          <w:tcPr>
            <w:tcW w:w="500" w:type="dxa"/>
          </w:tcPr>
          <w:p w14:paraId="1356B657">
            <w:r>
              <w:rPr>
                <w:sz w:val="18"/>
              </w:rPr>
              <w:t>6</w:t>
            </w:r>
          </w:p>
        </w:tc>
        <w:tc>
          <w:tcPr>
            <w:tcW w:w="2200" w:type="dxa"/>
          </w:tcPr>
          <w:p w14:paraId="010076C2">
            <w:r>
              <w:rPr>
                <w:rFonts w:hint="eastAsia"/>
                <w:sz w:val="18"/>
              </w:rPr>
              <w:t>急停按钮弊端</w:t>
            </w:r>
          </w:p>
        </w:tc>
        <w:tc>
          <w:tcPr>
            <w:tcW w:w="1900" w:type="dxa"/>
          </w:tcPr>
          <w:p w14:paraId="2A00B5F9">
            <w:r>
              <w:rPr>
                <w:rFonts w:hint="eastAsia"/>
                <w:sz w:val="18"/>
              </w:rPr>
              <w:t>T8 急停物理与机制设计</w:t>
            </w:r>
          </w:p>
        </w:tc>
        <w:tc>
          <w:tcPr>
            <w:tcW w:w="1900" w:type="dxa"/>
          </w:tcPr>
          <w:p w14:paraId="53039414">
            <w:r>
              <w:rPr>
                <w:rFonts w:hint="eastAsia"/>
                <w:sz w:val="18"/>
              </w:rPr>
              <w:t>A3 现场秩序与告知义务</w:t>
            </w:r>
          </w:p>
        </w:tc>
        <w:tc>
          <w:tcPr>
            <w:tcW w:w="2000" w:type="dxa"/>
          </w:tcPr>
          <w:p w14:paraId="1EA4E27D">
            <w:r>
              <w:rPr>
                <w:rFonts w:hint="eastAsia"/>
                <w:sz w:val="18"/>
              </w:rPr>
              <w:t>安全领域、公共安全</w:t>
            </w:r>
          </w:p>
        </w:tc>
      </w:tr>
      <w:tr>
        <w:trPr/>
        <w:tc>
          <w:tcPr>
            <w:tcW w:w="500" w:type="dxa"/>
          </w:tcPr>
          <w:p w14:paraId="167973BF">
            <w:r>
              <w:rPr>
                <w:sz w:val="18"/>
              </w:rPr>
              <w:t>7</w:t>
            </w:r>
          </w:p>
        </w:tc>
        <w:tc>
          <w:tcPr>
            <w:tcW w:w="2200" w:type="dxa"/>
          </w:tcPr>
          <w:p w14:paraId="48818B9C">
            <w:r>
              <w:rPr>
                <w:rFonts w:hint="eastAsia"/>
                <w:sz w:val="18"/>
              </w:rPr>
              <w:t>联网接口</w:t>
            </w:r>
          </w:p>
        </w:tc>
        <w:tc>
          <w:tcPr>
            <w:tcW w:w="1900" w:type="dxa"/>
          </w:tcPr>
          <w:p w14:paraId="13DF72E5">
            <w:r>
              <w:rPr>
                <w:rFonts w:hint="eastAsia"/>
                <w:sz w:val="18"/>
              </w:rPr>
              <w:t>T6 接口规范与互操作缺失</w:t>
            </w:r>
          </w:p>
        </w:tc>
        <w:tc>
          <w:tcPr>
            <w:tcW w:w="1900" w:type="dxa"/>
          </w:tcPr>
          <w:p w14:paraId="5616D1CE">
            <w:r>
              <w:rPr>
                <w:rFonts w:hint="eastAsia"/>
                <w:sz w:val="18"/>
              </w:rPr>
              <w:t>A5 与既有安防业务未融合</w:t>
            </w:r>
          </w:p>
        </w:tc>
        <w:tc>
          <w:tcPr>
            <w:tcW w:w="2000" w:type="dxa"/>
          </w:tcPr>
          <w:p w14:paraId="44A5154A">
            <w:r>
              <w:rPr>
                <w:rFonts w:hint="eastAsia"/>
                <w:sz w:val="18"/>
              </w:rPr>
              <w:t>技术、无人机</w:t>
            </w:r>
          </w:p>
        </w:tc>
      </w:tr>
      <w:tr>
        <w:trPr/>
        <w:tc>
          <w:tcPr>
            <w:tcW w:w="500" w:type="dxa"/>
          </w:tcPr>
          <w:p w14:paraId="4381F954">
            <w:r>
              <w:rPr>
                <w:sz w:val="18"/>
              </w:rPr>
              <w:t>8</w:t>
            </w:r>
          </w:p>
        </w:tc>
        <w:tc>
          <w:tcPr>
            <w:tcW w:w="2200" w:type="dxa"/>
          </w:tcPr>
          <w:p w14:paraId="10009EE9">
            <w:r>
              <w:rPr>
                <w:rFonts w:hint="eastAsia"/>
                <w:sz w:val="18"/>
              </w:rPr>
              <w:t>数据集构建</w:t>
            </w:r>
          </w:p>
        </w:tc>
        <w:tc>
          <w:tcPr>
            <w:tcW w:w="1900" w:type="dxa"/>
          </w:tcPr>
          <w:p w14:paraId="5ADBF7FE">
            <w:r>
              <w:rPr>
                <w:rFonts w:hint="eastAsia"/>
                <w:sz w:val="18"/>
              </w:rPr>
              <w:t>T5 数据集与评测基准缺失</w:t>
            </w:r>
          </w:p>
        </w:tc>
        <w:tc>
          <w:tcPr>
            <w:tcW w:w="1900" w:type="dxa"/>
          </w:tcPr>
          <w:p w14:paraId="30642F92">
            <w:r>
              <w:rPr>
                <w:sz w:val="18"/>
              </w:rPr>
              <w:t>—</w:t>
            </w:r>
          </w:p>
        </w:tc>
        <w:tc>
          <w:tcPr>
            <w:tcW w:w="2000" w:type="dxa"/>
          </w:tcPr>
          <w:p w14:paraId="6B2B1E84">
            <w:r>
              <w:rPr>
                <w:rFonts w:hint="eastAsia"/>
                <w:sz w:val="18"/>
              </w:rPr>
              <w:t>具身智能</w:t>
            </w:r>
          </w:p>
        </w:tc>
      </w:tr>
      <w:tr>
        <w:trPr/>
        <w:tc>
          <w:tcPr>
            <w:tcW w:w="500" w:type="dxa"/>
          </w:tcPr>
          <w:p w14:paraId="6200BC86">
            <w:r>
              <w:rPr>
                <w:sz w:val="18"/>
              </w:rPr>
              <w:t>9</w:t>
            </w:r>
          </w:p>
        </w:tc>
        <w:tc>
          <w:tcPr>
            <w:tcW w:w="2200" w:type="dxa"/>
          </w:tcPr>
          <w:p w14:paraId="36818434">
            <w:r>
              <w:rPr>
                <w:rFonts w:hint="eastAsia"/>
                <w:sz w:val="18"/>
              </w:rPr>
              <w:t>合法合规性</w:t>
            </w:r>
          </w:p>
        </w:tc>
        <w:tc>
          <w:tcPr>
            <w:tcW w:w="1900" w:type="dxa"/>
          </w:tcPr>
          <w:p w14:paraId="56AC1528">
            <w:r>
              <w:rPr>
                <w:rFonts w:hint="eastAsia"/>
                <w:sz w:val="18"/>
              </w:rPr>
              <w:t>T4 可解释性与数据安全（部分）</w:t>
            </w:r>
          </w:p>
        </w:tc>
        <w:tc>
          <w:tcPr>
            <w:tcW w:w="1900" w:type="dxa"/>
          </w:tcPr>
          <w:p w14:paraId="7FBC14C5">
            <w:r>
              <w:rPr>
                <w:rFonts w:hint="eastAsia"/>
                <w:sz w:val="18"/>
              </w:rPr>
              <w:t>A4 责任划分与合规口径</w:t>
            </w:r>
          </w:p>
        </w:tc>
        <w:tc>
          <w:tcPr>
            <w:tcW w:w="2000" w:type="dxa"/>
          </w:tcPr>
          <w:p w14:paraId="4B49EBCE">
            <w:r>
              <w:rPr>
                <w:rFonts w:hint="eastAsia"/>
                <w:sz w:val="18"/>
              </w:rPr>
              <w:t>公共安全、安全领域</w:t>
            </w:r>
          </w:p>
        </w:tc>
      </w:tr>
      <w:tr>
        <w:trPr/>
        <w:tc>
          <w:tcPr>
            <w:tcW w:w="500" w:type="dxa"/>
          </w:tcPr>
          <w:p w14:paraId="5C3A5BDD">
            <w:r>
              <w:rPr>
                <w:sz w:val="18"/>
              </w:rPr>
              <w:t>10</w:t>
            </w:r>
          </w:p>
        </w:tc>
        <w:tc>
          <w:tcPr>
            <w:tcW w:w="2200" w:type="dxa"/>
          </w:tcPr>
          <w:p w14:paraId="4E5C7298">
            <w:r>
              <w:rPr>
                <w:rFonts w:hint="eastAsia"/>
                <w:sz w:val="18"/>
              </w:rPr>
              <w:t>......（占位）</w:t>
            </w:r>
          </w:p>
        </w:tc>
        <w:tc>
          <w:tcPr>
            <w:tcW w:w="1900" w:type="dxa"/>
          </w:tcPr>
          <w:p w14:paraId="30F2598A">
            <w:r>
              <w:rPr>
                <w:rFonts w:hint="eastAsia"/>
                <w:sz w:val="18"/>
              </w:rPr>
              <w:t>见第五章 C1–C9</w:t>
            </w:r>
          </w:p>
        </w:tc>
        <w:tc>
          <w:tcPr>
            <w:tcW w:w="1900" w:type="dxa"/>
          </w:tcPr>
          <w:p w14:paraId="1B81BD8C">
            <w:r>
              <w:rPr>
                <w:rFonts w:hint="eastAsia"/>
                <w:sz w:val="18"/>
              </w:rPr>
              <w:t>见第五章 C1–C9</w:t>
            </w:r>
          </w:p>
        </w:tc>
        <w:tc>
          <w:tcPr>
            <w:tcW w:w="2000" w:type="dxa"/>
          </w:tcPr>
          <w:p w14:paraId="2B9E4626">
            <w:r>
              <w:rPr>
                <w:rFonts w:hint="eastAsia"/>
                <w:sz w:val="18"/>
              </w:rPr>
              <w:t>六视角联合补充</w:t>
            </w:r>
          </w:p>
        </w:tc>
      </w:tr>
    </w:tbl>
    <w:p w14:paraId="62A43FB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1.2 技术层面难点归纳（T1–T8）</w:t>
      </w:r>
    </w:p>
    <w:p w14:paraId="34808A3E">
      <w:r>
        <w:t xml:space="preserve">T1 </w:t>
      </w:r>
      <w:r>
        <w:rPr>
          <w:rFonts w:hint="eastAsia"/>
          <w:b w:val="1"/>
        </w:rPr>
        <w:t>场景不可计算化</w:t>
      </w:r>
      <w:r>
        <w:rPr>
          <w:rFonts w:hint="eastAsia"/>
        </w:rPr>
        <w:t>：场景定义停留在自然语言层面，无法被系统解析，也无法索引到具体指标，导致需求无法转化为可测条目（源自 R1）。</w:t>
      </w:r>
    </w:p>
    <w:p w14:paraId="064AB780">
      <w:r>
        <w:t xml:space="preserve">T2 </w:t>
      </w:r>
      <w:r>
        <w:rPr>
          <w:rFonts w:hint="eastAsia"/>
          <w:b w:val="1"/>
        </w:rPr>
        <w:t>能力指标不可测、与场景失配</w:t>
      </w:r>
      <w:r>
        <w:rPr>
          <w:rFonts w:hint="eastAsia"/>
        </w:rPr>
        <w:t>：六类能力只有名称没有指标，缺少测量条件、判定准则与场景门槛，跨场景不可比（源自 R4）。</w:t>
      </w:r>
    </w:p>
    <w:p w14:paraId="0C640218">
      <w:r>
        <w:t xml:space="preserve">T3 </w:t>
      </w:r>
      <w:r>
        <w:rPr>
          <w:rFonts w:hint="eastAsia"/>
          <w:b w:val="1"/>
        </w:rPr>
        <w:t>本体可靠性与跌倒恢复能力不足</w:t>
      </w:r>
      <w:r>
        <w:rPr>
          <w:rFonts w:hint="eastAsia"/>
        </w:rPr>
        <w:t>：倒地后能否自行起立，被当作单一算法问题而非选型、形态、感知、策略、兜底五层工程问题（源自 R5）。</w:t>
      </w:r>
    </w:p>
    <w:p w14:paraId="7C6407C8">
      <w:r>
        <w:t xml:space="preserve">T4 </w:t>
      </w:r>
      <w:r>
        <w:rPr>
          <w:rFonts w:hint="eastAsia"/>
          <w:b w:val="1"/>
        </w:rPr>
        <w:t>全栈安全技术指标缺位</w:t>
      </w:r>
      <w:r>
        <w:rPr>
          <w:rFonts w:hint="eastAsia"/>
        </w:rPr>
        <w:t>：模型、本体、数据、网络、应用五个安全域均未给出指标与验证方法，无法测评、无法分级（源自 R3）。</w:t>
      </w:r>
    </w:p>
    <w:p w14:paraId="102C0B27">
      <w:r>
        <w:t xml:space="preserve">T5 </w:t>
      </w:r>
      <w:r>
        <w:rPr>
          <w:rFonts w:hint="eastAsia"/>
          <w:b w:val="1"/>
        </w:rPr>
        <w:t>高质量数据集与评测基准缺失</w:t>
      </w:r>
      <w:r>
        <w:rPr>
          <w:rFonts w:hint="eastAsia"/>
        </w:rPr>
        <w:t>：缺构建原则、类别数量与质量口径，训练与第三方评测均无共同基准（源自 R8）。</w:t>
      </w:r>
    </w:p>
    <w:p w14:paraId="62FA481A">
      <w:r>
        <w:t xml:space="preserve">T6 </w:t>
      </w:r>
      <w:r>
        <w:rPr>
          <w:rFonts w:hint="eastAsia"/>
          <w:b w:val="1"/>
        </w:rPr>
        <w:t>接口规范与互操作缺失</w:t>
      </w:r>
      <w:r>
        <w:rPr>
          <w:rFonts w:hint="eastAsia"/>
        </w:rPr>
        <w:t>：机器人与管理平台之间协议、接口功能、数据格式均未定义，与既有视频、报警、出入口系统难以互补，反而形成新的信息孤岛（源自 R7）。</w:t>
      </w:r>
    </w:p>
    <w:p w14:paraId="52CA730A">
      <w:r>
        <w:t xml:space="preserve">T7 </w:t>
      </w:r>
      <w:r>
        <w:rPr>
          <w:rFonts w:hint="eastAsia"/>
          <w:b w:val="1"/>
        </w:rPr>
        <w:t>人机协同缺乏技术支撑</w:t>
      </w:r>
      <w:r>
        <w:rPr>
          <w:rFonts w:hint="eastAsia"/>
        </w:rPr>
        <w:t>：状态共享、接管通道、告警可信度、职责可编程等技术能力未定义，协同机制没有落地载体（源自 R2）。</w:t>
      </w:r>
    </w:p>
    <w:p w14:paraId="003C248D">
      <w:r>
        <w:t xml:space="preserve">T8 </w:t>
      </w:r>
      <w:r>
        <w:rPr>
          <w:rFonts w:hint="eastAsia"/>
          <w:b w:val="1"/>
        </w:rPr>
        <w:t>急停装置的物理与机制设计存在风险</w:t>
      </w:r>
      <w:r>
        <w:rPr>
          <w:rFonts w:hint="eastAsia"/>
        </w:rPr>
        <w:t>：急停既可能被无关人员误触，也可能被恶意触发，而急停功能本身不可取消，必须在“可达”与“防误”之间做工程设计（源自 R6）。</w:t>
      </w:r>
    </w:p>
    <w:p w14:paraId="64DAC59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1.3 应用层面难点归纳（A1–A6）</w:t>
      </w:r>
    </w:p>
    <w:p w14:paraId="08130194">
      <w:r>
        <w:t xml:space="preserve">A1 </w:t>
      </w:r>
      <w:r>
        <w:rPr>
          <w:rFonts w:hint="eastAsia"/>
          <w:b w:val="1"/>
        </w:rPr>
        <w:t>巡逻场景与作业规范缺失</w:t>
      </w:r>
      <w:r>
        <w:rPr>
          <w:rFonts w:hint="eastAsia"/>
        </w:rPr>
        <w:t>：没有场景分级，就没有差异化的作业要求，巡逻频次、覆盖网格、交接班、记录留存均无依据（源自 R1）。</w:t>
      </w:r>
    </w:p>
    <w:p w14:paraId="21BD0CBE">
      <w:r>
        <w:t xml:space="preserve">A2 </w:t>
      </w:r>
      <w:r>
        <w:rPr>
          <w:rFonts w:hint="eastAsia"/>
          <w:b w:val="1"/>
        </w:rPr>
        <w:t>人员与机器人的职责边界未划定</w:t>
      </w:r>
      <w:r>
        <w:rPr>
          <w:rFonts w:hint="eastAsia"/>
        </w:rPr>
        <w:t>：机器人到底能自主做什么、必须等人确认什么、绝对禁止做什么，没有清单，导致要么越权、要么沦为移动摄像机（源自 R2）。</w:t>
      </w:r>
    </w:p>
    <w:p w14:paraId="1ECFAD44">
      <w:r>
        <w:t xml:space="preserve">A3 </w:t>
      </w:r>
      <w:r>
        <w:rPr>
          <w:rFonts w:hint="eastAsia"/>
          <w:b w:val="1"/>
        </w:rPr>
        <w:t>现场运营与公共秩序管理缺位</w:t>
      </w:r>
      <w:r>
        <w:rPr>
          <w:rFonts w:hint="eastAsia"/>
        </w:rPr>
        <w:t>：急停复位、围观劝阻、告知义务、现场处置流程均无规则（源自 R6，部分源自 R3）。</w:t>
      </w:r>
    </w:p>
    <w:p w14:paraId="735E2ADE">
      <w:r>
        <w:t xml:space="preserve">A4 </w:t>
      </w:r>
      <w:r>
        <w:rPr>
          <w:rFonts w:hint="eastAsia"/>
          <w:b w:val="1"/>
        </w:rPr>
        <w:t>事故责任划分与可解释性要求缺乏可操作口径</w:t>
      </w:r>
      <w:r>
        <w:rPr>
          <w:rFonts w:hint="eastAsia"/>
        </w:rPr>
        <w:t>：以“模型可解释”作为定责手段在技术上不成立，而生产者、运营者、操作者的责任边界未划分（源自 R9）。</w:t>
      </w:r>
    </w:p>
    <w:p w14:paraId="30BBA407">
      <w:r>
        <w:t xml:space="preserve">A5 </w:t>
      </w:r>
      <w:r>
        <w:rPr>
          <w:rFonts w:hint="eastAsia"/>
          <w:b w:val="1"/>
        </w:rPr>
        <w:t>与既有安防业务未融合</w:t>
      </w:r>
      <w:r>
        <w:rPr>
          <w:rFonts w:hint="eastAsia"/>
        </w:rPr>
        <w:t>：机器人告警与视频报警各自为政，会出现重复出警、两套系统两张皮（源自 R7）。</w:t>
      </w:r>
    </w:p>
    <w:p w14:paraId="7724DC62">
      <w:r>
        <w:t xml:space="preserve">A6 </w:t>
      </w:r>
      <w:r>
        <w:rPr>
          <w:rFonts w:hint="eastAsia"/>
          <w:b w:val="1"/>
        </w:rPr>
        <w:t>责任主体与治理机制缺位</w:t>
      </w:r>
      <w:r>
        <w:rPr>
          <w:rFonts w:hint="eastAsia"/>
        </w:rPr>
        <w:t>：原表“责任单位”一列全部空白——无主责即无落地，这是贯穿 R1–R9 的共性缺口。</w:t>
      </w:r>
    </w:p>
    <w:p w14:paraId="52BA1C7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1.4 一个必须点明的共性问题</w:t>
      </w:r>
    </w:p>
    <w:p w14:paraId="04645039">
      <w:r>
        <w:rPr>
          <w:rFonts w:hint="eastAsia"/>
        </w:rPr>
        <w:t>原表 9 条议题有一个共同特征：它们几乎都在问“标准应当规定什么”，而不是“技术能不能做到”。例如“规定哪些安全技术指标”“需给出具体化的、具有可行性的能力指标”“需详细给出传输协议、接口功能和数据格式”。这意味着解决路径不能只靠企业研发投入，必须由</w:t>
      </w:r>
      <w:r>
        <w:rPr>
          <w:rFonts w:hint="eastAsia"/>
          <w:b w:val="1"/>
        </w:rPr>
        <w:t>业务定义 + 技术实现 + 检测验证</w:t>
      </w:r>
      <w:r>
        <w:rPr>
          <w:rFonts w:hint="eastAsia"/>
        </w:rPr>
        <w:t>三方闭环：缺业务定义，指标就没有场景意义；缺技术实现，指标就是空话；缺检测验证，指标就无法验收。本报告在每条方案末尾都给出建议责任单位，正是针对这一共性缺口——原表留空的那一列，其实是最关键的一列。</w:t>
      </w:r>
    </w:p>
    <w:p w14:paraId="4FBD3D8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第二章 技术层难点与解决方案</w:t>
      </w:r>
    </w:p>
    <w:p w14:paraId="664A0A7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2.1 T1 场景不可计算化（对应 R1）</w:t>
      </w:r>
    </w:p>
    <w:p w14:paraId="65DA1A3B">
      <w:r>
        <w:rPr>
          <w:rFonts w:hint="eastAsia"/>
        </w:rPr>
        <w:t>【问题实质】R1 要求“按不同角度或维度定义安防巡逻场景，并在此基础上提出对机器人的技术能力要求”。真正的困难不在于缺少维度，而在于</w:t>
      </w:r>
      <w:r>
        <w:rPr>
          <w:rFonts w:hint="eastAsia"/>
          <w:b w:val="1"/>
        </w:rPr>
        <w:t>场景描述缺少可计算的本体与映射规则</w:t>
      </w:r>
      <w:r>
        <w:rPr>
          <w:rFonts w:hint="eastAsia"/>
        </w:rPr>
        <w:t>：“园区”“夜间”“人流较大”这类表述是自然语言，既不能被系统解析，也无法直接索引到指标项。后果是需求评审时各方各说各话，验收时无法判定“是否满足场景”。</w:t>
      </w:r>
    </w:p>
    <w:p w14:paraId="68174D7A">
      <w:r>
        <w:rPr>
          <w:rFonts w:hint="eastAsia"/>
        </w:rPr>
        <w:t>【解决方案】建立三层递进的“场景—能力”体系：一是场景标签体系（Scene Taxonomy），解决“用什么维度描述”；二是场景画像文件（Scene Profile），解决“如何让机器读懂”；三是场景—能力映射矩阵（S-C Matrix），解决“如何把标签变成门槛值”。</w:t>
      </w:r>
    </w:p>
    <w:p w14:paraId="785C958C">
      <w:r>
        <w:rPr>
          <w:rFonts w:hint="eastAsia"/>
        </w:rPr>
        <w:t>【设计实现思路】</w:t>
      </w:r>
    </w:p>
    <w:p w14:paraId="50581FB3">
      <w:r>
        <w:rPr>
          <w:rFonts w:hint="eastAsia"/>
        </w:rPr>
        <w:t>（1）场景标签体系采用四维结构。空间维：封闭园区、半开放区域、开放街区、室内楼宇、地下空间、涉水与野外。任务维：常规巡视、定点值守、通道管制、事件初查、伴随巡逻、专项排查。环境维：照度（大于 100 lx / 10–100 lx / 小于 10 lx）、气象（晴、雨、雪、雾、风力 6 级以上、高低温）、地面（铺装、草地、砂石、台阶、坡道）、通信（专网、公网、弱网、断网）、人流密度（小于 0.05、0.05–0.5、大于 0.5 人每平方米）、电磁环境（有反制装备、无反制装备）。风险维：参考公共安全风险分级 R1–R4（低、中、高、极高），由后果严重度与发生可能性两因子确定。</w:t>
      </w:r>
    </w:p>
    <w:p w14:paraId="3AD8099D">
      <w:r>
        <w:rPr>
          <w:rFonts w:hint="eastAsia"/>
        </w:rPr>
        <w:t>（2）场景画像文件给出机器可读的结构化定义，建议字段为：scene_id、space_type、task_type、risk_level、illuminance_lux（区间）、weather（枚举数组）、ground_type（枚举数组）、comm_mode、human_density_max、has_geofence、max_speed_allowed_mps、required_capabilities、forbidden_capabilities、evidence_retention_days、human_in_loop_required。字段一经固化，即成为平台、机器人、检测机构三方共同的数据契约。</w:t>
      </w:r>
    </w:p>
    <w:p w14:paraId="76971237">
      <w:r>
        <w:rPr>
          <w:rFonts w:hint="eastAsia"/>
        </w:rPr>
        <w:t xml:space="preserve">（3）场景—能力映射矩阵的构建规则有三条：一是门槛值取该场景最不利条件下的最低可接受水平，并对标称指标按 </w:t>
      </w:r>
      <w:r>
        <w:rPr>
          <w:rFonts w:hint="eastAsia"/>
          <w:b w:val="1"/>
        </w:rPr>
        <w:t>0.8 的降额系数</w:t>
      </w:r>
      <w:r>
        <w:rPr>
          <w:rFonts w:hint="eastAsia"/>
        </w:rPr>
        <w:t>折减，避免“实验室达标、现场不达标”；二是同一任务涉及多个标签时取“最严者优先”，即约束取交集；三是冲突时安全约束优先于效率约束（例如高人流密度场景下，覆盖率要求让位于安全距离要求）。</w:t>
      </w:r>
    </w:p>
    <w:p w14:paraId="16814252">
      <w:r>
        <w:rPr>
          <w:rFonts w:hint="eastAsia"/>
        </w:rPr>
        <w:t>（4）运行期机制：任务下发时携带 scene_profile，机器人加载对应能力配置集（Capability Profile Loading）；若自检结果不满足该画像的门槛值，</w:t>
      </w:r>
      <w:r>
        <w:rPr>
          <w:rFonts w:hint="eastAsia"/>
          <w:b w:val="1"/>
        </w:rPr>
        <w:t>拒绝执行并上报原因</w:t>
      </w:r>
      <w:r>
        <w:rPr>
          <w:rFonts w:hint="eastAsia"/>
        </w:rPr>
        <w:t>（fail-safe）。不允许“打折执行”——这是把指标变成约束的关键一步，否则矩阵只是文档。</w:t>
      </w:r>
    </w:p>
    <w:p w14:paraId="6071011B">
      <w:r>
        <w:rPr>
          <w:rFonts w:hint="eastAsia"/>
        </w:rPr>
        <w:t>（5）工程简化：把标签组合归并为 4 个作业等级 G1–G4——G1 室内平层低风险、G2 室外铺装园区、G3 复杂地形与夜间、G4 开放街区高密度。采购与验收按等级进行，避免每个项目重新定义一遍。</w:t>
      </w:r>
    </w:p>
    <w:p w14:paraId="447716F9">
      <w:r>
        <w:rPr>
          <w:rFonts w:hint="eastAsia"/>
        </w:rPr>
        <w:t>【关键指标与验收】场景标签覆盖率 100%（每条巡逻任务必须能映射到唯一定义）；映射矩阵中每一条门槛值必须有对应测试方法（要求—方法配对率 100%）；G1–G4 每级至少给出 1 套典型验收用例并完成实测。</w:t>
      </w:r>
    </w:p>
    <w:p w14:paraId="1F485EAF">
      <w:r>
        <w:rPr>
          <w:rFonts w:hint="eastAsia"/>
        </w:rPr>
        <w:t>【建议责任单位】行业主管部门负责场景分类与分级口径；用户单位提供真实场景标签与现场条件；标准归口机构（SAC/TC100 及 SC2、SAC/TC561）负责术语与分级条款；科研院所负责映射矩阵建模与验证。</w:t>
      </w:r>
    </w:p>
    <w:p w14:paraId="6948F8F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2.2 T2 能力指标不可测、与场景失配（对应 R4）</w:t>
      </w:r>
    </w:p>
    <w:p w14:paraId="70CB72D3">
      <w:r>
        <w:rPr>
          <w:rFonts w:hint="eastAsia"/>
        </w:rPr>
        <w:t>【问题实质】R4 列出训练推理、决策、执行、交互、学习及其他共六类能力，要求给出“具体化的、具有可行性的能力指标”。问题在于三处缺失：一是有能力名无指标（“决策能力”不是指标，“异常事件决策正确率”才是）；二是有指标无测量条件（未说明在何种光照、何种人流、何种算力下测）；三是不区分门槛值与目标值，导致招投标中指标被无意义地刷高。</w:t>
      </w:r>
    </w:p>
    <w:p w14:paraId="445BA533">
      <w:r>
        <w:rPr>
          <w:rFonts w:hint="eastAsia"/>
        </w:rPr>
        <w:t>【解决方案】建立“六域能力—两级取值—场景门槛”的指标体系：每类能力拆为 3–6 个可测量指标，每个指标同时给出门槛值（准入）与目标值（优选），每个指标绑定测试方法、样本量与判定准则，并用能力成熟度 E1–E4 表达装备整体水平，与场景等级 G1–G4 对齐（G1、G2 场景可用 E1–E2 级装备，G4 场景必须 E3 级以上）。</w:t>
      </w:r>
    </w:p>
    <w:p w14:paraId="51C8F405">
      <w:r>
        <w:rPr>
          <w:rFonts w:hint="eastAsia"/>
        </w:rPr>
        <w:t>【设计实现思路】六域指标清单（可直接作为招标与验收基线）：</w:t>
      </w:r>
    </w:p>
    <w:tbl>
      <w:tblPr>
        <w:tblW w:w="850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0"/>
        <w:gridCol w:w="2200"/>
        <w:gridCol w:w="2400"/>
        <w:gridCol w:w="2600"/>
      </w:tblGrid>
      <w:tr>
        <w:trPr>
          <w:tblHeader w:val="1"/>
        </w:trPr>
        <w:tc>
          <w:tcPr>
            <w:tcW w:w="1300" w:type="dxa"/>
          </w:tcPr>
          <w:p w14:paraId="7A4F7E8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能力域</w:t>
            </w:r>
          </w:p>
        </w:tc>
        <w:tc>
          <w:tcPr>
            <w:tcW w:w="2200" w:type="dxa"/>
          </w:tcPr>
          <w:p w14:paraId="0367E70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指标项</w:t>
            </w:r>
          </w:p>
        </w:tc>
        <w:tc>
          <w:tcPr>
            <w:tcW w:w="2400" w:type="dxa"/>
          </w:tcPr>
          <w:p w14:paraId="135EAFB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门槛值（准入）</w:t>
            </w:r>
          </w:p>
        </w:tc>
        <w:tc>
          <w:tcPr>
            <w:tcW w:w="2600" w:type="dxa"/>
          </w:tcPr>
          <w:p w14:paraId="2358562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目标值（优选）</w:t>
            </w:r>
          </w:p>
        </w:tc>
      </w:tr>
      <w:tr>
        <w:trPr/>
        <w:tc>
          <w:tcPr>
            <w:tcW w:w="1300" w:type="dxa"/>
          </w:tcPr>
          <w:p w14:paraId="11915632">
            <w:r>
              <w:rPr>
                <w:rFonts w:hint="eastAsia"/>
                <w:sz w:val="18"/>
              </w:rPr>
              <w:t>训练与推理</w:t>
            </w:r>
          </w:p>
        </w:tc>
        <w:tc>
          <w:tcPr>
            <w:tcW w:w="2200" w:type="dxa"/>
          </w:tcPr>
          <w:p w14:paraId="07DA163E">
            <w:r>
              <w:rPr>
                <w:rFonts w:hint="eastAsia"/>
                <w:sz w:val="18"/>
              </w:rPr>
              <w:t>端侧推理算力</w:t>
            </w:r>
          </w:p>
        </w:tc>
        <w:tc>
          <w:tcPr>
            <w:tcW w:w="2400" w:type="dxa"/>
          </w:tcPr>
          <w:p w14:paraId="63B0F4E4">
            <w:r>
              <w:rPr>
                <w:rFonts w:hint="eastAsia"/>
                <w:sz w:val="18"/>
              </w:rPr>
              <w:t>≥100 TOPS（INT8）或等效</w:t>
            </w:r>
          </w:p>
        </w:tc>
        <w:tc>
          <w:tcPr>
            <w:tcW w:w="2600" w:type="dxa"/>
          </w:tcPr>
          <w:p w14:paraId="3F55E31D">
            <w:r>
              <w:rPr>
                <w:sz w:val="18"/>
              </w:rPr>
              <w:t>≥200 TOPS</w:t>
            </w:r>
          </w:p>
        </w:tc>
      </w:tr>
      <w:tr>
        <w:trPr/>
        <w:tc>
          <w:tcPr>
            <w:tcW w:w="1300" w:type="dxa"/>
          </w:tcPr>
          <w:p w14:paraId="2D868319">
            <w:r>
              <w:rPr>
                <w:rFonts w:hint="eastAsia"/>
                <w:sz w:val="18"/>
              </w:rPr>
              <w:t>训练与推理</w:t>
            </w:r>
          </w:p>
        </w:tc>
        <w:tc>
          <w:tcPr>
            <w:tcW w:w="2200" w:type="dxa"/>
          </w:tcPr>
          <w:p w14:paraId="5F663239">
            <w:r>
              <w:rPr>
                <w:rFonts w:hint="eastAsia"/>
                <w:sz w:val="18"/>
              </w:rPr>
              <w:t>感知单帧推理时延</w:t>
            </w:r>
          </w:p>
        </w:tc>
        <w:tc>
          <w:tcPr>
            <w:tcW w:w="2400" w:type="dxa"/>
          </w:tcPr>
          <w:p w14:paraId="34143A21">
            <w:r>
              <w:rPr>
                <w:rFonts w:hint="eastAsia"/>
                <w:sz w:val="18"/>
              </w:rPr>
              <w:t>≤100 ms（95 分位）</w:t>
            </w:r>
          </w:p>
        </w:tc>
        <w:tc>
          <w:tcPr>
            <w:tcW w:w="2600" w:type="dxa"/>
          </w:tcPr>
          <w:p w14:paraId="25D5E62D">
            <w:r>
              <w:rPr>
                <w:sz w:val="18"/>
              </w:rPr>
              <w:t>≤50 ms</w:t>
            </w:r>
          </w:p>
        </w:tc>
      </w:tr>
      <w:tr>
        <w:trPr/>
        <w:tc>
          <w:tcPr>
            <w:tcW w:w="1300" w:type="dxa"/>
          </w:tcPr>
          <w:p w14:paraId="17828649">
            <w:r>
              <w:rPr>
                <w:rFonts w:hint="eastAsia"/>
                <w:sz w:val="18"/>
              </w:rPr>
              <w:t>训练与推理</w:t>
            </w:r>
          </w:p>
        </w:tc>
        <w:tc>
          <w:tcPr>
            <w:tcW w:w="2200" w:type="dxa"/>
          </w:tcPr>
          <w:p w14:paraId="6BE33F4A">
            <w:r>
              <w:rPr>
                <w:rFonts w:hint="eastAsia"/>
                <w:sz w:val="18"/>
              </w:rPr>
              <w:t>决策链路端到端时延</w:t>
            </w:r>
          </w:p>
        </w:tc>
        <w:tc>
          <w:tcPr>
            <w:tcW w:w="2400" w:type="dxa"/>
          </w:tcPr>
          <w:p w14:paraId="7BFB57D8">
            <w:r>
              <w:rPr>
                <w:sz w:val="18"/>
              </w:rPr>
              <w:t>≤500 ms</w:t>
            </w:r>
          </w:p>
        </w:tc>
        <w:tc>
          <w:tcPr>
            <w:tcW w:w="2600" w:type="dxa"/>
          </w:tcPr>
          <w:p w14:paraId="0BC8606A">
            <w:r>
              <w:rPr>
                <w:sz w:val="18"/>
              </w:rPr>
              <w:t>≤300 ms</w:t>
            </w:r>
          </w:p>
        </w:tc>
      </w:tr>
      <w:tr>
        <w:trPr/>
        <w:tc>
          <w:tcPr>
            <w:tcW w:w="1300" w:type="dxa"/>
          </w:tcPr>
          <w:p w14:paraId="75B1CC16">
            <w:r>
              <w:rPr>
                <w:rFonts w:hint="eastAsia"/>
                <w:sz w:val="18"/>
              </w:rPr>
              <w:t>训练与推理</w:t>
            </w:r>
          </w:p>
        </w:tc>
        <w:tc>
          <w:tcPr>
            <w:tcW w:w="2200" w:type="dxa"/>
          </w:tcPr>
          <w:p w14:paraId="05ACF480">
            <w:r>
              <w:rPr>
                <w:rFonts w:hint="eastAsia"/>
                <w:sz w:val="18"/>
              </w:rPr>
              <w:t>模型更新与回滚</w:t>
            </w:r>
          </w:p>
        </w:tc>
        <w:tc>
          <w:tcPr>
            <w:tcW w:w="2400" w:type="dxa"/>
          </w:tcPr>
          <w:p w14:paraId="0706997B">
            <w:r>
              <w:rPr>
                <w:rFonts w:hint="eastAsia"/>
                <w:sz w:val="18"/>
              </w:rPr>
              <w:t>支持 OTA 增量更新，可回滚</w:t>
            </w:r>
          </w:p>
        </w:tc>
        <w:tc>
          <w:tcPr>
            <w:tcW w:w="2600" w:type="dxa"/>
          </w:tcPr>
          <w:p w14:paraId="6291C372">
            <w:r>
              <w:rPr>
                <w:rFonts w:hint="eastAsia"/>
                <w:sz w:val="18"/>
              </w:rPr>
              <w:t>回滚 ≤3 min，灰度发布</w:t>
            </w:r>
          </w:p>
        </w:tc>
      </w:tr>
      <w:tr>
        <w:trPr/>
        <w:tc>
          <w:tcPr>
            <w:tcW w:w="1300" w:type="dxa"/>
          </w:tcPr>
          <w:p w14:paraId="6C2A1BCE">
            <w:r>
              <w:rPr>
                <w:rFonts w:hint="eastAsia"/>
                <w:sz w:val="18"/>
              </w:rPr>
              <w:t>训练与推理</w:t>
            </w:r>
          </w:p>
        </w:tc>
        <w:tc>
          <w:tcPr>
            <w:tcW w:w="2200" w:type="dxa"/>
          </w:tcPr>
          <w:p w14:paraId="5E631B4A">
            <w:r>
              <w:rPr>
                <w:rFonts w:hint="eastAsia"/>
                <w:sz w:val="18"/>
              </w:rPr>
              <w:t>数据闭环周期</w:t>
            </w:r>
          </w:p>
        </w:tc>
        <w:tc>
          <w:tcPr>
            <w:tcW w:w="2400" w:type="dxa"/>
          </w:tcPr>
          <w:p w14:paraId="5F828D64">
            <w:r>
              <w:rPr>
                <w:rFonts w:hint="eastAsia"/>
                <w:sz w:val="18"/>
              </w:rPr>
              <w:t>新场景数据到模型发布 ≤2 周</w:t>
            </w:r>
          </w:p>
        </w:tc>
        <w:tc>
          <w:tcPr>
            <w:tcW w:w="2600" w:type="dxa"/>
          </w:tcPr>
          <w:p w14:paraId="0575B02D">
            <w:r>
              <w:rPr>
                <w:rFonts w:hint="eastAsia"/>
                <w:sz w:val="18"/>
              </w:rPr>
              <w:t>≤1 周</w:t>
            </w:r>
          </w:p>
        </w:tc>
      </w:tr>
      <w:tr>
        <w:trPr/>
        <w:tc>
          <w:tcPr>
            <w:tcW w:w="1300" w:type="dxa"/>
          </w:tcPr>
          <w:p w14:paraId="2C6D399F">
            <w:r>
              <w:rPr>
                <w:rFonts w:hint="eastAsia"/>
                <w:sz w:val="18"/>
              </w:rPr>
              <w:t>决策</w:t>
            </w:r>
          </w:p>
        </w:tc>
        <w:tc>
          <w:tcPr>
            <w:tcW w:w="2200" w:type="dxa"/>
          </w:tcPr>
          <w:p w14:paraId="59DE2182">
            <w:r>
              <w:rPr>
                <w:rFonts w:hint="eastAsia"/>
                <w:sz w:val="18"/>
              </w:rPr>
              <w:t>分层结构</w:t>
            </w:r>
          </w:p>
        </w:tc>
        <w:tc>
          <w:tcPr>
            <w:tcW w:w="2400" w:type="dxa"/>
          </w:tcPr>
          <w:p w14:paraId="5B575E78">
            <w:r>
              <w:rPr>
                <w:rFonts w:hint="eastAsia"/>
                <w:sz w:val="18"/>
              </w:rPr>
              <w:t>任务层＋行为层＋运动层三层解耦</w:t>
            </w:r>
          </w:p>
        </w:tc>
        <w:tc>
          <w:tcPr>
            <w:tcW w:w="2600" w:type="dxa"/>
          </w:tcPr>
          <w:p w14:paraId="6C6C57AC">
            <w:r>
              <w:rPr>
                <w:rFonts w:hint="eastAsia"/>
                <w:sz w:val="18"/>
              </w:rPr>
              <w:t>任务层支持自然语言指令</w:t>
            </w:r>
          </w:p>
        </w:tc>
      </w:tr>
      <w:tr>
        <w:trPr/>
        <w:tc>
          <w:tcPr>
            <w:tcW w:w="1300" w:type="dxa"/>
          </w:tcPr>
          <w:p w14:paraId="7B69EF53">
            <w:r>
              <w:rPr>
                <w:rFonts w:hint="eastAsia"/>
                <w:sz w:val="18"/>
              </w:rPr>
              <w:t>决策</w:t>
            </w:r>
          </w:p>
        </w:tc>
        <w:tc>
          <w:tcPr>
            <w:tcW w:w="2200" w:type="dxa"/>
          </w:tcPr>
          <w:p w14:paraId="0B7CD8C7">
            <w:r>
              <w:rPr>
                <w:rFonts w:hint="eastAsia"/>
                <w:sz w:val="18"/>
              </w:rPr>
              <w:t>运动层规划频率</w:t>
            </w:r>
          </w:p>
        </w:tc>
        <w:tc>
          <w:tcPr>
            <w:tcW w:w="2400" w:type="dxa"/>
          </w:tcPr>
          <w:p w14:paraId="74BB5553">
            <w:r>
              <w:rPr>
                <w:sz w:val="18"/>
              </w:rPr>
              <w:t>≥50 Hz</w:t>
            </w:r>
          </w:p>
        </w:tc>
        <w:tc>
          <w:tcPr>
            <w:tcW w:w="2600" w:type="dxa"/>
          </w:tcPr>
          <w:p w14:paraId="04387DAF">
            <w:r>
              <w:rPr>
                <w:sz w:val="18"/>
              </w:rPr>
              <w:t>≥100 Hz</w:t>
            </w:r>
          </w:p>
        </w:tc>
      </w:tr>
      <w:tr>
        <w:trPr/>
        <w:tc>
          <w:tcPr>
            <w:tcW w:w="1300" w:type="dxa"/>
          </w:tcPr>
          <w:p w14:paraId="134ACA7D">
            <w:r>
              <w:rPr>
                <w:rFonts w:hint="eastAsia"/>
                <w:sz w:val="18"/>
              </w:rPr>
              <w:t>决策</w:t>
            </w:r>
          </w:p>
        </w:tc>
        <w:tc>
          <w:tcPr>
            <w:tcW w:w="2200" w:type="dxa"/>
          </w:tcPr>
          <w:p w14:paraId="60B9FC97">
            <w:r>
              <w:rPr>
                <w:rFonts w:hint="eastAsia"/>
                <w:sz w:val="18"/>
              </w:rPr>
              <w:t>异常事件决策正确率</w:t>
            </w:r>
          </w:p>
        </w:tc>
        <w:tc>
          <w:tcPr>
            <w:tcW w:w="2400" w:type="dxa"/>
          </w:tcPr>
          <w:p w14:paraId="7990CA09">
            <w:r>
              <w:rPr>
                <w:rFonts w:hint="eastAsia"/>
                <w:sz w:val="18"/>
              </w:rPr>
              <w:t>≥95%（标准测试集）</w:t>
            </w:r>
          </w:p>
        </w:tc>
        <w:tc>
          <w:tcPr>
            <w:tcW w:w="2600" w:type="dxa"/>
          </w:tcPr>
          <w:p w14:paraId="26C7B330">
            <w:r>
              <w:rPr>
                <w:sz w:val="18"/>
              </w:rPr>
              <w:t>≥98%</w:t>
            </w:r>
          </w:p>
        </w:tc>
      </w:tr>
      <w:tr>
        <w:trPr/>
        <w:tc>
          <w:tcPr>
            <w:tcW w:w="1300" w:type="dxa"/>
          </w:tcPr>
          <w:p w14:paraId="4DFFB898">
            <w:r>
              <w:rPr>
                <w:rFonts w:hint="eastAsia"/>
                <w:sz w:val="18"/>
              </w:rPr>
              <w:t>决策</w:t>
            </w:r>
          </w:p>
        </w:tc>
        <w:tc>
          <w:tcPr>
            <w:tcW w:w="2200" w:type="dxa"/>
          </w:tcPr>
          <w:p w14:paraId="5DF89026">
            <w:r>
              <w:rPr>
                <w:rFonts w:hint="eastAsia"/>
                <w:sz w:val="18"/>
              </w:rPr>
              <w:t>任务重规划时延</w:t>
            </w:r>
          </w:p>
        </w:tc>
        <w:tc>
          <w:tcPr>
            <w:tcW w:w="2400" w:type="dxa"/>
          </w:tcPr>
          <w:p w14:paraId="0A019D71">
            <w:r>
              <w:rPr>
                <w:sz w:val="18"/>
              </w:rPr>
              <w:t>≤1 s</w:t>
            </w:r>
          </w:p>
        </w:tc>
        <w:tc>
          <w:tcPr>
            <w:tcW w:w="2600" w:type="dxa"/>
          </w:tcPr>
          <w:p w14:paraId="1A3175CD">
            <w:r>
              <w:rPr>
                <w:sz w:val="18"/>
              </w:rPr>
              <w:t>≤500 ms</w:t>
            </w:r>
          </w:p>
        </w:tc>
      </w:tr>
      <w:tr>
        <w:trPr/>
        <w:tc>
          <w:tcPr>
            <w:tcW w:w="1300" w:type="dxa"/>
          </w:tcPr>
          <w:p w14:paraId="2102EE5C">
            <w:r>
              <w:rPr>
                <w:rFonts w:hint="eastAsia"/>
                <w:sz w:val="18"/>
              </w:rPr>
              <w:t>决策</w:t>
            </w:r>
          </w:p>
        </w:tc>
        <w:tc>
          <w:tcPr>
            <w:tcW w:w="2200" w:type="dxa"/>
          </w:tcPr>
          <w:p w14:paraId="0D839933">
            <w:r>
              <w:rPr>
                <w:rFonts w:hint="eastAsia"/>
                <w:sz w:val="18"/>
              </w:rPr>
              <w:t>决策可追溯</w:t>
            </w:r>
          </w:p>
        </w:tc>
        <w:tc>
          <w:tcPr>
            <w:tcW w:w="2400" w:type="dxa"/>
          </w:tcPr>
          <w:p w14:paraId="1E15E61F">
            <w:r>
              <w:rPr>
                <w:rFonts w:hint="eastAsia"/>
                <w:sz w:val="18"/>
              </w:rPr>
              <w:t>输出须携带依据链（输入、规则/模型版本、置信度）</w:t>
            </w:r>
          </w:p>
        </w:tc>
        <w:tc>
          <w:tcPr>
            <w:tcW w:w="2600" w:type="dxa"/>
          </w:tcPr>
          <w:p w14:paraId="0856C603">
            <w:r>
              <w:rPr>
                <w:rFonts w:hint="eastAsia"/>
                <w:sz w:val="18"/>
              </w:rPr>
              <w:t>可交互式回放</w:t>
            </w:r>
          </w:p>
        </w:tc>
      </w:tr>
      <w:tr>
        <w:trPr/>
        <w:tc>
          <w:tcPr>
            <w:tcW w:w="1300" w:type="dxa"/>
          </w:tcPr>
          <w:p w14:paraId="176F3896">
            <w:r>
              <w:rPr>
                <w:rFonts w:hint="eastAsia"/>
                <w:sz w:val="18"/>
              </w:rPr>
              <w:t>执行</w:t>
            </w:r>
          </w:p>
        </w:tc>
        <w:tc>
          <w:tcPr>
            <w:tcW w:w="2200" w:type="dxa"/>
          </w:tcPr>
          <w:p w14:paraId="5C3E2D74">
            <w:r>
              <w:rPr>
                <w:rFonts w:hint="eastAsia"/>
                <w:sz w:val="18"/>
              </w:rPr>
              <w:t>巡检速度</w:t>
            </w:r>
          </w:p>
        </w:tc>
        <w:tc>
          <w:tcPr>
            <w:tcW w:w="2400" w:type="dxa"/>
          </w:tcPr>
          <w:p w14:paraId="38BC2D7C">
            <w:r>
              <w:rPr>
                <w:rFonts w:hint="eastAsia"/>
                <w:sz w:val="18"/>
              </w:rPr>
              <w:t>0.5–1.5 m/s 可调</w:t>
            </w:r>
          </w:p>
        </w:tc>
        <w:tc>
          <w:tcPr>
            <w:tcW w:w="2600" w:type="dxa"/>
          </w:tcPr>
          <w:p w14:paraId="4881A4CA">
            <w:r>
              <w:rPr>
                <w:rFonts w:hint="eastAsia"/>
                <w:sz w:val="18"/>
              </w:rPr>
              <w:t>分级自适应调速</w:t>
            </w:r>
          </w:p>
        </w:tc>
      </w:tr>
      <w:tr>
        <w:trPr/>
        <w:tc>
          <w:tcPr>
            <w:tcW w:w="1300" w:type="dxa"/>
          </w:tcPr>
          <w:p w14:paraId="57AC1A47">
            <w:r>
              <w:rPr>
                <w:rFonts w:hint="eastAsia"/>
                <w:sz w:val="18"/>
              </w:rPr>
              <w:t>执行</w:t>
            </w:r>
          </w:p>
        </w:tc>
        <w:tc>
          <w:tcPr>
            <w:tcW w:w="2200" w:type="dxa"/>
          </w:tcPr>
          <w:p w14:paraId="22143BB4">
            <w:r>
              <w:rPr>
                <w:rFonts w:hint="eastAsia"/>
                <w:sz w:val="18"/>
              </w:rPr>
              <w:t>越障与爬坡</w:t>
            </w:r>
          </w:p>
        </w:tc>
        <w:tc>
          <w:tcPr>
            <w:tcW w:w="2400" w:type="dxa"/>
          </w:tcPr>
          <w:p w14:paraId="17B5C478">
            <w:r>
              <w:rPr>
                <w:rFonts w:hint="eastAsia"/>
                <w:sz w:val="18"/>
              </w:rPr>
              <w:t>越障 ≥10 cm、爬坡 ≥15°、越沟 ≤30 cm</w:t>
            </w:r>
          </w:p>
        </w:tc>
        <w:tc>
          <w:tcPr>
            <w:tcW w:w="2600" w:type="dxa"/>
          </w:tcPr>
          <w:p w14:paraId="545F3EAD">
            <w:r>
              <w:rPr>
                <w:rFonts w:hint="eastAsia"/>
                <w:sz w:val="18"/>
              </w:rPr>
              <w:t>越障 ≥15 cm、爬坡 ≥20°</w:t>
            </w:r>
          </w:p>
        </w:tc>
      </w:tr>
      <w:tr>
        <w:trPr/>
        <w:tc>
          <w:tcPr>
            <w:tcW w:w="1300" w:type="dxa"/>
          </w:tcPr>
          <w:p w14:paraId="7D77B8E3">
            <w:r>
              <w:rPr>
                <w:rFonts w:hint="eastAsia"/>
                <w:sz w:val="18"/>
              </w:rPr>
              <w:t>执行</w:t>
            </w:r>
          </w:p>
        </w:tc>
        <w:tc>
          <w:tcPr>
            <w:tcW w:w="2200" w:type="dxa"/>
          </w:tcPr>
          <w:p w14:paraId="28C88726">
            <w:r>
              <w:rPr>
                <w:rFonts w:hint="eastAsia"/>
                <w:sz w:val="18"/>
              </w:rPr>
              <w:t>定位精度</w:t>
            </w:r>
          </w:p>
        </w:tc>
        <w:tc>
          <w:tcPr>
            <w:tcW w:w="2400" w:type="dxa"/>
          </w:tcPr>
          <w:p w14:paraId="61B436A9">
            <w:r>
              <w:rPr>
                <w:rFonts w:hint="eastAsia"/>
                <w:sz w:val="18"/>
              </w:rPr>
              <w:t>室外 RTK ≤10 cm、室内 ≤20 cm（CEP95）</w:t>
            </w:r>
          </w:p>
        </w:tc>
        <w:tc>
          <w:tcPr>
            <w:tcW w:w="2600" w:type="dxa"/>
          </w:tcPr>
          <w:p w14:paraId="5A6AD9FB">
            <w:r>
              <w:rPr>
                <w:rFonts w:hint="eastAsia"/>
                <w:sz w:val="18"/>
              </w:rPr>
              <w:t>融合定位 ≤5 cm</w:t>
            </w:r>
          </w:p>
        </w:tc>
      </w:tr>
      <w:tr>
        <w:trPr/>
        <w:tc>
          <w:tcPr>
            <w:tcW w:w="1300" w:type="dxa"/>
          </w:tcPr>
          <w:p w14:paraId="63788111">
            <w:r>
              <w:rPr>
                <w:rFonts w:hint="eastAsia"/>
                <w:sz w:val="18"/>
              </w:rPr>
              <w:t>执行</w:t>
            </w:r>
          </w:p>
        </w:tc>
        <w:tc>
          <w:tcPr>
            <w:tcW w:w="2200" w:type="dxa"/>
          </w:tcPr>
          <w:p w14:paraId="4CC982BD">
            <w:r>
              <w:rPr>
                <w:rFonts w:hint="eastAsia"/>
                <w:sz w:val="18"/>
              </w:rPr>
              <w:t>重定位时间</w:t>
            </w:r>
          </w:p>
        </w:tc>
        <w:tc>
          <w:tcPr>
            <w:tcW w:w="2400" w:type="dxa"/>
          </w:tcPr>
          <w:p w14:paraId="7A1E6A84">
            <w:r>
              <w:rPr>
                <w:sz w:val="18"/>
              </w:rPr>
              <w:t>≤5 s</w:t>
            </w:r>
          </w:p>
        </w:tc>
        <w:tc>
          <w:tcPr>
            <w:tcW w:w="2600" w:type="dxa"/>
          </w:tcPr>
          <w:p w14:paraId="214ED476">
            <w:r>
              <w:rPr>
                <w:sz w:val="18"/>
              </w:rPr>
              <w:t>≤2 s</w:t>
            </w:r>
          </w:p>
        </w:tc>
      </w:tr>
      <w:tr>
        <w:trPr/>
        <w:tc>
          <w:tcPr>
            <w:tcW w:w="1300" w:type="dxa"/>
          </w:tcPr>
          <w:p w14:paraId="4EA71B35">
            <w:r>
              <w:rPr>
                <w:rFonts w:hint="eastAsia"/>
                <w:sz w:val="18"/>
              </w:rPr>
              <w:t>执行</w:t>
            </w:r>
          </w:p>
        </w:tc>
        <w:tc>
          <w:tcPr>
            <w:tcW w:w="2200" w:type="dxa"/>
          </w:tcPr>
          <w:p w14:paraId="02C89C6E">
            <w:r>
              <w:rPr>
                <w:rFonts w:hint="eastAsia"/>
                <w:sz w:val="18"/>
              </w:rPr>
              <w:t>操作能力（如配置）</w:t>
            </w:r>
          </w:p>
        </w:tc>
        <w:tc>
          <w:tcPr>
            <w:tcW w:w="2400" w:type="dxa"/>
          </w:tcPr>
          <w:p w14:paraId="4BBAC5C9">
            <w:r>
              <w:rPr>
                <w:rFonts w:hint="eastAsia"/>
                <w:sz w:val="18"/>
              </w:rPr>
              <w:t>负载 ≥3 kg、重复定位精度 ≤2 mm</w:t>
            </w:r>
          </w:p>
        </w:tc>
        <w:tc>
          <w:tcPr>
            <w:tcW w:w="2600" w:type="dxa"/>
          </w:tcPr>
          <w:p w14:paraId="01632920">
            <w:r>
              <w:rPr>
                <w:rFonts w:hint="eastAsia"/>
                <w:sz w:val="18"/>
              </w:rPr>
              <w:t>开门/按键成功率 ≥95%</w:t>
            </w:r>
          </w:p>
        </w:tc>
      </w:tr>
      <w:tr>
        <w:trPr/>
        <w:tc>
          <w:tcPr>
            <w:tcW w:w="1300" w:type="dxa"/>
          </w:tcPr>
          <w:p w14:paraId="2E10A6EB">
            <w:r>
              <w:rPr>
                <w:rFonts w:hint="eastAsia"/>
                <w:sz w:val="18"/>
              </w:rPr>
              <w:t>执行</w:t>
            </w:r>
          </w:p>
        </w:tc>
        <w:tc>
          <w:tcPr>
            <w:tcW w:w="2200" w:type="dxa"/>
          </w:tcPr>
          <w:p w14:paraId="55C8B891">
            <w:r>
              <w:rPr>
                <w:rFonts w:hint="eastAsia"/>
                <w:sz w:val="18"/>
              </w:rPr>
              <w:t>制动距离</w:t>
            </w:r>
          </w:p>
        </w:tc>
        <w:tc>
          <w:tcPr>
            <w:tcW w:w="2400" w:type="dxa"/>
          </w:tcPr>
          <w:p w14:paraId="751C177C">
            <w:r>
              <w:rPr>
                <w:rFonts w:hint="eastAsia"/>
                <w:sz w:val="18"/>
              </w:rPr>
              <w:t>1.5 m/s 下 ≤0.3 m</w:t>
            </w:r>
          </w:p>
        </w:tc>
        <w:tc>
          <w:tcPr>
            <w:tcW w:w="2600" w:type="dxa"/>
          </w:tcPr>
          <w:p w14:paraId="675F56F8">
            <w:r>
              <w:rPr>
                <w:sz w:val="18"/>
              </w:rPr>
              <w:t>≤0.2 m</w:t>
            </w:r>
          </w:p>
        </w:tc>
      </w:tr>
      <w:tr>
        <w:trPr/>
        <w:tc>
          <w:tcPr>
            <w:tcW w:w="1300" w:type="dxa"/>
          </w:tcPr>
          <w:p w14:paraId="0C271C20">
            <w:r>
              <w:rPr>
                <w:rFonts w:hint="eastAsia"/>
                <w:sz w:val="18"/>
              </w:rPr>
              <w:t>交互</w:t>
            </w:r>
          </w:p>
        </w:tc>
        <w:tc>
          <w:tcPr>
            <w:tcW w:w="2200" w:type="dxa"/>
          </w:tcPr>
          <w:p w14:paraId="59BF25B7">
            <w:r>
              <w:rPr>
                <w:rFonts w:hint="eastAsia"/>
                <w:sz w:val="18"/>
              </w:rPr>
              <w:t>语音唤醒率</w:t>
            </w:r>
          </w:p>
        </w:tc>
        <w:tc>
          <w:tcPr>
            <w:tcW w:w="2400" w:type="dxa"/>
          </w:tcPr>
          <w:p w14:paraId="422522FD">
            <w:r>
              <w:rPr>
                <w:rFonts w:hint="eastAsia"/>
                <w:sz w:val="18"/>
              </w:rPr>
              <w:t>≥95%（3 m、噪声 ≤60 dB）</w:t>
            </w:r>
          </w:p>
        </w:tc>
        <w:tc>
          <w:tcPr>
            <w:tcW w:w="2600" w:type="dxa"/>
          </w:tcPr>
          <w:p w14:paraId="092A4354">
            <w:r>
              <w:rPr>
                <w:sz w:val="18"/>
              </w:rPr>
              <w:t>≥98%</w:t>
            </w:r>
          </w:p>
        </w:tc>
      </w:tr>
      <w:tr>
        <w:trPr/>
        <w:tc>
          <w:tcPr>
            <w:tcW w:w="1300" w:type="dxa"/>
          </w:tcPr>
          <w:p w14:paraId="163BB327">
            <w:r>
              <w:rPr>
                <w:rFonts w:hint="eastAsia"/>
                <w:sz w:val="18"/>
              </w:rPr>
              <w:t>交互</w:t>
            </w:r>
          </w:p>
        </w:tc>
        <w:tc>
          <w:tcPr>
            <w:tcW w:w="2200" w:type="dxa"/>
          </w:tcPr>
          <w:p w14:paraId="263A5BAB">
            <w:r>
              <w:rPr>
                <w:rFonts w:hint="eastAsia"/>
                <w:sz w:val="18"/>
              </w:rPr>
              <w:t>语音识别字错率</w:t>
            </w:r>
          </w:p>
        </w:tc>
        <w:tc>
          <w:tcPr>
            <w:tcW w:w="2400" w:type="dxa"/>
          </w:tcPr>
          <w:p w14:paraId="2BA64A79">
            <w:r>
              <w:rPr>
                <w:rFonts w:hint="eastAsia"/>
                <w:sz w:val="18"/>
              </w:rPr>
              <w:t>≤5%（安静）、≤15%（70 dB）</w:t>
            </w:r>
          </w:p>
        </w:tc>
        <w:tc>
          <w:tcPr>
            <w:tcW w:w="2600" w:type="dxa"/>
          </w:tcPr>
          <w:p w14:paraId="1D47B02B">
            <w:r>
              <w:rPr>
                <w:sz w:val="18"/>
              </w:rPr>
              <w:t>≤3% / ≤10%</w:t>
            </w:r>
          </w:p>
        </w:tc>
      </w:tr>
      <w:tr>
        <w:trPr/>
        <w:tc>
          <w:tcPr>
            <w:tcW w:w="1300" w:type="dxa"/>
          </w:tcPr>
          <w:p w14:paraId="2A4F267D">
            <w:r>
              <w:rPr>
                <w:rFonts w:hint="eastAsia"/>
                <w:sz w:val="18"/>
              </w:rPr>
              <w:t>交互</w:t>
            </w:r>
          </w:p>
        </w:tc>
        <w:tc>
          <w:tcPr>
            <w:tcW w:w="2200" w:type="dxa"/>
          </w:tcPr>
          <w:p w14:paraId="3A48FEF1">
            <w:r>
              <w:rPr>
                <w:rFonts w:hint="eastAsia"/>
                <w:sz w:val="18"/>
              </w:rPr>
              <w:t>唤醒到响应时延</w:t>
            </w:r>
          </w:p>
        </w:tc>
        <w:tc>
          <w:tcPr>
            <w:tcW w:w="2400" w:type="dxa"/>
          </w:tcPr>
          <w:p w14:paraId="60864E4A">
            <w:r>
              <w:rPr>
                <w:sz w:val="18"/>
              </w:rPr>
              <w:t>≤1 s</w:t>
            </w:r>
          </w:p>
        </w:tc>
        <w:tc>
          <w:tcPr>
            <w:tcW w:w="2600" w:type="dxa"/>
          </w:tcPr>
          <w:p w14:paraId="709197C8">
            <w:r>
              <w:rPr>
                <w:sz w:val="18"/>
              </w:rPr>
              <w:t>≤500 ms</w:t>
            </w:r>
          </w:p>
        </w:tc>
      </w:tr>
      <w:tr>
        <w:trPr/>
        <w:tc>
          <w:tcPr>
            <w:tcW w:w="1300" w:type="dxa"/>
          </w:tcPr>
          <w:p w14:paraId="1982DFB3">
            <w:r>
              <w:rPr>
                <w:rFonts w:hint="eastAsia"/>
                <w:sz w:val="18"/>
              </w:rPr>
              <w:t>交互</w:t>
            </w:r>
          </w:p>
        </w:tc>
        <w:tc>
          <w:tcPr>
            <w:tcW w:w="2200" w:type="dxa"/>
          </w:tcPr>
          <w:p w14:paraId="4FDBCEDE">
            <w:r>
              <w:rPr>
                <w:rFonts w:hint="eastAsia"/>
                <w:sz w:val="18"/>
              </w:rPr>
              <w:t>远程接管建立时延</w:t>
            </w:r>
          </w:p>
        </w:tc>
        <w:tc>
          <w:tcPr>
            <w:tcW w:w="2400" w:type="dxa"/>
          </w:tcPr>
          <w:p w14:paraId="0DB99505">
            <w:r>
              <w:rPr>
                <w:rFonts w:hint="eastAsia"/>
                <w:sz w:val="18"/>
              </w:rPr>
              <w:t>≤2 s，视频回传 ≤500 ms</w:t>
            </w:r>
          </w:p>
        </w:tc>
        <w:tc>
          <w:tcPr>
            <w:tcW w:w="2600" w:type="dxa"/>
          </w:tcPr>
          <w:p w14:paraId="6E26D2FC">
            <w:r>
              <w:rPr>
                <w:sz w:val="18"/>
              </w:rPr>
              <w:t>≤1 s / ≤300 ms</w:t>
            </w:r>
          </w:p>
        </w:tc>
      </w:tr>
      <w:tr>
        <w:trPr/>
        <w:tc>
          <w:tcPr>
            <w:tcW w:w="1300" w:type="dxa"/>
          </w:tcPr>
          <w:p w14:paraId="76DF6AAB">
            <w:r>
              <w:rPr>
                <w:rFonts w:hint="eastAsia"/>
                <w:sz w:val="18"/>
              </w:rPr>
              <w:t>学习</w:t>
            </w:r>
          </w:p>
        </w:tc>
        <w:tc>
          <w:tcPr>
            <w:tcW w:w="2200" w:type="dxa"/>
          </w:tcPr>
          <w:p w14:paraId="4347AB26">
            <w:r>
              <w:rPr>
                <w:rFonts w:hint="eastAsia"/>
                <w:sz w:val="18"/>
              </w:rPr>
              <w:t>少样本适配</w:t>
            </w:r>
          </w:p>
        </w:tc>
        <w:tc>
          <w:tcPr>
            <w:tcW w:w="2400" w:type="dxa"/>
          </w:tcPr>
          <w:p w14:paraId="086A50D9">
            <w:r>
              <w:rPr>
                <w:rFonts w:hint="eastAsia"/>
                <w:sz w:val="18"/>
              </w:rPr>
              <w:t>新目标 ≤100 样本达到 ≥90% 召回</w:t>
            </w:r>
          </w:p>
        </w:tc>
        <w:tc>
          <w:tcPr>
            <w:tcW w:w="2600" w:type="dxa"/>
          </w:tcPr>
          <w:p w14:paraId="7AA2D455">
            <w:r>
              <w:rPr>
                <w:rFonts w:hint="eastAsia"/>
                <w:sz w:val="18"/>
              </w:rPr>
              <w:t>≤50 样本</w:t>
            </w:r>
          </w:p>
        </w:tc>
      </w:tr>
      <w:tr>
        <w:trPr/>
        <w:tc>
          <w:tcPr>
            <w:tcW w:w="1300" w:type="dxa"/>
          </w:tcPr>
          <w:p w14:paraId="03B38DE7">
            <w:r>
              <w:rPr>
                <w:rFonts w:hint="eastAsia"/>
                <w:sz w:val="18"/>
              </w:rPr>
              <w:t>学习</w:t>
            </w:r>
          </w:p>
        </w:tc>
        <w:tc>
          <w:tcPr>
            <w:tcW w:w="2200" w:type="dxa"/>
          </w:tcPr>
          <w:p w14:paraId="317C787C">
            <w:r>
              <w:rPr>
                <w:rFonts w:hint="eastAsia"/>
                <w:sz w:val="18"/>
              </w:rPr>
              <w:t>增量学习遗忘抑制</w:t>
            </w:r>
          </w:p>
        </w:tc>
        <w:tc>
          <w:tcPr>
            <w:tcW w:w="2400" w:type="dxa"/>
          </w:tcPr>
          <w:p w14:paraId="48A53600">
            <w:r>
              <w:rPr>
                <w:rFonts w:hint="eastAsia"/>
                <w:sz w:val="18"/>
              </w:rPr>
              <w:t>旧任务性能衰减 ≤5%</w:t>
            </w:r>
          </w:p>
        </w:tc>
        <w:tc>
          <w:tcPr>
            <w:tcW w:w="2600" w:type="dxa"/>
          </w:tcPr>
          <w:p w14:paraId="51918F98">
            <w:r>
              <w:rPr>
                <w:sz w:val="18"/>
              </w:rPr>
              <w:t>≤2%</w:t>
            </w:r>
          </w:p>
        </w:tc>
      </w:tr>
      <w:tr>
        <w:trPr/>
        <w:tc>
          <w:tcPr>
            <w:tcW w:w="1300" w:type="dxa"/>
          </w:tcPr>
          <w:p w14:paraId="7D864717">
            <w:r>
              <w:rPr>
                <w:rFonts w:hint="eastAsia"/>
                <w:sz w:val="18"/>
              </w:rPr>
              <w:t>学习</w:t>
            </w:r>
          </w:p>
        </w:tc>
        <w:tc>
          <w:tcPr>
            <w:tcW w:w="2200" w:type="dxa"/>
          </w:tcPr>
          <w:p w14:paraId="26D72638">
            <w:r>
              <w:rPr>
                <w:rFonts w:hint="eastAsia"/>
                <w:sz w:val="18"/>
              </w:rPr>
              <w:t>学习通道</w:t>
            </w:r>
          </w:p>
        </w:tc>
        <w:tc>
          <w:tcPr>
            <w:tcW w:w="2400" w:type="dxa"/>
          </w:tcPr>
          <w:p w14:paraId="3FAC0CEC">
            <w:r>
              <w:rPr>
                <w:rFonts w:hint="eastAsia"/>
                <w:sz w:val="18"/>
              </w:rPr>
              <w:t>支持人工反馈与规则注入</w:t>
            </w:r>
          </w:p>
        </w:tc>
        <w:tc>
          <w:tcPr>
            <w:tcW w:w="2600" w:type="dxa"/>
          </w:tcPr>
          <w:p w14:paraId="78F529C7">
            <w:r>
              <w:rPr>
                <w:rFonts w:hint="eastAsia"/>
                <w:sz w:val="18"/>
              </w:rPr>
              <w:t>支持联邦学习（数据不出域）</w:t>
            </w:r>
          </w:p>
        </w:tc>
      </w:tr>
      <w:tr>
        <w:trPr/>
        <w:tc>
          <w:tcPr>
            <w:tcW w:w="1300" w:type="dxa"/>
          </w:tcPr>
          <w:p w14:paraId="03ED3235">
            <w:r>
              <w:rPr>
                <w:rFonts w:hint="eastAsia"/>
                <w:sz w:val="18"/>
              </w:rPr>
              <w:t>其他</w:t>
            </w:r>
          </w:p>
        </w:tc>
        <w:tc>
          <w:tcPr>
            <w:tcW w:w="2200" w:type="dxa"/>
          </w:tcPr>
          <w:p w14:paraId="71ACF239">
            <w:r>
              <w:rPr>
                <w:rFonts w:hint="eastAsia"/>
                <w:sz w:val="18"/>
              </w:rPr>
              <w:t>连续巡逻时长</w:t>
            </w:r>
          </w:p>
        </w:tc>
        <w:tc>
          <w:tcPr>
            <w:tcW w:w="2400" w:type="dxa"/>
          </w:tcPr>
          <w:p w14:paraId="11B08316">
            <w:r>
              <w:rPr>
                <w:rFonts w:hint="eastAsia"/>
                <w:sz w:val="18"/>
              </w:rPr>
              <w:t>≥6 h（或混合作业 ≥8 h）</w:t>
            </w:r>
          </w:p>
        </w:tc>
        <w:tc>
          <w:tcPr>
            <w:tcW w:w="2600" w:type="dxa"/>
          </w:tcPr>
          <w:p w14:paraId="48918208">
            <w:r>
              <w:rPr>
                <w:sz w:val="18"/>
              </w:rPr>
              <w:t>≥8 h / ≥12 h</w:t>
            </w:r>
          </w:p>
        </w:tc>
      </w:tr>
      <w:tr>
        <w:trPr/>
        <w:tc>
          <w:tcPr>
            <w:tcW w:w="1300" w:type="dxa"/>
          </w:tcPr>
          <w:p w14:paraId="538E78FF">
            <w:r>
              <w:rPr>
                <w:rFonts w:hint="eastAsia"/>
                <w:sz w:val="18"/>
              </w:rPr>
              <w:t>其他</w:t>
            </w:r>
          </w:p>
        </w:tc>
        <w:tc>
          <w:tcPr>
            <w:tcW w:w="2200" w:type="dxa"/>
          </w:tcPr>
          <w:p w14:paraId="1D3EEC99">
            <w:r>
              <w:rPr>
                <w:rFonts w:hint="eastAsia"/>
                <w:sz w:val="18"/>
              </w:rPr>
              <w:t>自动回充</w:t>
            </w:r>
          </w:p>
        </w:tc>
        <w:tc>
          <w:tcPr>
            <w:tcW w:w="2400" w:type="dxa"/>
          </w:tcPr>
          <w:p w14:paraId="667080CD">
            <w:r>
              <w:rPr>
                <w:rFonts w:hint="eastAsia"/>
                <w:sz w:val="18"/>
              </w:rPr>
              <w:t>成功率 ≥99%，0–80% 充电 ≤2 h</w:t>
            </w:r>
          </w:p>
        </w:tc>
        <w:tc>
          <w:tcPr>
            <w:tcW w:w="2600" w:type="dxa"/>
          </w:tcPr>
          <w:p w14:paraId="5C824F73">
            <w:r>
              <w:rPr>
                <w:rFonts w:hint="eastAsia"/>
                <w:sz w:val="18"/>
              </w:rPr>
              <w:t>对位精度 ≤2 cm</w:t>
            </w:r>
          </w:p>
        </w:tc>
      </w:tr>
      <w:tr>
        <w:trPr/>
        <w:tc>
          <w:tcPr>
            <w:tcW w:w="1300" w:type="dxa"/>
          </w:tcPr>
          <w:p w14:paraId="67B417D9">
            <w:r>
              <w:rPr>
                <w:rFonts w:hint="eastAsia"/>
                <w:sz w:val="18"/>
              </w:rPr>
              <w:t>其他</w:t>
            </w:r>
          </w:p>
        </w:tc>
        <w:tc>
          <w:tcPr>
            <w:tcW w:w="2200" w:type="dxa"/>
          </w:tcPr>
          <w:p w14:paraId="0EAA5E27">
            <w:r>
              <w:rPr>
                <w:rFonts w:hint="eastAsia"/>
                <w:sz w:val="18"/>
              </w:rPr>
              <w:t>可靠性</w:t>
            </w:r>
          </w:p>
        </w:tc>
        <w:tc>
          <w:tcPr>
            <w:tcW w:w="2400" w:type="dxa"/>
          </w:tcPr>
          <w:p w14:paraId="58551E03">
            <w:r>
              <w:rPr>
                <w:rFonts w:hint="eastAsia"/>
                <w:sz w:val="18"/>
              </w:rPr>
              <w:t>MTBF ≥2000 h、年可用率 ≥99%</w:t>
            </w:r>
          </w:p>
        </w:tc>
        <w:tc>
          <w:tcPr>
            <w:tcW w:w="2600" w:type="dxa"/>
          </w:tcPr>
          <w:p w14:paraId="73550D69">
            <w:r>
              <w:rPr>
                <w:sz w:val="18"/>
              </w:rPr>
              <w:t>MTBF ≥4000 h</w:t>
            </w:r>
          </w:p>
        </w:tc>
      </w:tr>
      <w:tr>
        <w:trPr/>
        <w:tc>
          <w:tcPr>
            <w:tcW w:w="1300" w:type="dxa"/>
          </w:tcPr>
          <w:p w14:paraId="1A3F44A0">
            <w:r>
              <w:rPr>
                <w:rFonts w:hint="eastAsia"/>
                <w:sz w:val="18"/>
              </w:rPr>
              <w:t>其他</w:t>
            </w:r>
          </w:p>
        </w:tc>
        <w:tc>
          <w:tcPr>
            <w:tcW w:w="2200" w:type="dxa"/>
          </w:tcPr>
          <w:p w14:paraId="47EFE2DF">
            <w:r>
              <w:rPr>
                <w:rFonts w:hint="eastAsia"/>
                <w:sz w:val="18"/>
              </w:rPr>
              <w:t>环境适应</w:t>
            </w:r>
          </w:p>
        </w:tc>
        <w:tc>
          <w:tcPr>
            <w:tcW w:w="2400" w:type="dxa"/>
          </w:tcPr>
          <w:p w14:paraId="6CDDC375">
            <w:r>
              <w:rPr>
                <w:rFonts w:hint="eastAsia"/>
                <w:sz w:val="18"/>
              </w:rPr>
              <w:t>-20~55 ℃、IP65、抗风 6 级</w:t>
            </w:r>
          </w:p>
        </w:tc>
        <w:tc>
          <w:tcPr>
            <w:tcW w:w="2600" w:type="dxa"/>
          </w:tcPr>
          <w:p w14:paraId="2914649E">
            <w:r>
              <w:rPr>
                <w:rFonts w:hint="eastAsia"/>
                <w:sz w:val="18"/>
              </w:rPr>
              <w:t>IP67、-30~60 ℃</w:t>
            </w:r>
          </w:p>
        </w:tc>
      </w:tr>
    </w:tbl>
    <w:p w14:paraId="54AFDA6C">
      <w:r>
        <w:rPr>
          <w:rFonts w:hint="eastAsia"/>
        </w:rPr>
        <w:t>三条设计原则需一并写入标准：一是</w:t>
      </w:r>
      <w:r>
        <w:rPr>
          <w:rFonts w:hint="eastAsia"/>
          <w:b w:val="1"/>
        </w:rPr>
        <w:t>指标必须带测量条件</w:t>
      </w:r>
      <w:r>
        <w:rPr>
          <w:rFonts w:hint="eastAsia"/>
        </w:rPr>
        <w:t>，同一指标在不同照度或人流下取值不同，不写明条件即为不可验收；二是</w:t>
      </w:r>
      <w:r>
        <w:rPr>
          <w:rFonts w:hint="eastAsia"/>
          <w:b w:val="1"/>
        </w:rPr>
        <w:t>门槛值与目标值分列</w:t>
      </w:r>
      <w:r>
        <w:rPr>
          <w:rFonts w:hint="eastAsia"/>
        </w:rPr>
        <w:t>，门槛值用于准入，目标值用于优选评分，避免以单一数值卡死创新；三是</w:t>
      </w:r>
      <w:r>
        <w:rPr>
          <w:rFonts w:hint="eastAsia"/>
          <w:b w:val="1"/>
        </w:rPr>
        <w:t>安全类指标不设“优选”档</w:t>
      </w:r>
      <w:r>
        <w:rPr>
          <w:rFonts w:hint="eastAsia"/>
        </w:rPr>
        <w:t>，安全项只有强制项，没有折扣空间。</w:t>
      </w:r>
    </w:p>
    <w:p w14:paraId="64B4F35E">
      <w:r>
        <w:rPr>
          <w:rFonts w:hint="eastAsia"/>
        </w:rPr>
        <w:t>【关键指标与验收】要求—方法配对率 100%（指标表中不得出现无测试方法的条目）；能力成熟度 E1–E4 的判定规则须可操作（每级给出不少于 5 条判定条件）；第三方检测报告须覆盖全部门槛值项。</w:t>
      </w:r>
    </w:p>
    <w:p w14:paraId="4257162E">
      <w:r>
        <w:rPr>
          <w:rFonts w:hint="eastAsia"/>
        </w:rPr>
        <w:t>【建议责任单位】整机企业负责指标实现与自测；检测机构负责第三方型式试验；标准归口机构负责指标口径统一；用户单位负责确认场景门槛与业务相关性。</w:t>
      </w:r>
    </w:p>
    <w:p w14:paraId="4F29FE2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2.3 T3 本体可靠性与跌倒恢复（对应 R5）</w:t>
      </w:r>
    </w:p>
    <w:p w14:paraId="373FA5CA">
      <w:r>
        <w:rPr>
          <w:rFonts w:hint="eastAsia"/>
        </w:rPr>
        <w:t>【问题实质】R5 直接问“倒地后是否自行恢复站立，技术上是否有较为可靠、可行的解决方案”。专家判定是：</w:t>
      </w:r>
      <w:r>
        <w:rPr>
          <w:rFonts w:hint="eastAsia"/>
          <w:b w:val="1"/>
        </w:rPr>
        <w:t>技术上可行，但不可承诺无条件成立</w:t>
      </w:r>
      <w:r>
        <w:rPr>
          <w:rFonts w:hint="eastAsia"/>
        </w:rPr>
        <w:t>。可靠性取决于五层因素的乘积，任何只谈算法不谈形态与兜底的答案都不可靠。更根本的一点是：双足形态的倒地概率本身就远高于轮式，把“恢复”当作事后补丁，方向就偏了。</w:t>
      </w:r>
    </w:p>
    <w:p w14:paraId="4259692F">
      <w:r>
        <w:rPr>
          <w:rFonts w:hint="eastAsia"/>
        </w:rPr>
        <w:t>【解决方案】五层递进解决：选型降低概率 → 形态便于恢复 → 自感知判断可行性 → 策略库自主执行 → 兜底保证安全。</w:t>
      </w:r>
    </w:p>
    <w:p w14:paraId="5259B1A3">
      <w:r>
        <w:rPr>
          <w:rFonts w:hint="eastAsia"/>
        </w:rPr>
        <w:t>【设计实现思路】</w:t>
      </w:r>
    </w:p>
    <w:p w14:paraId="0EB1C5EE">
      <w:r>
        <w:rPr>
          <w:rFonts w:hint="eastAsia"/>
        </w:rPr>
        <w:t>（1）选型层面（最根本、成本最低）。室内平层与铺装园区优先采用轮式或轮腿式，其静态稳定性远高于双足，倒地概率可低一个数量级；确需双足（台阶、门槛、非结构化地形）时，必须把“倒地概率与恢复能力”作为</w:t>
      </w:r>
      <w:r>
        <w:rPr>
          <w:rFonts w:hint="eastAsia"/>
          <w:b w:val="1"/>
        </w:rPr>
        <w:t>硬性选型指标</w:t>
      </w:r>
      <w:r>
        <w:rPr>
          <w:rFonts w:hint="eastAsia"/>
        </w:rPr>
        <w:t>而非事后补丁，在样机阶段就完成倒地试验。</w:t>
      </w:r>
    </w:p>
    <w:p w14:paraId="3490C84D">
      <w:r>
        <w:rPr>
          <w:rFonts w:hint="eastAsia"/>
        </w:rPr>
        <w:t>（2）形态与质心设计。质心高度控制在支撑面最小宽度的 0.35 倍以内；支撑面足间距不小于 0.3 m；外壳采用圆滑外廓，减少卡挂；在背部与侧面设置“恢复支撑凸台”，为侧翻提供支点；传感器内嵌并加护罩，做到“着地不损”。这些是纯机械设计，不增加算法复杂度，却直接决定恢复成功率。</w:t>
      </w:r>
    </w:p>
    <w:p w14:paraId="177907D9">
      <w:r>
        <w:rPr>
          <w:rFonts w:hint="eastAsia"/>
        </w:rPr>
        <w:t>（3）自感知与自诊断。采用 IMU（≥200 Hz）＋关节双编码器＋关节电流/力矩＋足端接触力＋机身触觉的多源融合，判定三件事：姿态类别（俯卧、仰卧、侧卧、卡夹、靠墙、坡面）；可恢复性（周围净空是否达到机身对角线 1.2 倍以上，不够则先爬行脱离）；损伤状态（关节过载、温升、电池姿态），避免带伤强行起立造成二次损伤。</w:t>
      </w:r>
    </w:p>
    <w:p w14:paraId="77DF43DB">
      <w:r>
        <w:rPr>
          <w:rFonts w:hint="eastAsia"/>
        </w:rPr>
        <w:t>（4）恢复策略库与选择器。构建“翻滚—四肢支撑—跪立—站立”等多套动作基元，在仿真中大规模训练（Isaac Sim 或 MuJoCo 配合域随机化），再通过 sim2real 迁移到实物。选择器按“姿态 × 环境净空 × 损伤 × 地面摩擦”查表并辅以规则优先，单策略失败自动切换，最多重试 3 次。域随机化参数建议：摩擦系数 0.4–1.0、地面刚度、关节阻尼、负载 ±10%、IMU 噪声。</w:t>
      </w:r>
    </w:p>
    <w:p w14:paraId="3F1B8375">
      <w:r>
        <w:rPr>
          <w:rFonts w:hint="eastAsia"/>
        </w:rPr>
        <w:t>（5）兜底设计（必须与自主恢复同等重视）。一是失能关节抱闸，保持姿态而非瘫软，防止二次损伤；二是原地安全停驻＋声光提示＋位置上报；三是远程接管，人工指定起立方向或施加辅助力矩；四是被动机械恢复，如可翻转机构、自适应配重；五是必要时人工到场。</w:t>
      </w:r>
    </w:p>
    <w:p w14:paraId="6B625E7C">
      <w:r>
        <w:rPr>
          <w:rFonts w:hint="eastAsia"/>
        </w:rPr>
        <w:t>（6）恢复动作分四级，便于写入标准：L1 自主起立（平地、草地、坡度不超过 5°）；L2 自主爬行至可恢复区再起立；L3 辅助恢复（远程介入）；L4 安全停驻待援。</w:t>
      </w:r>
    </w:p>
    <w:p w14:paraId="171FFB5C">
      <w:r>
        <w:rPr>
          <w:rFonts w:hint="eastAsia"/>
        </w:rPr>
        <w:t>（7）安全约束：起立过程中若检测到人员或障碍进入 1 m 安全半径，立即中止并保持姿态等待。</w:t>
      </w:r>
    </w:p>
    <w:p w14:paraId="2F475872">
      <w:r>
        <w:rPr>
          <w:rFonts w:hint="eastAsia"/>
        </w:rPr>
        <w:t>【关键指标与验收】单个动作执行不超过 30 s，整体恢复不超过 60 s；姿态识别 ≤0.5 s、可恢复性判定 ≤1 s；平地、草地、5° 坡、铺装湿滑面各不少于 50 次、合计不少于 200 次实物试验，成功率不低于 95%；对狭小空间、卡夹、软地面等不可恢复场景，</w:t>
      </w:r>
      <w:r>
        <w:rPr>
          <w:rFonts w:hint="eastAsia"/>
          <w:b w:val="1"/>
        </w:rPr>
        <w:t>允许起立失败，但必须 100% 成功进入 L4 安全停驻并告警</w:t>
      </w:r>
      <w:r>
        <w:rPr>
          <w:rFonts w:hint="eastAsia"/>
        </w:rPr>
        <w:t>。</w:t>
      </w:r>
    </w:p>
    <w:p w14:paraId="17FAE88B">
      <w:r>
        <w:rPr>
          <w:rFonts w:hint="eastAsia"/>
        </w:rPr>
        <w:t>【对标准编写的具体建议】把“自主起立”写为</w:t>
      </w:r>
      <w:r>
        <w:rPr>
          <w:rFonts w:hint="eastAsia"/>
          <w:b w:val="1"/>
        </w:rPr>
        <w:t>推荐性、分级（L2 级）指标</w:t>
      </w:r>
      <w:r>
        <w:rPr>
          <w:rFonts w:hint="eastAsia"/>
        </w:rPr>
        <w:t>，把“跌倒后安全停驻与告警”写为</w:t>
      </w:r>
      <w:r>
        <w:rPr>
          <w:rFonts w:hint="eastAsia"/>
          <w:b w:val="1"/>
        </w:rPr>
        <w:t>强制性要求</w:t>
      </w:r>
      <w:r>
        <w:rPr>
          <w:rFonts w:hint="eastAsia"/>
        </w:rPr>
        <w:t>。这样既给技术留出空间，又守住安全底线——这是本条目最重要的政策判断，避免把尚无充分实践支撑的能力写成强制项，反而拖累标准出台。</w:t>
      </w:r>
    </w:p>
    <w:p w14:paraId="4AB5A59D">
      <w:r>
        <w:rPr>
          <w:rFonts w:hint="eastAsia"/>
        </w:rPr>
        <w:t>【建议责任单位】整机企业负责形态与策略；检测机构负责实物试验规则与判定；标准归口机构负责强制项与推荐项的划分；高校与科研院所负责策略学习算法与仿真环境建设。</w:t>
      </w:r>
    </w:p>
    <w:p w14:paraId="1D8262F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2.4 T4 全栈安全技术指标（对应 R3）</w:t>
      </w:r>
    </w:p>
    <w:p w14:paraId="36F0638B">
      <w:r>
        <w:rPr>
          <w:rFonts w:hint="eastAsia"/>
        </w:rPr>
        <w:t>【问题实质】R3 要求分别对模型安全、本体安全、数据安全、网络安全、应用程序安全“规定哪些技术指标”。问题在于：五域指标若平铺直叙地罗列，会变成一份“什么都要求、什么都没做到”的清单；且五域之间并非并列，模型安全的输出必须经过本体与应用的校验才能落到物理世界，缺少这一层衔接设计，指标就是纸面的。</w:t>
      </w:r>
    </w:p>
    <w:p w14:paraId="3BF4C0A7">
      <w:r>
        <w:rPr>
          <w:rFonts w:hint="eastAsia"/>
        </w:rPr>
        <w:t>【解决方案】建立“五域—指标—验证”矩阵，明确每域的强制项与推荐项，并确立一条核心设计原则：</w:t>
      </w:r>
      <w:r>
        <w:rPr>
          <w:rFonts w:hint="eastAsia"/>
          <w:b w:val="1"/>
        </w:rPr>
        <w:t>安全关键功能不得依赖学习模型的不确定输出</w:t>
      </w:r>
      <w:r>
        <w:rPr>
          <w:rFonts w:hint="eastAsia"/>
        </w:rPr>
        <w:t>。具体做法是决策双轨制——安全关键决策（碰撞避免、权限判断、急停响应）走确定性规则或形式化模块，业务智能决策（语义理解、态势描述、任务规划）走大模型；两轨之间设“安全闸”，大模型的所有输出必须通过安全与权限校验器才能执行。</w:t>
      </w:r>
    </w:p>
    <w:p w14:paraId="05F05E21">
      <w:r>
        <w:rPr>
          <w:rFonts w:hint="eastAsia"/>
        </w:rPr>
        <w:t>【设计实现思路】五域指标与验证方法详见附表 2（横向），此处说明三处最容易被忽略的衔接点。</w:t>
      </w:r>
    </w:p>
    <w:p w14:paraId="7170C087">
      <w:r>
        <w:rPr>
          <w:rFonts w:hint="eastAsia"/>
        </w:rPr>
        <w:t>（1）模型安全与执行的衔接。越狱与提示注入的防护不能只做“拒绝回答”，必须做到“拒绝执行”——因为巡逻机器人具备行动能力，一次成功的指令注入可能直接变现为物理动作。因此强制指标应包括：越权指令拒绝率 100%（针对强制动作、未确认身份下的信息公布、超范围采集等）；红队用例库不少于 500 条，覆盖文本、语音、图像与多模态，涵盖角色扮演、指令覆盖、工具滥用、间接注入四类手法。</w:t>
      </w:r>
    </w:p>
    <w:p w14:paraId="2D30BE87">
      <w:r>
        <w:rPr>
          <w:rFonts w:hint="eastAsia"/>
        </w:rPr>
        <w:t>（2）本体安全与业务场景的衔接。现有协作机器人标准的接触力限值（参照 GB/T 36008 / ISO/TS 15066 的准静态限值）是针对工业协作场景制定的，而巡逻机器人面对的是</w:t>
      </w:r>
      <w:r>
        <w:rPr>
          <w:rFonts w:hint="eastAsia"/>
          <w:b w:val="1"/>
        </w:rPr>
        <w:t>非预期接触</w:t>
      </w:r>
      <w:r>
        <w:rPr>
          <w:rFonts w:hint="eastAsia"/>
        </w:rPr>
        <w:t>（行人主动触碰、儿童追逐、拥挤挤压），因此不能简单套用，应在标准中明确“非预期接触”这一独立工况，并给出更保守的速度—距离监控（SSM）策略。</w:t>
      </w:r>
    </w:p>
    <w:p w14:paraId="044B8277">
      <w:r>
        <w:rPr>
          <w:rFonts w:hint="eastAsia"/>
        </w:rPr>
        <w:t>（3）数据安全与合规的衔接。人脸、声纹等生物特征数据的处理，除《数据安全法》《个人信息保护法》外，还须符合《人脸识别技术应用安全管理办法》（2025 年 6 月 1 日施行）。据此确立两条硬性技术要求：生物特征数据的原始信息不出端（边缘侧提取特征、明文不上传）；非涉案音视频留存不超过 30 天且到期自动删除，涉案数据单独隔离并审批调阅。这两条是技术可实现、可验证的，比笼统写“加强数据安全”有效得多。</w:t>
      </w:r>
    </w:p>
    <w:p w14:paraId="5CC99DA2">
      <w:r>
        <w:rPr>
          <w:rFonts w:hint="eastAsia"/>
        </w:rPr>
        <w:t>【关键指标与验收】五域各自给出强制项清单，强制项必须逐条有验证方法（渗透测试、红队测试、型式试验、代码审计、仿真攻击）；建议每域强制项控制在 4–6 条，确保可测评；整机应通过网络安全等级保护测评并取得第三方安全检测报告。</w:t>
      </w:r>
    </w:p>
    <w:p w14:paraId="3BC7EE8E">
      <w:r>
        <w:rPr>
          <w:rFonts w:hint="eastAsia"/>
        </w:rPr>
        <w:t>【建议责任单位】网络安全测评与检测认证机构负责测评体系；标准归口机构（全国网安标委、SAC/TC100、SAC/TC591）负责条款；整机与平台企业负责实现与举证；用户单位负责明确本场景的数据分级与留存要求。</w:t>
      </w:r>
    </w:p>
    <w:p w14:paraId="70D9D5E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2.5 T5 数据集与评测基准（对应 R8）</w:t>
      </w:r>
    </w:p>
    <w:p w14:paraId="371FBD0F">
      <w:r>
        <w:rPr>
          <w:rFonts w:hint="eastAsia"/>
        </w:rPr>
        <w:t>【问题实质】R8 要求回答数据集构建原则、方法、类别数量与质量。核心问题是：</w:t>
      </w:r>
      <w:r>
        <w:rPr>
          <w:rFonts w:hint="eastAsia"/>
          <w:b w:val="1"/>
        </w:rPr>
        <w:t>没有共同基准，就没有可比的性能声明</w:t>
      </w:r>
      <w:r>
        <w:rPr>
          <w:rFonts w:hint="eastAsia"/>
        </w:rPr>
        <w:t>。当前厂商各自用自己的数据集训练、用自己的测试集宣传指标，用户无法横向比较，检测机构也无法判定。此外，如何把长尾危险场景（跌倒、碰撞、拥挤、无照明）纳入数据集，是训练效果的分水岭。</w:t>
      </w:r>
    </w:p>
    <w:p w14:paraId="2034156B">
      <w:r>
        <w:rPr>
          <w:rFonts w:hint="eastAsia"/>
        </w:rPr>
        <w:t>【解决方案】“真实为主、仿真补长尾、合成补规模”的三源数据策略，配合数据治理体系（数据集卡、版本化、血缘、基准测试）。</w:t>
      </w:r>
    </w:p>
    <w:p w14:paraId="53B9AF1F">
      <w:r>
        <w:rPr>
          <w:rFonts w:hint="eastAsia"/>
        </w:rPr>
        <w:t>【设计实现思路】</w:t>
      </w:r>
    </w:p>
    <w:p w14:paraId="6196E5A7">
      <w:r>
        <w:rPr>
          <w:rFonts w:hint="eastAsia"/>
        </w:rPr>
        <w:t>（1）采集原则四条：场景对齐（与 2.1 节的场景标签一一对应，每个场景标签都要有对应数据）；合规优先（采集授权、脱敏流程、最小必要）；可追溯（每条样本可回溯来源与授权链）；多样性优先于绝对数量（覆盖度矩阵达标比单纯堆量更有效）。</w:t>
      </w:r>
    </w:p>
    <w:p w14:paraId="29F0E9C0">
      <w:r>
        <w:rPr>
          <w:rFonts w:hint="eastAsia"/>
        </w:rPr>
        <w:t>（2）三源构成。真实采集：机器人本体＋固定点位＋佩戴式＋车载多载体，跨不少于 5 个城市、4 个季节、全天候时段。仿真生成：Isaac Sim、Gazebo、Habitat 等平台配合域随机化，专门用于跌倒、碰撞、拥挤、无照明、恶劣天气等高危长尾场景——这些场景在现实中无法大量采集。合成增强：用扩散模型生成稀有目标与对抗样本，必须保留真值标注并可追溯来源，避免“合成数据污染评测”。</w:t>
      </w:r>
    </w:p>
    <w:p w14:paraId="5E4C1FEB">
      <w:r>
        <w:rPr>
          <w:rFonts w:hint="eastAsia"/>
        </w:rPr>
        <w:t>（3）标注体系。多级标注：检测框、实例掩码、关键点与骨架、行为与意图、属性、场景文本描述、交互关系。质量控制采用双人交叉标注加第三人仲裁，抽检率不低于 10%，标注一致性 Kappa 不低于 0.85。</w:t>
      </w:r>
    </w:p>
    <w:p w14:paraId="77C65CD4">
      <w:r>
        <w:rPr>
          <w:rFonts w:hint="eastAsia"/>
        </w:rPr>
        <w:t>（4）规模与质量门槛建议（可作为采购与验收基线）：视觉图像不少于 100 万帧，其中低照度与夜间不少于 20%、雨雪雾不少于 10%；异常行为视频段不少于 1 万段，覆盖不少于 50 类异常事件，每类不少于 200 段；语音不少于 1000 小时，含不少于 20% 噪声、远场与方言场景；点云与雷达数据不少于 500 小时；具身操作轨迹不少于 5 万条；人机交互对话不少于 5 万轮（须包含拒答、越权请求、歧义追问）。质量阈值：标注准确率不低于 98%，漏标率不高于 2%，长尾类别占比不低于 5%，场景覆盖度矩阵达标率 100%，并且数据引入必须可验证增益（引入数据集后目标指标提升不低于 5%，否则视为无效数据）。</w:t>
      </w:r>
    </w:p>
    <w:p w14:paraId="2129E79E">
      <w:r>
        <w:rPr>
          <w:rFonts w:hint="eastAsia"/>
        </w:rPr>
        <w:t>（5）治理机制。一是数据集卡（Datasheet），记录来源、规模、采集条件、标注规范、已知偏差、适用与禁用场景——尤其是“禁用场景”，防止数据被超范围使用；二是版本化与血缘，做到数据到模型到发布版本全程可追溯；三是隐私合规流水线，人脸与车牌脱敏或特征化，原始数据不出域；四是建立</w:t>
      </w:r>
      <w:r>
        <w:rPr>
          <w:rFonts w:hint="eastAsia"/>
          <w:b w:val="1"/>
        </w:rPr>
        <w:t>公共安全巡逻基准（PSPB）</w:t>
      </w:r>
      <w:r>
        <w:rPr>
          <w:rFonts w:hint="eastAsia"/>
        </w:rPr>
        <w:t>，包含固定测试集、评分脚本与排行榜，作为跨厂商可比的共同标尺；五是更新机制，每年至少一次，或在场景与装备发生重大变化时即时触发。</w:t>
      </w:r>
    </w:p>
    <w:p w14:paraId="5F238BFD">
      <w:r>
        <w:rPr>
          <w:rFonts w:hint="eastAsia"/>
        </w:rPr>
        <w:t>（6）共享机制。跨单位采用“数据不出域、模型参数交换”的联邦学习；敏感数据只共享脱敏特征。这既解决数据量不足，又规避合规风险。</w:t>
      </w:r>
    </w:p>
    <w:p w14:paraId="7FE87074">
      <w:r>
        <w:rPr>
          <w:rFonts w:hint="eastAsia"/>
        </w:rPr>
        <w:t>【关键指标与验收】数据集卡齐备率 100%；场景覆盖度矩阵达标率 100%；第三方使用同一基准测试集复现结果的可复现性（同一模型两次评测指标差异不超过 2%）；隐私合规审查通过。</w:t>
      </w:r>
    </w:p>
    <w:p w14:paraId="782AAE9A">
      <w:r>
        <w:rPr>
          <w:rFonts w:hint="eastAsia"/>
        </w:rPr>
        <w:t>【建议责任单位】行业组织与标准化机构负责规范与基准框架；检测机构负责基准测试运营与结果发布；高校院所负责数据集构建与标注规范；用户单位负责真实场景数据授权；企业负责数据生产与质量自控。</w:t>
      </w:r>
    </w:p>
    <w:p w14:paraId="2F460F6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2.6 T6 接口规范与系统融合（对应 R7）</w:t>
      </w:r>
    </w:p>
    <w:p w14:paraId="27E1E112">
      <w:r>
        <w:rPr>
          <w:rFonts w:hint="eastAsia"/>
        </w:rPr>
        <w:t>【问题实质】R7 提出两问：机器人与管理平台之间的传输协议、接口功能和数据格式；以及如何使既有安全防范系统（视频、报警、出入口）与机器人形成优势互补。前者的实质是</w:t>
      </w:r>
      <w:r>
        <w:rPr>
          <w:rFonts w:hint="eastAsia"/>
          <w:b w:val="1"/>
        </w:rPr>
        <w:t>缺少信息模型</w:t>
      </w:r>
      <w:r>
        <w:rPr>
          <w:rFonts w:hint="eastAsia"/>
        </w:rPr>
        <w:t>——协议可以选，但没有统一的对象与字段定义，选什么协议都白搭；后者的实质是</w:t>
      </w:r>
      <w:r>
        <w:rPr>
          <w:rFonts w:hint="eastAsia"/>
          <w:b w:val="1"/>
        </w:rPr>
        <w:t>融合规则缺失</w:t>
      </w:r>
      <w:r>
        <w:rPr>
          <w:rFonts w:hint="eastAsia"/>
        </w:rPr>
        <w:t>，导致机器人不是补充既有系统，而是叠加成第二套孤岛。</w:t>
      </w:r>
    </w:p>
    <w:p w14:paraId="166BD597">
      <w:r>
        <w:rPr>
          <w:rFonts w:hint="eastAsia"/>
        </w:rPr>
        <w:t>【解决方案】“三层接口＋一个信息模型＋三类对接规范”。先用信息模型统一语义，再用协议解决传输，最后用融合规则解决业务互补。</w:t>
      </w:r>
    </w:p>
    <w:p w14:paraId="066ABE1A">
      <w:r>
        <w:rPr>
          <w:rFonts w:hint="eastAsia"/>
        </w:rPr>
        <w:t>【设计实现思路】</w:t>
      </w:r>
    </w:p>
    <w:p w14:paraId="7A7DE92C">
      <w:r>
        <w:rPr>
          <w:rFonts w:hint="eastAsia"/>
        </w:rPr>
        <w:t>（1）三层接口架构。设备内层（机器人本体到边缘计算单元）：ROS 2 与 DDS，满足实时性要求，不对外暴露。平台层（机器人到安防管理平台）：MQTT over TLS 承载遥测、事件与指令；HTTPS/REST 承载配置、文件、模型与任务；WebRTC、RTSP 或 SIP 承载实时视频。跨系统层（机器人到视频、报警、出入口、接处警系统）：视频统一走 GB/T 28181-2022，把机器人摄像机作为 SIP 设备注册到既有视频平台；报警与出入口通过协议适配网关（ONVIF、OSDP、韦根或厂商 SDK）统一转换为内部事件模型。</w:t>
      </w:r>
    </w:p>
    <w:p w14:paraId="18464B55">
      <w:r>
        <w:rPr>
          <w:rFonts w:hint="eastAsia"/>
        </w:rPr>
        <w:t>（2）统一信息模型。定义 11 类核心对象：机器人、任务、巡逻路线、电量状态、告警、检测事件、目标轨迹、媒体流、故障、指令、审计日志。必备字段包括：event_id（全局唯一）、device_id（唯一标识）、ts_utc（ISO 8601）与 ts_mono（单调时钟，用于时延测算）、location（WGS84 与 GCJ-02 双坐标＋局部坐标＋楼层或区域标识）、confidence（置信度）、evidence_ref（关联音视频片段索引）、model_version（模型版本，用于事后归因）、operator（人工介入者标识）。数据格式以 JSON Schema 定义并同步提供 Protobuf 定义，带宽受限场景优先用后者。版本演进遵守“字段只增不改、废弃字段保留不少于两个大版本”的兼容规则。</w:t>
      </w:r>
    </w:p>
    <w:p w14:paraId="7D85BDE9">
      <w:r>
        <w:rPr>
          <w:rFonts w:hint="eastAsia"/>
        </w:rPr>
        <w:t>（3）接口功能清单须逐一明确：任务下发、取消与暂停；路线与电子围栏管理；状态与位姿上报；告警上报与确认；远程接管（建立、释放、操作全记录）；告警联动（调取周边摄像机、下发临时任务）；媒体流调阅与回放；OTA 升级；日志与证据调阅；时间同步；配置同步。每一功能都要有时序图，避免“协议选对了、时序错了”导致现场联调返工。</w:t>
      </w:r>
    </w:p>
    <w:p w14:paraId="6A535E87">
      <w:r>
        <w:rPr>
          <w:rFonts w:hint="eastAsia"/>
        </w:rPr>
        <w:t>（4）关键机制。QoS 分级：遥测（1 Hz）可丢；告警与指令为 QoS1，必达且需 ACK，超时重传 3 次并指数退避；指令必须幂等（idempotency key 加序号去重），防止网络抖动造成重复执行。断网自治与续传：本地缓存事件与关键帧不少于 24 小时（容量不少于 2 GB），恢复后按序续传且不重复入账。时间同步：采用 NTP 或 PTP，平台与机器人偏差不超过 50 ms——这一条看似技术细节，实则是事件复盘与责任认定的基础，机器人与摄像机时间不一致，证据链就断了。心跳与失联：心跳周期不超过 3 s，失联 10 s 触发告警，失联 60 s 进入本地安全策略。安全：mTLS 双向认证、指令签名、设备白名单。</w:t>
      </w:r>
    </w:p>
    <w:p w14:paraId="7491D789">
      <w:r>
        <w:rPr>
          <w:rFonts w:hint="eastAsia"/>
        </w:rPr>
        <w:t>（5）与既有安防系统的优势互补（R7 第二问的核心）。定位上，固定系统承担“常态化、全覆盖、被动监视”，机器人承担“动态、按需、主动巡查与现场交互”。四种互补关系：</w:t>
      </w:r>
      <w:r>
        <w:rPr>
          <w:rFonts w:hint="eastAsia"/>
          <w:b w:val="1"/>
        </w:rPr>
        <w:t>补盲</w:t>
      </w:r>
      <w:r>
        <w:rPr>
          <w:rFonts w:hint="eastAsia"/>
        </w:rPr>
        <w:t>——固定摄像机死角（背面、低层、临时遮挡、施工区）由机器人的移动视角覆盖；</w:t>
      </w:r>
      <w:r>
        <w:rPr>
          <w:rFonts w:hint="eastAsia"/>
          <w:b w:val="1"/>
        </w:rPr>
        <w:t>补时</w:t>
      </w:r>
      <w:r>
        <w:rPr>
          <w:rFonts w:hint="eastAsia"/>
        </w:rPr>
        <w:t>——夜间与人流稀少时段由机器人自主巡视，把“定时打更”变成“连续覆盖”；</w:t>
      </w:r>
      <w:r>
        <w:rPr>
          <w:rFonts w:hint="eastAsia"/>
          <w:b w:val="1"/>
        </w:rPr>
        <w:t>补机动</w:t>
      </w:r>
      <w:r>
        <w:rPr>
          <w:rFonts w:hint="eastAsia"/>
        </w:rPr>
        <w:t>——事件发生时机器人快速先期到达，提供第一现场视音频与喊话，为处置争取时间；</w:t>
      </w:r>
      <w:r>
        <w:rPr>
          <w:rFonts w:hint="eastAsia"/>
          <w:b w:val="1"/>
        </w:rPr>
        <w:t>补交互</w:t>
      </w:r>
      <w:r>
        <w:rPr>
          <w:rFonts w:hint="eastAsia"/>
        </w:rPr>
        <w:t>——现场喊话、引导、警示，把“看得见”变为“管得住”（且限于非强制手段）。</w:t>
      </w:r>
    </w:p>
    <w:p w14:paraId="1C3DFE8C">
      <w:r>
        <w:rPr>
          <w:rFonts w:hint="eastAsia"/>
        </w:rPr>
        <w:t>（6）融合规则（防止两张皮）。一是视频统一纳管：机器人视频流必须接入现有视频平台（同一套录像、检索、权限），不允许自成孤岛；二是事件融合去重：同一时空内（半径 50 m、时间窗 60 s）视频报警与机器人告警自动聚类为同一事件，避免重复出警；三是双向联动：视频系统发现异常后自动向最近机器人派发复核任务（先派机器人看一眼），机器人发现异常则反向调取周边摄像机高清抓拍与追踪；四是统一人机界面：在既有安防平台的同一张图上呈现摄像机与机器人，避免操作员在两套系统间切换——界面分裂是系统融合失败最常见的表现形式。</w:t>
      </w:r>
    </w:p>
    <w:p w14:paraId="46763FE4">
      <w:r>
        <w:rPr>
          <w:rFonts w:hint="eastAsia"/>
        </w:rPr>
        <w:t>【关键指标与验收】接口一致性测试用例集全覆盖（每个接口功能不少于 3 条正向用例与 2 条异常用例）；端到端时延：告警上报不超过 1 s、指令下达不超过 500 ms；断网续传数据完整率 100%、重复率 0；时间同步偏差不超过 50 ms；与既有视频平台、报警系统的联动联调通过并出具报告。</w:t>
      </w:r>
    </w:p>
    <w:p w14:paraId="00AE324A">
      <w:r>
        <w:rPr>
          <w:rFonts w:hint="eastAsia"/>
        </w:rPr>
        <w:t>【建议责任单位】安防平台集成商负责接口实现与融合；通信与标准化机构负责协议与信息模型；机器人企业负责端侧实现；用户单位负责流程确认与验收。</w:t>
      </w:r>
    </w:p>
    <w:p w14:paraId="6DCF65B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2.7 T7 人机协同的技术支撑（对应 R2）</w:t>
      </w:r>
    </w:p>
    <w:p w14:paraId="310C2E5B">
      <w:r>
        <w:rPr>
          <w:rFonts w:hint="eastAsia"/>
        </w:rPr>
        <w:t>【问题实质】R2 要求基于巡逻人员、机器人、管理平台三方面形成人机协同机制。应用层的问题是“职责没划清”，但即使职责划清了，</w:t>
      </w:r>
      <w:r>
        <w:rPr>
          <w:rFonts w:hint="eastAsia"/>
          <w:b w:val="1"/>
        </w:rPr>
        <w:t>技术上若无承载手段，机制仍然落不了地</w:t>
      </w:r>
      <w:r>
        <w:rPr>
          <w:rFonts w:hint="eastAsia"/>
        </w:rPr>
        <w:t>：机器人不知道自己的权限边界、平台不知道机器人当前处于哪种模式、操作员不知道告警是否可信。因此需要一组可测量的技术能力来支撑协同。</w:t>
      </w:r>
    </w:p>
    <w:p w14:paraId="76A9EE8E">
      <w:r>
        <w:rPr>
          <w:rFonts w:hint="eastAsia"/>
        </w:rPr>
        <w:t>【解决方案】把协同落到四项可测能力：状态共享、接管通道、告警可信、职责可编程。</w:t>
      </w:r>
    </w:p>
    <w:p w14:paraId="6684361C">
      <w:r>
        <w:rPr>
          <w:rFonts w:hint="eastAsia"/>
        </w:rPr>
        <w:t>【设计实现思路】</w:t>
      </w:r>
    </w:p>
    <w:p w14:paraId="3D2F51EB">
      <w:r>
        <w:rPr>
          <w:rFonts w:hint="eastAsia"/>
        </w:rPr>
        <w:t>（1）状态共享。机器人与平台共享统一状态机，状态集合为：待机、巡逻、复核、接管中、急停、故障、返航、充电。状态切换须在 500 ms 内同步到平台；位姿与任务进度按 1 Hz 上报。这条能力的价值在于：平台必须随时知道“机器人现在能不能被信任”，否则不敢把它纳入处置流程。</w:t>
      </w:r>
    </w:p>
    <w:p w14:paraId="4321EF30">
      <w:r>
        <w:rPr>
          <w:rFonts w:hint="eastAsia"/>
        </w:rPr>
        <w:t>（2）接管通道。建立时延不超过 2 s，视频回传不超过 500 ms，控制回路不超过 200 ms（同一网络内）；接管期间全程录制、操作留痕，用于事后定责。接管通道必须有优先级，紧急呼叫与告警复核的接管请求优先于例行操作。</w:t>
      </w:r>
    </w:p>
    <w:p w14:paraId="44C7706D">
      <w:r>
        <w:rPr>
          <w:rFonts w:hint="eastAsia"/>
        </w:rPr>
        <w:t>（3）告警可信。每条告警必须携带置信度与证据片段（前后各 30 s 音视频），并支持平台侧二次确认；灵敏度策略可按区域与时段独立配置，例如夜间空旷区域可放宽阈值以降低漏报，白天人流密集区域收紧以降低误报。这一条直接决定值守人员的信任度——告警不可信，人机协同就退化为“人去现场看一眼”。</w:t>
      </w:r>
    </w:p>
    <w:p w14:paraId="13AA5F64">
      <w:r>
        <w:rPr>
          <w:rFonts w:hint="eastAsia"/>
        </w:rPr>
        <w:t>（4）职责可编程。把职责三清单（可自主、须确认、禁止）写入机器人侧的权限引擎，作为强制校验器，而不是依赖人工提醒。技术实现上，权限引擎应在指令下发与动作执行两个关卡都做校验，且</w:t>
      </w:r>
      <w:r>
        <w:rPr>
          <w:rFonts w:hint="eastAsia"/>
          <w:b w:val="1"/>
        </w:rPr>
        <w:t>禁止类动作不得通过任何配置绕过</w:t>
      </w:r>
      <w:r>
        <w:rPr>
          <w:rFonts w:hint="eastAsia"/>
        </w:rPr>
        <w:t>（需硬编码或签名保护）。</w:t>
      </w:r>
    </w:p>
    <w:p w14:paraId="0120B77B">
      <w:r>
        <w:rPr>
          <w:rFonts w:hint="eastAsia"/>
        </w:rPr>
        <w:t>（5）人机带宽测算。一名操作员可同时监管的机器人数 N 等于可用注意力除以单机事务率，建议在试点中实测并给出 N 的经验值（初值 4–6 台），超过 N 时强制增加人员或降低同时在线机器人数量。这一条是把“人机比”从拍脑袋变成可计算，也是业务侧最关心的成本依据。</w:t>
      </w:r>
    </w:p>
    <w:p w14:paraId="10FD2961">
      <w:r>
        <w:rPr>
          <w:rFonts w:hint="eastAsia"/>
        </w:rPr>
        <w:t>（6）降级自治。通信中断时机器人执行降级策略：完成当前航段、停止一切处置类动作、返回就近安全点，并持续本地录像与缓存。降级策略必须事先写入配置且不可被远程覆盖。</w:t>
      </w:r>
    </w:p>
    <w:p w14:paraId="6CE9BA24">
      <w:r>
        <w:rPr>
          <w:rFonts w:hint="eastAsia"/>
        </w:rPr>
        <w:t>【关键指标与验收】状态同步时延不超过 500 ms；接管通道各项时延达标率 100%（连续 100 次测试）；告警证据片段完整率 100%；职责引擎越权拦截率 100%（用禁止类动作逐条测试）；降级自治实网验证（模拟断网不少于 10 次）全部按预期执行。</w:t>
      </w:r>
    </w:p>
    <w:p w14:paraId="73CF18B4">
      <w:r>
        <w:rPr>
          <w:rFonts w:hint="eastAsia"/>
        </w:rPr>
        <w:t>【建议责任单位】平台企业负责状态机与权限引擎；用户单位负责业务流程与定员测算；标准归口机构负责状态机、接管时延与职责清单的标准化表述。</w:t>
      </w:r>
    </w:p>
    <w:p w14:paraId="220420CB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2.8 T8 急停装置的物理与机制设计（对应 R6）</w:t>
      </w:r>
    </w:p>
    <w:p w14:paraId="7A20A90D">
      <w:r>
        <w:rPr>
          <w:rFonts w:hint="eastAsia"/>
        </w:rPr>
        <w:t>【问题实质】R6 指出的现象很具体：急停按钮可能被无关人员误触，也可能被不良企图人员故意触发。难点在于</w:t>
      </w:r>
      <w:r>
        <w:rPr>
          <w:rFonts w:hint="eastAsia"/>
          <w:b w:val="1"/>
        </w:rPr>
        <w:t>急停是安全底线功能，不能取消、不能屏蔽，因此只能在“可达性”与“防误防恶意”之间做工程设计</w:t>
      </w:r>
      <w:r>
        <w:rPr>
          <w:rFonts w:hint="eastAsia"/>
        </w:rPr>
        <w:t>。凡是建议“加软件开关屏蔽急停”的方案，都违背安全原则，不予采纳。</w:t>
      </w:r>
    </w:p>
    <w:p w14:paraId="6420A785">
      <w:r>
        <w:rPr>
          <w:rFonts w:hint="eastAsia"/>
        </w:rPr>
        <w:t>【解决方案】分级设计与分级复位：物理设计防误触（但不牺牲可达性），机制设计防恶意（触发即留证、复位需授权），功能设计区分紧急与暂停（把大量非紧急误按引导到柔性通道）。</w:t>
      </w:r>
    </w:p>
    <w:p w14:paraId="7437FF09">
      <w:r>
        <w:rPr>
          <w:rFonts w:hint="eastAsia"/>
        </w:rPr>
        <w:t>【设计实现思路】</w:t>
      </w:r>
    </w:p>
    <w:p w14:paraId="2138CEBE">
      <w:r>
        <w:rPr>
          <w:rFonts w:hint="eastAsia"/>
        </w:rPr>
        <w:t>（1）功能分级：设“暂停/求助”与“急停”两类按钮。暂停按钮为黄色、软触发，可由软件确认并自动恢复，用于现场人员想临时询问或寻求帮助的常见误按场景；急停按钮为红色蘑菇头、硬回路，不可由软件取消。这一分级能把高比例的“无害误按”从急停通道分流走，是成本最低、效果最好的一招。</w:t>
      </w:r>
    </w:p>
    <w:p w14:paraId="7D9EACB8">
      <w:r>
        <w:rPr>
          <w:rFonts w:hint="eastAsia"/>
        </w:rPr>
        <w:t>（2）形态与位置设计（在符合 GB/T 16754 / ISO 13850 非自复位要求的前提下防误触）：采用“下压＋旋转复位”或“透明翻盖护罩＋两次动作”，护罩须徒手可在 2 s 内打开，兼顾“可达”与“防误”；安装位置选在机身可见面但非暴露碰撞面（背部凹槽、侧面凹陷区），四周做结构防护，避免行人擦碰与低龄人群无意触碰；标识采用中文加图标，防拆螺柱配合开盖检测（开盖即本地告警并上报平台）。</w:t>
      </w:r>
    </w:p>
    <w:p w14:paraId="2169F5CA">
      <w:r>
        <w:rPr>
          <w:rFonts w:hint="eastAsia"/>
        </w:rPr>
        <w:t>（3）机制设计（防恶意触发）。触发即留证：急停触发瞬间自动记录触发前 30 s 与后 30 s 的音视频、触发时刻、位置与设备状态，若触发者在视野内则一并留存影像。触发即上报：平台立即收到急停事件（含证据引用），并向附近值班人员推送。复位受控：本地复位需授权人员刷卡、密码或生物识别并记录身份；远程复位仅在满足条件时允许（区域清空、视觉确认无人接触、连续两次人工确认），且必须留痕。异常频次统计：同一设备 7 日内被非授权触发 3 次以上即触发告警并核查，形成“恶意触发有代价”的机制。</w:t>
      </w:r>
      <w:r>
        <w:rPr>
          <w:rFonts w:hint="eastAsia"/>
          <w:b w:val="1"/>
        </w:rPr>
        <w:t>不得取消</w:t>
      </w:r>
      <w:r>
        <w:rPr>
          <w:rFonts w:hint="eastAsia"/>
        </w:rPr>
        <w:t>：禁止以任何软件方式屏蔽急停功能，防护设计只在操作序列与安装位置上做文章。</w:t>
      </w:r>
    </w:p>
    <w:p w14:paraId="27D90731">
      <w:r>
        <w:rPr>
          <w:rFonts w:hint="eastAsia"/>
        </w:rPr>
        <w:t>（4）现场秩序配套（应用层）：巡逻路径规划避开人流密集区与儿童活动区；重点部位可在环境中设置固定急停拉绳，把急停从机器人本体移到环境里，人员可及且难以隐蔽地恶意触发；机身与语音同步提示“巡逻机器人，急停装置受监控，请勿随意触碰”；现场处置流程固化为：急停 → 安全停驻 → 值班到场 → 复位或转移 → 事件记录与复盘。</w:t>
      </w:r>
    </w:p>
    <w:p w14:paraId="301E50E9">
      <w:r>
        <w:rPr>
          <w:rFonts w:hint="eastAsia"/>
        </w:rPr>
        <w:t>【关键指标与验收】误触发率试验（模拟 50 人次拥挤擦碰场景，折算误触发不超过 1 次每月）；恶意触发留证完整率 100%；复位授权合规率 100%；急停响应时间不超过 0.5 s（Ⅱ类停止、Category 1 停止）；急停响应后机器人处于安全状态（速度为零且抱闸保持），不因复位时序问题产生意外运动。</w:t>
      </w:r>
    </w:p>
    <w:p w14:paraId="2716C9EF">
      <w:r>
        <w:rPr>
          <w:rFonts w:hint="eastAsia"/>
        </w:rPr>
        <w:t>【建议责任单位】整机企业负责按钮与机构设计；标准归口机构负责按钮形态、复位规则与强制项条款；用户单位负责现场管理与告知；检测机构负责误触发与恶意触发专项试验。</w:t>
      </w:r>
    </w:p>
    <w:p w14:paraId="69CFA4D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第三章 应用层难点与解决方案</w:t>
      </w:r>
    </w:p>
    <w:p w14:paraId="3B72473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3.1 A1 巡逻场景与作业规范（对应 R1）</w:t>
      </w:r>
    </w:p>
    <w:p w14:paraId="40795253">
      <w:r>
        <w:rPr>
          <w:rFonts w:hint="eastAsia"/>
        </w:rPr>
        <w:t>【问题实质】场景定义不仅是技术问题，更是业务问题：没有场景分级，就没有差异化的作业要求，巡逻频次、覆盖网格、交接班规则、记录留存均无依据，实际执行中要么凭经验，要么一刀切。</w:t>
      </w:r>
    </w:p>
    <w:p w14:paraId="60572725">
      <w:r>
        <w:rPr>
          <w:rFonts w:hint="eastAsia"/>
        </w:rPr>
        <w:t>【解决方案】在场景分级（G1–G4）基础上，产出一部《安防巡逻机器人作业规范》，并配套“一场景一作业卡”。</w:t>
      </w:r>
    </w:p>
    <w:p w14:paraId="77AF7955">
      <w:r>
        <w:rPr>
          <w:rFonts w:hint="eastAsia"/>
        </w:rPr>
        <w:t>【设计实现思路】</w:t>
      </w:r>
    </w:p>
    <w:p w14:paraId="65F240D4">
      <w:r>
        <w:rPr>
          <w:rFonts w:hint="eastAsia"/>
        </w:rPr>
        <w:t>（1）作业规范应规定：巡逻频次与时段（按场景等级设定，例如 G4 场景重点时段不少于每 2 小时一次全覆盖）；覆盖网格划分方法（按风险等级与可视距离划分，高风险点位提高频次）；交接班与状态确认（设备健康状态、任务完成度、未处置告警移交）；记录留存（音视频留存期限、事件记录必填字段）；异常处置流程（发现、上报、复核、移交、归档五步）；非强制原则（明确机器人不得实施强制性动作）。</w:t>
      </w:r>
    </w:p>
    <w:p w14:paraId="79FD82A8">
      <w:r>
        <w:rPr>
          <w:rFonts w:hint="eastAsia"/>
        </w:rPr>
        <w:t>（2）作业卡是把规范落到单台单场景的载体，内容包含：场景画像（引用 2.1 节的 Scene Profile）、巡逻路线与停靠点、能力要求与自检项、处置动作清单（可做与禁止）、联络与升级路径、设备与人员配置。作业卡随任务下发，机器人自检不通过则拒绝执行。</w:t>
      </w:r>
    </w:p>
    <w:p w14:paraId="3DA91508">
      <w:r>
        <w:rPr>
          <w:rFonts w:hint="eastAsia"/>
        </w:rPr>
        <w:t>（3）与既有勤务制度的衔接：机器人巡逻不能另立一套台账，应纳入现有巡逻勤务记录体系，把机器人记录作为勤务记录的一部分，避免“人一套、机器人一套”。</w:t>
      </w:r>
    </w:p>
    <w:p w14:paraId="2FBC9D82">
      <w:r>
        <w:rPr>
          <w:rFonts w:hint="eastAsia"/>
        </w:rPr>
        <w:t>【关键指标与验收】作业卡覆盖率 100%（每台在役机器人每类任务均有作业卡）；机器人记录纳入现有勤务台账的比例 100%；试点场景中任务完成率不低于 95%。</w:t>
      </w:r>
    </w:p>
    <w:p w14:paraId="24A02464">
      <w:r>
        <w:rPr>
          <w:rFonts w:hint="eastAsia"/>
        </w:rPr>
        <w:t>【建议责任单位】公共安全业务部门（治安、巡特警）主责；用户单位负责编制与执行；标准归口机构负责作业规范的标准化表述。</w:t>
      </w:r>
    </w:p>
    <w:p w14:paraId="0C04CB7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3.2 A2 人员与机器人的职责边界与协同机制（对应 R2）</w:t>
      </w:r>
    </w:p>
    <w:p w14:paraId="45A1EE3C">
      <w:r>
        <w:rPr>
          <w:rFonts w:hint="eastAsia"/>
        </w:rPr>
        <w:t>【问题实质】人机协同的核心矛盾是两个方向：若职责不清，机器人既可能越权（带来法律风险），也可能被压到只做“移动摄像机”（价值极低）。要解决，必须先客观比较人与机器人各自的长短，再据此划界。</w:t>
      </w:r>
    </w:p>
    <w:p w14:paraId="3EF58BA9">
      <w:r>
        <w:rPr>
          <w:rFonts w:hint="eastAsia"/>
        </w:rPr>
        <w:t>【解决方案】三步：优点与短板对照 → 职责三清单 → 三种协同模式与升级规则。</w:t>
      </w:r>
    </w:p>
    <w:p w14:paraId="0EE07229">
      <w:r>
        <w:rPr>
          <w:rFonts w:hint="eastAsia"/>
        </w:rPr>
        <w:t>【设计实现思路】</w:t>
      </w:r>
    </w:p>
    <w:p w14:paraId="79F2159A">
      <w:r>
        <w:rPr>
          <w:rFonts w:hint="eastAsia"/>
        </w:rPr>
        <w:t>（1）人与机器人优劣对照，是划界的事实基础：</w:t>
      </w:r>
    </w:p>
    <w:tbl>
      <w:tblPr>
        <w:tblW w:w="850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0"/>
        <w:gridCol w:w="3400"/>
        <w:gridCol w:w="3900"/>
      </w:tblGrid>
      <w:tr>
        <w:trPr>
          <w:tblHeader w:val="1"/>
        </w:trPr>
        <w:tc>
          <w:tcPr>
            <w:tcW w:w="1200" w:type="dxa"/>
          </w:tcPr>
          <w:p w14:paraId="7EEAE99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维度</w:t>
            </w:r>
          </w:p>
        </w:tc>
        <w:tc>
          <w:tcPr>
            <w:tcW w:w="3400" w:type="dxa"/>
          </w:tcPr>
          <w:p w14:paraId="283D85A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巡逻人员</w:t>
            </w:r>
          </w:p>
        </w:tc>
        <w:tc>
          <w:tcPr>
            <w:tcW w:w="3900" w:type="dxa"/>
          </w:tcPr>
          <w:p w14:paraId="7C561CD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具身智能巡逻机器人</w:t>
            </w:r>
          </w:p>
        </w:tc>
      </w:tr>
      <w:tr>
        <w:trPr/>
        <w:tc>
          <w:tcPr>
            <w:tcW w:w="1200" w:type="dxa"/>
          </w:tcPr>
          <w:p w14:paraId="0BCE374D">
            <w:r>
              <w:rPr>
                <w:rFonts w:hint="eastAsia"/>
                <w:sz w:val="18"/>
              </w:rPr>
              <w:t>感知范围</w:t>
            </w:r>
          </w:p>
        </w:tc>
        <w:tc>
          <w:tcPr>
            <w:tcW w:w="3400" w:type="dxa"/>
          </w:tcPr>
          <w:p w14:paraId="374CA735">
            <w:r>
              <w:rPr>
                <w:rFonts w:hint="eastAsia"/>
                <w:sz w:val="18"/>
              </w:rPr>
              <w:t>视野有限，受注意力与疲劳影响</w:t>
            </w:r>
          </w:p>
        </w:tc>
        <w:tc>
          <w:tcPr>
            <w:tcW w:w="3900" w:type="dxa"/>
          </w:tcPr>
          <w:p w14:paraId="69D2716A">
            <w:r>
              <w:rPr>
                <w:rFonts w:hint="eastAsia"/>
                <w:sz w:val="18"/>
              </w:rPr>
              <w:t>多光谱、全天候、可多机协同，无疲劳</w:t>
            </w:r>
          </w:p>
        </w:tc>
      </w:tr>
      <w:tr>
        <w:trPr/>
        <w:tc>
          <w:tcPr>
            <w:tcW w:w="1200" w:type="dxa"/>
          </w:tcPr>
          <w:p w14:paraId="05523015">
            <w:r>
              <w:rPr>
                <w:rFonts w:hint="eastAsia"/>
                <w:sz w:val="18"/>
              </w:rPr>
              <w:t>语义理解</w:t>
            </w:r>
          </w:p>
        </w:tc>
        <w:tc>
          <w:tcPr>
            <w:tcW w:w="3400" w:type="dxa"/>
          </w:tcPr>
          <w:p w14:paraId="6C72710A">
            <w:r>
              <w:rPr>
                <w:rFonts w:hint="eastAsia"/>
                <w:sz w:val="18"/>
              </w:rPr>
              <w:t>强，能理解复杂情境与意图</w:t>
            </w:r>
          </w:p>
        </w:tc>
        <w:tc>
          <w:tcPr>
            <w:tcW w:w="3900" w:type="dxa"/>
          </w:tcPr>
          <w:p w14:paraId="4C59A02A">
            <w:r>
              <w:rPr>
                <w:rFonts w:hint="eastAsia"/>
                <w:sz w:val="18"/>
              </w:rPr>
              <w:t>弱，依赖训练分布，长尾场景易误判</w:t>
            </w:r>
          </w:p>
        </w:tc>
      </w:tr>
      <w:tr>
        <w:trPr/>
        <w:tc>
          <w:tcPr>
            <w:tcW w:w="1200" w:type="dxa"/>
          </w:tcPr>
          <w:p w14:paraId="7DA0CC36">
            <w:r>
              <w:rPr>
                <w:rFonts w:hint="eastAsia"/>
                <w:sz w:val="18"/>
              </w:rPr>
              <w:t>注意持续性</w:t>
            </w:r>
          </w:p>
        </w:tc>
        <w:tc>
          <w:tcPr>
            <w:tcW w:w="3400" w:type="dxa"/>
          </w:tcPr>
          <w:p w14:paraId="24A042DF">
            <w:r>
              <w:rPr>
                <w:rFonts w:hint="eastAsia"/>
                <w:sz w:val="18"/>
              </w:rPr>
              <w:t>夜间与长时间值守显著下降</w:t>
            </w:r>
          </w:p>
        </w:tc>
        <w:tc>
          <w:tcPr>
            <w:tcW w:w="3900" w:type="dxa"/>
          </w:tcPr>
          <w:p w14:paraId="6E7929E6">
            <w:r>
              <w:rPr>
                <w:rFonts w:hint="eastAsia"/>
                <w:sz w:val="18"/>
              </w:rPr>
              <w:t>长时间保持稳定，指标不衰减</w:t>
            </w:r>
          </w:p>
        </w:tc>
      </w:tr>
      <w:tr>
        <w:trPr/>
        <w:tc>
          <w:tcPr>
            <w:tcW w:w="1200" w:type="dxa"/>
          </w:tcPr>
          <w:p w14:paraId="3DE92E69">
            <w:r>
              <w:rPr>
                <w:rFonts w:hint="eastAsia"/>
                <w:sz w:val="18"/>
              </w:rPr>
              <w:t>机动能力</w:t>
            </w:r>
          </w:p>
        </w:tc>
        <w:tc>
          <w:tcPr>
            <w:tcW w:w="3400" w:type="dxa"/>
          </w:tcPr>
          <w:p w14:paraId="20AB6C8F">
            <w:r>
              <w:rPr>
                <w:rFonts w:hint="eastAsia"/>
                <w:sz w:val="18"/>
              </w:rPr>
              <w:t>复杂地形与突发应变强</w:t>
            </w:r>
          </w:p>
        </w:tc>
        <w:tc>
          <w:tcPr>
            <w:tcW w:w="3900" w:type="dxa"/>
          </w:tcPr>
          <w:p w14:paraId="26396665">
            <w:r>
              <w:rPr>
                <w:rFonts w:hint="eastAsia"/>
                <w:sz w:val="18"/>
              </w:rPr>
              <w:t>受地形与越障能力限制，速度稳定但不灵活</w:t>
            </w:r>
          </w:p>
        </w:tc>
      </w:tr>
      <w:tr>
        <w:trPr/>
        <w:tc>
          <w:tcPr>
            <w:tcW w:w="1200" w:type="dxa"/>
          </w:tcPr>
          <w:p w14:paraId="72A9EEDA">
            <w:r>
              <w:rPr>
                <w:rFonts w:hint="eastAsia"/>
                <w:sz w:val="18"/>
              </w:rPr>
              <w:t>处置手段</w:t>
            </w:r>
          </w:p>
        </w:tc>
        <w:tc>
          <w:tcPr>
            <w:tcW w:w="3400" w:type="dxa"/>
          </w:tcPr>
          <w:p w14:paraId="3FE045C3">
            <w:r>
              <w:rPr>
                <w:rFonts w:hint="eastAsia"/>
                <w:sz w:val="18"/>
              </w:rPr>
              <w:t>有执法权，可临机判断与处置</w:t>
            </w:r>
          </w:p>
        </w:tc>
        <w:tc>
          <w:tcPr>
            <w:tcW w:w="3900" w:type="dxa"/>
          </w:tcPr>
          <w:p w14:paraId="5376AAFD">
            <w:r>
              <w:rPr>
                <w:rFonts w:hint="eastAsia"/>
                <w:sz w:val="18"/>
              </w:rPr>
              <w:t>无强制权，仅能喊话、照明、跟随、上报</w:t>
            </w:r>
          </w:p>
        </w:tc>
      </w:tr>
      <w:tr>
        <w:trPr/>
        <w:tc>
          <w:tcPr>
            <w:tcW w:w="1200" w:type="dxa"/>
          </w:tcPr>
          <w:p w14:paraId="6FF9FA6E">
            <w:r>
              <w:rPr>
                <w:rFonts w:hint="eastAsia"/>
                <w:sz w:val="18"/>
              </w:rPr>
              <w:t>记录留存</w:t>
            </w:r>
          </w:p>
        </w:tc>
        <w:tc>
          <w:tcPr>
            <w:tcW w:w="3400" w:type="dxa"/>
          </w:tcPr>
          <w:p w14:paraId="7492B386">
            <w:r>
              <w:rPr>
                <w:rFonts w:hint="eastAsia"/>
                <w:sz w:val="18"/>
              </w:rPr>
              <w:t>依赖笔录与回忆，易失真</w:t>
            </w:r>
          </w:p>
        </w:tc>
        <w:tc>
          <w:tcPr>
            <w:tcW w:w="3900" w:type="dxa"/>
          </w:tcPr>
          <w:p w14:paraId="31DA9410">
            <w:r>
              <w:rPr>
                <w:rFonts w:hint="eastAsia"/>
                <w:sz w:val="18"/>
              </w:rPr>
              <w:t>全程音视频，可回溯、可复核</w:t>
            </w:r>
          </w:p>
        </w:tc>
      </w:tr>
      <w:tr>
        <w:trPr/>
        <w:tc>
          <w:tcPr>
            <w:tcW w:w="1200" w:type="dxa"/>
          </w:tcPr>
          <w:p w14:paraId="4C2ABD6D">
            <w:r>
              <w:rPr>
                <w:rFonts w:hint="eastAsia"/>
                <w:sz w:val="18"/>
              </w:rPr>
              <w:t>风险暴露</w:t>
            </w:r>
          </w:p>
        </w:tc>
        <w:tc>
          <w:tcPr>
            <w:tcW w:w="3400" w:type="dxa"/>
          </w:tcPr>
          <w:p w14:paraId="5C19E5D9">
            <w:r>
              <w:rPr>
                <w:rFonts w:hint="eastAsia"/>
                <w:sz w:val="18"/>
              </w:rPr>
              <w:t>人身安全风险高</w:t>
            </w:r>
          </w:p>
        </w:tc>
        <w:tc>
          <w:tcPr>
            <w:tcW w:w="3900" w:type="dxa"/>
          </w:tcPr>
          <w:p w14:paraId="1E2F9F3E">
            <w:r>
              <w:rPr>
                <w:rFonts w:hint="eastAsia"/>
                <w:sz w:val="18"/>
              </w:rPr>
              <w:t>可用于高危、重复、枯燥任务替代人员</w:t>
            </w:r>
          </w:p>
        </w:tc>
      </w:tr>
      <w:tr>
        <w:trPr/>
        <w:tc>
          <w:tcPr>
            <w:tcW w:w="1200" w:type="dxa"/>
          </w:tcPr>
          <w:p w14:paraId="2A577751">
            <w:r>
              <w:rPr>
                <w:rFonts w:hint="eastAsia"/>
                <w:sz w:val="18"/>
              </w:rPr>
              <w:t>成本结构</w:t>
            </w:r>
          </w:p>
        </w:tc>
        <w:tc>
          <w:tcPr>
            <w:tcW w:w="3400" w:type="dxa"/>
          </w:tcPr>
          <w:p w14:paraId="338DBF64">
            <w:r>
              <w:rPr>
                <w:rFonts w:hint="eastAsia"/>
                <w:sz w:val="18"/>
              </w:rPr>
              <w:t>人力成本随规模线性增长</w:t>
            </w:r>
          </w:p>
        </w:tc>
        <w:tc>
          <w:tcPr>
            <w:tcW w:w="3900" w:type="dxa"/>
          </w:tcPr>
          <w:p w14:paraId="759B6181">
            <w:r>
              <w:rPr>
                <w:rFonts w:hint="eastAsia"/>
                <w:sz w:val="18"/>
              </w:rPr>
              <w:t>一次性投入加分摊运维，规模效应明显</w:t>
            </w:r>
          </w:p>
        </w:tc>
      </w:tr>
      <w:tr>
        <w:trPr/>
        <w:tc>
          <w:tcPr>
            <w:tcW w:w="1200" w:type="dxa"/>
          </w:tcPr>
          <w:p w14:paraId="001B21F4">
            <w:r>
              <w:rPr>
                <w:rFonts w:hint="eastAsia"/>
                <w:sz w:val="18"/>
              </w:rPr>
              <w:t>公众观感</w:t>
            </w:r>
          </w:p>
        </w:tc>
        <w:tc>
          <w:tcPr>
            <w:tcW w:w="3400" w:type="dxa"/>
          </w:tcPr>
          <w:p w14:paraId="3E44CC78">
            <w:r>
              <w:rPr>
                <w:rFonts w:hint="eastAsia"/>
                <w:sz w:val="18"/>
              </w:rPr>
              <w:t>熟悉、可沟通</w:t>
            </w:r>
          </w:p>
        </w:tc>
        <w:tc>
          <w:tcPr>
            <w:tcW w:w="3900" w:type="dxa"/>
          </w:tcPr>
          <w:p w14:paraId="1945C35E">
            <w:r>
              <w:rPr>
                <w:rFonts w:hint="eastAsia"/>
                <w:sz w:val="18"/>
              </w:rPr>
              <w:t>新奇或戒备，需告知与引导</w:t>
            </w:r>
          </w:p>
        </w:tc>
      </w:tr>
      <w:tr>
        <w:trPr/>
        <w:tc>
          <w:tcPr>
            <w:tcW w:w="1200" w:type="dxa"/>
          </w:tcPr>
          <w:p w14:paraId="343CC3C8">
            <w:r>
              <w:rPr>
                <w:rFonts w:hint="eastAsia"/>
                <w:sz w:val="18"/>
              </w:rPr>
              <w:t>失效模式</w:t>
            </w:r>
          </w:p>
        </w:tc>
        <w:tc>
          <w:tcPr>
            <w:tcW w:w="3400" w:type="dxa"/>
          </w:tcPr>
          <w:p w14:paraId="5ADFF876">
            <w:r>
              <w:rPr>
                <w:rFonts w:hint="eastAsia"/>
                <w:sz w:val="18"/>
              </w:rPr>
              <w:t>疲劳、疏忽、脱离岗位</w:t>
            </w:r>
          </w:p>
        </w:tc>
        <w:tc>
          <w:tcPr>
            <w:tcW w:w="3900" w:type="dxa"/>
          </w:tcPr>
          <w:p w14:paraId="465C407F">
            <w:r>
              <w:rPr>
                <w:rFonts w:hint="eastAsia"/>
                <w:sz w:val="18"/>
              </w:rPr>
              <w:t>跌倒、失联、误判、被恶意干扰</w:t>
            </w:r>
          </w:p>
        </w:tc>
      </w:tr>
    </w:tbl>
    <w:p w14:paraId="285E243B">
      <w:r>
        <w:rPr>
          <w:rFonts w:hint="eastAsia"/>
        </w:rPr>
        <w:t>（2）职责三清单。</w:t>
      </w:r>
      <w:r>
        <w:rPr>
          <w:rFonts w:hint="eastAsia"/>
          <w:b w:val="1"/>
        </w:rPr>
        <w:t>可自主执行</w:t>
      </w:r>
      <w:r>
        <w:rPr>
          <w:rFonts w:hint="eastAsia"/>
        </w:rPr>
        <w:t>：按规划路线巡视、态势感知与记录、人脸与车牌比对（在合规授权范围内）、异常检测、非强制喊话提醒、照明与警示、目标跟随（保持安全距离）、现场音视频回传、告警上报、路径与事件记录。</w:t>
      </w:r>
      <w:r>
        <w:rPr>
          <w:rFonts w:hint="eastAsia"/>
          <w:b w:val="1"/>
        </w:rPr>
        <w:t>须人工确认</w:t>
      </w:r>
      <w:r>
        <w:rPr>
          <w:rFonts w:hint="eastAsia"/>
        </w:rPr>
        <w:t>：进入受控或受限区域、对特定人员实施核验、对特定目标持续跟踪、喊话升级为驱离性提示、跨区调度、远程接管操作、调阅涉案数据。</w:t>
      </w:r>
      <w:r>
        <w:rPr>
          <w:rFonts w:hint="eastAsia"/>
          <w:b w:val="1"/>
        </w:rPr>
        <w:t>禁止执行</w:t>
      </w:r>
      <w:r>
        <w:rPr>
          <w:rFonts w:hint="eastAsia"/>
        </w:rPr>
        <w:t>：任何物理强制动作、限制人身自由、单独作出处罚或强制措施决定、在未获授权下采集生物特征、未与人工复核即公布比对结果、参与执法强制环节。</w:t>
      </w:r>
    </w:p>
    <w:p w14:paraId="5C4420E7">
      <w:r>
        <w:rPr>
          <w:rFonts w:hint="eastAsia"/>
        </w:rPr>
        <w:t>（3）三种协同模式。M1 人在环上（Human-on-the-loop）：常态巡逻，人监督、机器人自主，适用于 G1、G2 场景。M2 人在环中（Human-in-the-loop）：异常处置与需要确认的动作由人决策，适用于 G3、G4 场景及所有涉人处置。M3 降级自治：通信中断时机器人执行降级策略（见 2.7 节），只做记录与安全停驻，不做处置。</w:t>
      </w:r>
    </w:p>
    <w:p w14:paraId="79A8F98B">
      <w:r>
        <w:rPr>
          <w:rFonts w:hint="eastAsia"/>
        </w:rPr>
        <w:t>（4）升级与超时规则。告警发出后设定分级响应时限，例如紧急告警 30 s 内无人响应即自动升级至上一级并通知带班；机器人在等待确认期间保持安全距离并持续留证。所有超时与升级动作均须记录，用于事后评估协同机制的有效性。</w:t>
      </w:r>
    </w:p>
    <w:p w14:paraId="2BB5D35A">
      <w:r>
        <w:rPr>
          <w:rFonts w:hint="eastAsia"/>
        </w:rPr>
        <w:t>（5）班组与人机比。建议初期配置为 1 名巡逻人员配合 2–3 台机器人，或 1 名控制员监控 4–6 台机器人，具体数值应在试点中按实测的单机事务率校准（见 2.7 节第 5 点）。人机比是业务侧成本测算的核心参数，不能拍脑袋。</w:t>
      </w:r>
    </w:p>
    <w:p w14:paraId="5EC4197E">
      <w:r>
        <w:rPr>
          <w:rFonts w:hint="eastAsia"/>
        </w:rPr>
        <w:t>【关键指标与验收】职责清单覆盖全部作业动作（无未归类动作）；越权拦截测试 100% 通过；试点场景中机器人替代率与告警有效率可量化并逐月改善；协同机制运行 3 个月无因职责不清导致的争议事件。</w:t>
      </w:r>
    </w:p>
    <w:p w14:paraId="2CA97756">
      <w:r>
        <w:rPr>
          <w:rFonts w:hint="eastAsia"/>
        </w:rPr>
        <w:t>【建议责任单位】公共安全业务部门主责职责清单与协同规范；平台企业负责权限引擎实现；装备管理部门负责配置与定员；标准归口机构（SAC/TC561）负责标准化表述。</w:t>
      </w:r>
    </w:p>
    <w:p w14:paraId="3E56D8F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3.3 A3 现场运营安全与公共秩序（对应 R6）</w:t>
      </w:r>
    </w:p>
    <w:p w14:paraId="3A7C0E27">
      <w:r>
        <w:rPr>
          <w:rFonts w:hint="eastAsia"/>
        </w:rPr>
        <w:t>【问题实质】机器人在公共区域运行，会遇到大量非技术性的现场问题：围观、触碰、干扰、儿童追逐、自媒体拍摄、对机器人的误解与投诉。这些问题的处理质量，直接决定项目能否持续运行——很多试点失败并非技术不过关，而是现场管不住。</w:t>
      </w:r>
    </w:p>
    <w:p w14:paraId="636A46CC">
      <w:r>
        <w:rPr>
          <w:rFonts w:hint="eastAsia"/>
        </w:rPr>
        <w:t>【解决方案】告知—隔离—处置—复盘四步闭环。</w:t>
      </w:r>
    </w:p>
    <w:p w14:paraId="73798E56">
      <w:r>
        <w:rPr>
          <w:rFonts w:hint="eastAsia"/>
        </w:rPr>
        <w:t>【设计实现思路】</w:t>
      </w:r>
    </w:p>
    <w:p w14:paraId="076ED764">
      <w:r>
        <w:rPr>
          <w:rFonts w:hint="eastAsia"/>
        </w:rPr>
        <w:t>（1）告知。机身标识（设备名称、运行单位、监督电话、告知事项）、语音循环提示、试运行公示（在纳入物业或社区公告，明确运行时段、区域、数据用途与留存期限）。告知是降低投诉与纠纷成本最低的手段。</w:t>
      </w:r>
    </w:p>
    <w:p w14:paraId="1EA0D362">
      <w:r>
        <w:rPr>
          <w:rFonts w:hint="eastAsia"/>
        </w:rPr>
        <w:t>（2）隔离。物理上以电子围栏与路线规划避开人流密集区、儿童活动区；运行时段上避开高峰；必要时在重点部位设置物理隔离带。对高价值或高风险场景，可设固定值守位与机器人协同。</w:t>
      </w:r>
    </w:p>
    <w:p w14:paraId="47FFE212">
      <w:r>
        <w:rPr>
          <w:rFonts w:hint="eastAsia"/>
        </w:rPr>
        <w:t>（3）处置。现场异常（遮挡、推搡、拍打、泼洒、拖拽、围堵）触发声光警示、语音劝阻、自动后撤并上报；值守人员按作业卡流程到场；对故意破坏行为按证据留存移送处理（急停留证机制见 2.8 节）。</w:t>
      </w:r>
    </w:p>
    <w:p w14:paraId="289995F6">
      <w:r>
        <w:rPr>
          <w:rFonts w:hint="eastAsia"/>
        </w:rPr>
        <w:t>（4）复盘。每次现场异常事件登记归档，按月分析高频点位与时段，反馈到路线与作业卡调整，形成“运行—分析—优化”的循环。</w:t>
      </w:r>
    </w:p>
    <w:p w14:paraId="6DC432BF">
      <w:r>
        <w:rPr>
          <w:rFonts w:hint="eastAsia"/>
        </w:rPr>
        <w:t>【关键指标与验收】现场异常事件登记率 100%；投诉响应时限不超过 24 小时；试点期内因现场管理原因导致的运行中断次数逐季下降；数据用途与留存期限的公示覆盖率 100%。</w:t>
      </w:r>
    </w:p>
    <w:p w14:paraId="6F3ADE62">
      <w:r>
        <w:rPr>
          <w:rFonts w:hint="eastAsia"/>
        </w:rPr>
        <w:t>【建议责任单位】用户单位主责现场管理与告知；物业或属地管理部门配合；公共安全业务部门负责处置流程与移送规则。</w:t>
      </w:r>
    </w:p>
    <w:p w14:paraId="39057FB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3.4 A4 事故责任划分与可解释性口径（对应 R9）</w:t>
      </w:r>
    </w:p>
    <w:p w14:paraId="257FB60B">
      <w:r>
        <w:rPr>
          <w:rFonts w:hint="eastAsia"/>
        </w:rPr>
        <w:t>【问题实质】R9 提出两个问题，都需要给出明确结论而非模棱两可的表述。第一，为了便于事故定责，要求具身智能模型（或算法）具有可解释性是否可行？第二，发生碰撞、财产损失或人身伤害时，生产者、运营者、操作者的责任如何划分？</w:t>
      </w:r>
    </w:p>
    <w:p w14:paraId="5298538B">
      <w:r>
        <w:rPr>
          <w:rFonts w:hint="eastAsia"/>
        </w:rPr>
        <w:t>【解决方案】第一问的结论是：</w:t>
      </w:r>
      <w:r>
        <w:rPr>
          <w:rFonts w:hint="eastAsia"/>
          <w:b w:val="1"/>
        </w:rPr>
        <w:t>“完全可解释”不可行，但“可解释性证据链”完全可行，且更有效</w:t>
      </w:r>
      <w:r>
        <w:rPr>
          <w:rFonts w:hint="eastAsia"/>
        </w:rPr>
        <w:t>。第二问的结论是：</w:t>
      </w:r>
      <w:r>
        <w:rPr>
          <w:rFonts w:hint="eastAsia"/>
          <w:b w:val="1"/>
        </w:rPr>
        <w:t>不改变现行法律框架，而是用“证据加约定”把责任落到具体主体</w:t>
      </w:r>
      <w:r>
        <w:rPr>
          <w:rFonts w:hint="eastAsia"/>
        </w:rPr>
        <w:t>。</w:t>
      </w:r>
    </w:p>
    <w:p w14:paraId="229F7807">
      <w:r>
        <w:rPr>
          <w:rFonts w:hint="eastAsia"/>
        </w:rPr>
        <w:t>【设计实现思路】</w:t>
      </w:r>
    </w:p>
    <w:p w14:paraId="50683F60">
      <w:r>
        <w:rPr>
          <w:rFonts w:hint="eastAsia"/>
        </w:rPr>
        <w:t>（1）可解释性分三级要求，按可行性排序。A 级（强制）：决策过程可记录、可复现、可审计——包括时间戳、输入传感数据快照、模型版本与哈希、输出结果、置信度、命中的规则、人工干预记录、全过程音视频。这是定责的事实基础，</w:t>
      </w:r>
      <w:r>
        <w:rPr>
          <w:rFonts w:hint="eastAsia"/>
          <w:b w:val="1"/>
        </w:rPr>
        <w:t>不依赖模型内部可解释性</w:t>
      </w:r>
      <w:r>
        <w:rPr>
          <w:rFonts w:hint="eastAsia"/>
        </w:rPr>
        <w:t>，技术上完全成熟。B 级（推荐）：局部可解释——决策依据可视化（关注区域热力图、检测目标框与置信度、语音识别文本、触发规则）、对比解释（为什么选择该动作而非其他）、反事实回溯（若某条件改变会如何）。C 级（探索）：机制可解释与形式化验证，仅限关键安全功能（碰撞避免、权限判断），可用形式化方法验证有限状态机。</w:t>
      </w:r>
      <w:r>
        <w:rPr>
          <w:rFonts w:hint="eastAsia"/>
          <w:b w:val="1"/>
        </w:rPr>
        <w:t>全局大模型的可解释性不宜作为强制要求</w:t>
      </w:r>
      <w:r>
        <w:rPr>
          <w:rFonts w:hint="eastAsia"/>
        </w:rPr>
        <w:t>，技术上尚不成立，写进标准只会造成形式合规。</w:t>
      </w:r>
    </w:p>
    <w:p w14:paraId="009F4013">
      <w:r>
        <w:rPr>
          <w:rFonts w:hint="eastAsia"/>
        </w:rPr>
        <w:t>（2）标准条款的写法建议：不写“模型必须可解释”，而写“决策过程必须可记录、可复现、可审计”，并写“关键安全功能须具备可验证的设计（如 PLd / SIL 2）”。这一改写是把不可验收的要求换成可验收的要求，是本条目最实质的贡献。</w:t>
      </w:r>
    </w:p>
    <w:p w14:paraId="4CB3D76F">
      <w:r>
        <w:rPr>
          <w:rFonts w:hint="eastAsia"/>
        </w:rPr>
        <w:t>（3）责任矩阵（五方）。</w:t>
      </w:r>
      <w:r>
        <w:rPr>
          <w:rFonts w:hint="eastAsia"/>
          <w:b w:val="1"/>
        </w:rPr>
        <w:t>生产者与制造者</w:t>
      </w:r>
      <w:r>
        <w:rPr>
          <w:rFonts w:hint="eastAsia"/>
        </w:rPr>
        <w:t>：承担产品缺陷、设计缺陷、安全防护不足的责任，须提供符合性证据（风险评估、型式试验、出厂记录、说明书与警示）。</w:t>
      </w:r>
      <w:r>
        <w:rPr>
          <w:rFonts w:hint="eastAsia"/>
          <w:b w:val="1"/>
        </w:rPr>
        <w:t>运营者与使用单位</w:t>
      </w:r>
      <w:r>
        <w:rPr>
          <w:rFonts w:hint="eastAsia"/>
        </w:rPr>
        <w:t>：承担使用场景与说明书不符、未履行现场管理与安全员职责、超范围使用（如用于执法强制）、未按期维护校准、未做风险告知的责任。</w:t>
      </w:r>
      <w:r>
        <w:rPr>
          <w:rFonts w:hint="eastAsia"/>
          <w:b w:val="1"/>
        </w:rPr>
        <w:t>操作者与远程操作员</w:t>
      </w:r>
      <w:r>
        <w:rPr>
          <w:rFonts w:hint="eastAsia"/>
        </w:rPr>
        <w:t>：承担接管期间的直接操作行为与越权指令责任；但若系统设计导致其难以正确判断（界面误导、告警严重不准），责任应部分向生产者或运营者转移——这正是需要“人机交互可归因”设计的原因。</w:t>
      </w:r>
      <w:r>
        <w:rPr>
          <w:rFonts w:hint="eastAsia"/>
          <w:b w:val="1"/>
        </w:rPr>
        <w:t>数据与算法提供方</w:t>
      </w:r>
      <w:r>
        <w:rPr>
          <w:rFonts w:hint="eastAsia"/>
        </w:rPr>
        <w:t>：承担训练数据缺陷与算法缺陷导致误判的责任。</w:t>
      </w:r>
      <w:r>
        <w:rPr>
          <w:rFonts w:hint="eastAsia"/>
          <w:b w:val="1"/>
        </w:rPr>
        <w:t>平台方</w:t>
      </w:r>
      <w:r>
        <w:rPr>
          <w:rFonts w:hint="eastAsia"/>
        </w:rPr>
        <w:t>：承担调度错误、软件更新引入缺陷的责任。</w:t>
      </w:r>
    </w:p>
    <w:p w14:paraId="20F57DC4">
      <w:r>
        <w:rPr>
          <w:rFonts w:hint="eastAsia"/>
        </w:rPr>
        <w:t>（4）划分规则三条。一是以决策归属定责：机器人在 M1（人在环上）模式下自主行动，责任主要在生产与运营；在 M2（人在环中）模式下经人确认，责任主要在操作者及其单位。二是以过错加因果关系定责，过错责任为主。三是高风险场景强制投保责任险（产品责任险加公众责任险），并探索设立赔偿基金，避免单次事故击穿运营方。</w:t>
      </w:r>
    </w:p>
    <w:p w14:paraId="7A8D9D7C">
      <w:r>
        <w:rPr>
          <w:rFonts w:hint="eastAsia"/>
        </w:rPr>
        <w:t>（5）两项具体制度设计。</w:t>
      </w:r>
      <w:r>
        <w:rPr>
          <w:rFonts w:hint="eastAsia"/>
          <w:b w:val="1"/>
        </w:rPr>
        <w:t>强制事件数据记录（EDR）</w:t>
      </w:r>
      <w:r>
        <w:rPr>
          <w:rFonts w:hint="eastAsia"/>
        </w:rPr>
        <w:t>：参照汽车 EDR 思路，机器人须具备 EDR 模块，记录不少于 10 Hz 的关键状态（速度、加速度、转向、避障决策、急停状态、传感器健康）与视频，具备掉电保护、防篡改签名、事后只读导出能力，保留期不少于 1 年。</w:t>
      </w:r>
      <w:r>
        <w:rPr>
          <w:rFonts w:hint="eastAsia"/>
          <w:b w:val="1"/>
        </w:rPr>
        <w:t>第三方事故鉴定机制</w:t>
      </w:r>
      <w:r>
        <w:rPr>
          <w:rFonts w:hint="eastAsia"/>
        </w:rPr>
        <w:t>：由独立机构承担事故鉴定，鉴定依据即 EDR 数据与 A 级证据链；同时建立事故案例库供行业共享，形成“事故—改进—标准”的反馈闭环。</w:t>
      </w:r>
    </w:p>
    <w:p w14:paraId="03AEA958">
      <w:r>
        <w:rPr>
          <w:rFonts w:hint="eastAsia"/>
        </w:rPr>
        <w:t>【关键指标与验收】EDR 数据完整率 100%（模拟事故场景不少于 20 次验证）；证据链可复现率 100%（给定时间点可完整重建决策过程）；责任划分指引覆盖五方主体且每类给出不少于 2 个典型情形；试点项目完成责任险投保。</w:t>
      </w:r>
    </w:p>
    <w:p w14:paraId="453EA2DD">
      <w:r>
        <w:rPr>
          <w:rFonts w:hint="eastAsia"/>
        </w:rPr>
        <w:t>【建议责任单位】公安行业主管部门负责行业管理要求；司法与法律研究机构负责责任划分指引；整机与平台企业承担举证义务；保险机构参与保险机制设计；标准归口机构负责 EDR 与证据链条款。</w:t>
      </w:r>
    </w:p>
    <w:p w14:paraId="3513BB6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3.5 A5 与既有安防业务的流程融合（对应 R7）</w:t>
      </w:r>
    </w:p>
    <w:p w14:paraId="679A5479">
      <w:r>
        <w:rPr>
          <w:rFonts w:hint="eastAsia"/>
        </w:rPr>
        <w:t>【问题实质】接口打通是技术问题（见 2.6 节），流程融合是业务问题：即使数据互通，若告警处置仍各自为政，结果就是同一事件重复出警、值守人员被两套系统撕裂注意力。</w:t>
      </w:r>
    </w:p>
    <w:p w14:paraId="4F45728A">
      <w:r>
        <w:rPr>
          <w:rFonts w:hint="eastAsia"/>
        </w:rPr>
        <w:t>【解决方案】一线融合、一单到底、一屏呈现。</w:t>
      </w:r>
    </w:p>
    <w:p w14:paraId="5F6DAB18">
      <w:r>
        <w:rPr>
          <w:rFonts w:hint="eastAsia"/>
        </w:rPr>
        <w:t>【设计实现思路】</w:t>
      </w:r>
    </w:p>
    <w:p w14:paraId="5FA8E7BA">
      <w:r>
        <w:rPr>
          <w:rFonts w:hint="eastAsia"/>
        </w:rPr>
        <w:t>（1）一线融合：统一受理入口。视频报警、出入口异常、机器人告警进入同一事件队列，按统一分级标准处理，不再区分“视频的告警”和“机器人的告警”。</w:t>
      </w:r>
    </w:p>
    <w:p w14:paraId="302A8B35">
      <w:r>
        <w:rPr>
          <w:rFonts w:hint="eastAsia"/>
        </w:rPr>
        <w:t>（2）一单到底：事件处置单贯穿全过程。从告警产生、机器人复核、人员到场、处置结果到归档，同一事件进出同一张单子；机器人复核结论作为处置单的必备字段，形成完整链条。</w:t>
      </w:r>
    </w:p>
    <w:p w14:paraId="441C6031">
      <w:r>
        <w:rPr>
          <w:rFonts w:hint="eastAsia"/>
        </w:rPr>
        <w:t>（3）一屏呈现：在既有安防平台的同一张图上叠加机器人位姿、任务、视频与告警，操作员无需切换系统。这是流程融合能否被一线接受的关键——界面分裂会直接导致新系统被弃用。</w:t>
      </w:r>
    </w:p>
    <w:p w14:paraId="7879C61D">
      <w:r>
        <w:rPr>
          <w:rFonts w:hint="eastAsia"/>
        </w:rPr>
        <w:t>（4）去重与优先级规则：见 2.6 节第 6 点（半径 50 m、时间窗 60 s 聚类）；优先级按“涉及人身安全 &gt; 涉及财产 &gt; 秩序类 &gt; 提示类”排序，避免机器人例行提示挤占紧急告警的注意力。</w:t>
      </w:r>
    </w:p>
    <w:p w14:paraId="67C55287">
      <w:r>
        <w:rPr>
          <w:rFonts w:hint="eastAsia"/>
        </w:rPr>
        <w:t>（5）与接处警流程的衔接：明确机器人只提供现场信息与先期预警，不改变接处警的派单与处置规则；机器人回传的第一现场视音频应可挂接到警情单，供处置人员出警前预判。</w:t>
      </w:r>
    </w:p>
    <w:p w14:paraId="3B8A05BC">
      <w:r>
        <w:rPr>
          <w:rFonts w:hint="eastAsia"/>
        </w:rPr>
        <w:t>【关键指标与验收】事件统一受理比例 100%；重复出警率下降（试点期内较基线下降不低于 50%）；事件处置单闭环率 100%；操作员系统切换次数降为零（一屏呈现）。</w:t>
      </w:r>
    </w:p>
    <w:p w14:paraId="1F7A02D9">
      <w:r>
        <w:rPr>
          <w:rFonts w:hint="eastAsia"/>
        </w:rPr>
        <w:t>【建议责任单位】用户单位主责流程设计；安防平台集成商负责系统承载；公共安全业务部门负责与接处警流程的衔接规则。</w:t>
      </w:r>
    </w:p>
    <w:p w14:paraId="5050E88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3.6 A6 责任主体与治理机制（贯穿 R1–R9）</w:t>
      </w:r>
    </w:p>
    <w:p w14:paraId="618C431C">
      <w:r>
        <w:rPr>
          <w:rFonts w:hint="eastAsia"/>
        </w:rPr>
        <w:t>【问题实质】原表“责任单位”一列全部空白。这不是疏漏，而是反映了一个普遍现象：议题由使用方提出，但落到“谁来办”时边界模糊。没有主责，任何方案都会停留在纸面。</w:t>
      </w:r>
    </w:p>
    <w:p w14:paraId="3A0E1DCF">
      <w:r>
        <w:rPr>
          <w:rFonts w:hint="eastAsia"/>
        </w:rPr>
        <w:t>【解决方案】建立“条目—主责—配合—时限”四要素矩阵，并把标准化归口梳理清楚。</w:t>
      </w:r>
    </w:p>
    <w:p w14:paraId="2A14C55B">
      <w:r>
        <w:rPr>
          <w:rFonts w:hint="eastAsia"/>
        </w:rPr>
        <w:t>【设计实现思路】</w:t>
      </w:r>
    </w:p>
    <w:p w14:paraId="46AD6BAF">
      <w:r>
        <w:rPr>
          <w:rFonts w:hint="eastAsia"/>
        </w:rPr>
        <w:t>（1）四要素矩阵：每条议题明确一个主责单位（对结果负责）、若干配合单位（对输入负责）、以及时限（节点要求）。本报告附表 1 与附表 3 已给出建议值，可直接作为立项与任务分解的输入。</w:t>
      </w:r>
    </w:p>
    <w:p w14:paraId="097C2207">
      <w:r>
        <w:rPr>
          <w:rFonts w:hint="eastAsia"/>
        </w:rPr>
        <w:t>（2）标准归口的梳理是容易被忽略却最影响进度的一环。与本议题相关的归口机构至少包括：SAC/TC561（警用装备，归口范围含警用无人机与警用机器人）；SAC/TC100 及 SC2（安全防范报警系统与视频监控）；SAC/TC591（机器人，对口 ISO/TC299，设有检测分技委）；SAC/TC577（特种机器人相关）；全国网络安全标准化技术委员会（网络安全与数据安全）；工业和信息化部相关标准化技术委员会（具身智能与人工智能）。</w:t>
      </w:r>
      <w:r>
        <w:rPr>
          <w:rFonts w:hint="eastAsia"/>
          <w:b w:val="1"/>
        </w:rPr>
        <w:t>议题涉及跨归口时，须在立项阶段就明确每个条款的归口，否则会出现“标准写完了没人接”的局面</w:t>
      </w:r>
      <w:r>
        <w:rPr>
          <w:rFonts w:hint="eastAsia"/>
        </w:rPr>
        <w:t>——这是本报告从前期标准体系工作中得到的重要经验。</w:t>
      </w:r>
    </w:p>
    <w:p w14:paraId="43BF8254">
      <w:r>
        <w:rPr>
          <w:rFonts w:hint="eastAsia"/>
        </w:rPr>
        <w:t>（3）组织机制建议：由行业主管部门牵头成立跨部门工作组，下设业务定义组（公共安全）、技术实现组（企业与科研院所）、检测验证组（检测机构）三个小组，对应 1.4 节提出的三方闭环；工作组按季度评审，对已发布标准开展年度复审，把实践中发现的问题回流到标准修订。</w:t>
      </w:r>
    </w:p>
    <w:p w14:paraId="2FFE4633">
      <w:r>
        <w:rPr>
          <w:rFonts w:hint="eastAsia"/>
        </w:rPr>
        <w:t>【关键指标与验收】每条议题均有明确主责单位与时限；标准立项时归口已明确；三方闭环机制运行并有会议纪要可查；年度复审形成书面结论。</w:t>
      </w:r>
    </w:p>
    <w:p w14:paraId="00457B17">
      <w:r>
        <w:rPr>
          <w:rFonts w:hint="eastAsia"/>
        </w:rPr>
        <w:t>【建议责任单位】行业主管部门牵头；各标准归口机构按领域承接；用户单位与整机企业参与。</w:t>
      </w:r>
    </w:p>
    <w:p w14:paraId="69432A3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第四章 综合架构与实施路径</w:t>
      </w:r>
    </w:p>
    <w:p w14:paraId="175D647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4.1 总体架构：端—边—平台三段，安全与标准两线贯穿</w:t>
      </w:r>
    </w:p>
    <w:p w14:paraId="7D664F20">
      <w:r>
        <w:rPr>
          <w:rFonts w:hint="eastAsia"/>
        </w:rPr>
        <w:t>把上述技术方案收敛到一个总体架构中，可以归纳为“三段两线”。</w:t>
      </w:r>
    </w:p>
    <w:p w14:paraId="37C52E17">
      <w:r>
        <w:rPr>
          <w:rFonts w:hint="eastAsia"/>
        </w:rPr>
        <w:t>第一段，端（机器人本体）。承担感知、决策、执行与本体安全四件事，是能力的物理载体。端侧必须做到：不依赖网络也能安全运行（降级自治）；安全关键决策走确定性规则；具备 EDR 与本地缓存能力。</w:t>
      </w:r>
    </w:p>
    <w:p w14:paraId="234D512E">
      <w:r>
        <w:rPr>
          <w:rFonts w:hint="eastAsia"/>
        </w:rPr>
        <w:t>第二段，边（边缘计算与网关）。承担多机协同、本地推理、断网自治与视频接入四件事。边缘节点的价值在于把大带宽与实时性要求高的处理留在本地，同时作为机器人接入既有安防系统的统一出口——机器人的视频、事件、状态都从边缘节点进入既有平台的入口。</w:t>
      </w:r>
    </w:p>
    <w:p w14:paraId="64224855">
      <w:r>
        <w:rPr>
          <w:rFonts w:hint="eastAsia"/>
        </w:rPr>
        <w:t>第三段，平台（安防管理平台）。承担任务调度、事件融合、证据管理、运维管理、训练闭环五件事。平台的职责边界是“管与用”，不直接干预端的实时控制回路，避免网络抖动引发安全问题。</w:t>
      </w:r>
    </w:p>
    <w:p w14:paraId="469BA0FA">
      <w:r>
        <w:rPr>
          <w:rFonts w:hint="eastAsia"/>
        </w:rPr>
        <w:t>第一条贯穿线是</w:t>
      </w:r>
      <w:r>
        <w:rPr>
          <w:rFonts w:hint="eastAsia"/>
          <w:b w:val="1"/>
        </w:rPr>
        <w:t>安全</w:t>
      </w:r>
      <w:r>
        <w:rPr>
          <w:rFonts w:hint="eastAsia"/>
        </w:rPr>
        <w:t>：模型、本体、数据、网络、应用五域要求贯穿三段，不单独成层，采用“分散承载、集中审查”的方式落地（见 2.4 节与附表 2）。</w:t>
      </w:r>
    </w:p>
    <w:p w14:paraId="469B5066">
      <w:r>
        <w:rPr>
          <w:rFonts w:hint="eastAsia"/>
        </w:rPr>
        <w:t>第二条贯穿线是</w:t>
      </w:r>
      <w:r>
        <w:rPr>
          <w:rFonts w:hint="eastAsia"/>
          <w:b w:val="1"/>
        </w:rPr>
        <w:t>标准</w:t>
      </w:r>
      <w:r>
        <w:rPr>
          <w:rFonts w:hint="eastAsia"/>
        </w:rPr>
        <w:t>：以总体标准定框架与术语，以能力与接口标准定技术要求，以安全与测试标准定门槛与验证方法，三类标准共同约束三段，保证不同厂商的设备与平台能够互联互通、可比可测。</w:t>
      </w:r>
    </w:p>
    <w:p w14:paraId="4DA22AC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4.2 五项关键设计原则</w:t>
      </w:r>
    </w:p>
    <w:p w14:paraId="7B8BFD2A">
      <w:r>
        <w:rPr>
          <w:rFonts w:hint="eastAsia"/>
        </w:rPr>
        <w:t>（1）</w:t>
      </w:r>
      <w:r>
        <w:rPr>
          <w:rFonts w:hint="eastAsia"/>
          <w:b w:val="1"/>
        </w:rPr>
        <w:t>安全关键不依赖学习模型</w:t>
      </w:r>
      <w:r>
        <w:rPr>
          <w:rFonts w:hint="eastAsia"/>
        </w:rPr>
        <w:t>。碰撞避免、权限判断、急停响应等安全关键功能由确定性规则或形式化模块承担，大模型输出必须经安全闸校验。</w:t>
      </w:r>
    </w:p>
    <w:p w14:paraId="121C68B7">
      <w:r>
        <w:rPr>
          <w:rFonts w:hint="eastAsia"/>
        </w:rPr>
        <w:t>（2）</w:t>
      </w:r>
      <w:r>
        <w:rPr>
          <w:rFonts w:hint="eastAsia"/>
          <w:b w:val="1"/>
        </w:rPr>
        <w:t>不确定就拒绝执行</w:t>
      </w:r>
      <w:r>
        <w:rPr>
          <w:rFonts w:hint="eastAsia"/>
        </w:rPr>
        <w:t>。场景画像不匹配、自检不达标、网络不可靠、置信度过低，一律拒绝执行并上报，不做“打折执行”。</w:t>
      </w:r>
    </w:p>
    <w:p w14:paraId="0C9FC0A2">
      <w:r>
        <w:rPr>
          <w:rFonts w:hint="eastAsia"/>
        </w:rPr>
        <w:t>（3）</w:t>
      </w:r>
      <w:r>
        <w:rPr>
          <w:rFonts w:hint="eastAsia"/>
          <w:b w:val="1"/>
        </w:rPr>
        <w:t>先兜底再追高</w:t>
      </w:r>
      <w:r>
        <w:rPr>
          <w:rFonts w:hint="eastAsia"/>
        </w:rPr>
        <w:t>。跌倒恢复、自主决策、自主行走等能力，必须同时具备兜底路径（安全停驻、远程接管、人工到场），未完成兜底设计前不得放开能力上限。</w:t>
      </w:r>
    </w:p>
    <w:p w14:paraId="3418CBDD">
      <w:r>
        <w:rPr>
          <w:rFonts w:hint="eastAsia"/>
        </w:rPr>
        <w:t>（4）</w:t>
      </w:r>
      <w:r>
        <w:rPr>
          <w:rFonts w:hint="eastAsia"/>
          <w:b w:val="1"/>
        </w:rPr>
        <w:t>指标必须带测量条件与方法</w:t>
      </w:r>
      <w:r>
        <w:rPr>
          <w:rFonts w:hint="eastAsia"/>
        </w:rPr>
        <w:t>。无测试方法的指标不得进入标准与合同，要求—方法配对率 100%。</w:t>
      </w:r>
    </w:p>
    <w:p w14:paraId="019E2CF6">
      <w:r>
        <w:rPr>
          <w:rFonts w:hint="eastAsia"/>
        </w:rPr>
        <w:t>（5）</w:t>
      </w:r>
      <w:r>
        <w:rPr>
          <w:rFonts w:hint="eastAsia"/>
          <w:b w:val="1"/>
        </w:rPr>
        <w:t>融合优先于新建</w:t>
      </w:r>
      <w:r>
        <w:rPr>
          <w:rFonts w:hint="eastAsia"/>
        </w:rPr>
        <w:t>。机器人必须接入既有视频、报警、出入口与勤务体系，不允许另立一套平行系统。</w:t>
      </w:r>
    </w:p>
    <w:p w14:paraId="4469370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4.3 实施路径：三阶段推进</w:t>
      </w:r>
    </w:p>
    <w:tbl>
      <w:tblPr>
        <w:tblW w:w="850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0"/>
        <w:gridCol w:w="1300"/>
        <w:gridCol w:w="2100"/>
        <w:gridCol w:w="4000"/>
      </w:tblGrid>
      <w:tr>
        <w:trPr>
          <w:tblHeader w:val="1"/>
        </w:trPr>
        <w:tc>
          <w:tcPr>
            <w:tcW w:w="1100" w:type="dxa"/>
          </w:tcPr>
          <w:p w14:paraId="43B4D72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阶段</w:t>
            </w:r>
          </w:p>
        </w:tc>
        <w:tc>
          <w:tcPr>
            <w:tcW w:w="1300" w:type="dxa"/>
          </w:tcPr>
          <w:p w14:paraId="5AD0676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周期</w:t>
            </w:r>
          </w:p>
        </w:tc>
        <w:tc>
          <w:tcPr>
            <w:tcW w:w="2100" w:type="dxa"/>
          </w:tcPr>
          <w:p w14:paraId="51EB172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目标</w:t>
            </w:r>
          </w:p>
        </w:tc>
        <w:tc>
          <w:tcPr>
            <w:tcW w:w="4000" w:type="dxa"/>
          </w:tcPr>
          <w:p w14:paraId="066B7CD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关键交付物</w:t>
            </w:r>
          </w:p>
        </w:tc>
      </w:tr>
      <w:tr>
        <w:trPr/>
        <w:tc>
          <w:tcPr>
            <w:tcW w:w="1100" w:type="dxa"/>
          </w:tcPr>
          <w:p w14:paraId="31F9863E">
            <w:r>
              <w:rPr>
                <w:rFonts w:hint="eastAsia"/>
                <w:sz w:val="18"/>
              </w:rPr>
              <w:t>第一阶段 立规范</w:t>
            </w:r>
          </w:p>
        </w:tc>
        <w:tc>
          <w:tcPr>
            <w:tcW w:w="1300" w:type="dxa"/>
          </w:tcPr>
          <w:p w14:paraId="47BDA1B9">
            <w:r>
              <w:rPr>
                <w:rFonts w:hint="eastAsia"/>
                <w:sz w:val="18"/>
              </w:rPr>
              <w:t>0–6 个月</w:t>
            </w:r>
          </w:p>
        </w:tc>
        <w:tc>
          <w:tcPr>
            <w:tcW w:w="2100" w:type="dxa"/>
          </w:tcPr>
          <w:p w14:paraId="0CF44B26">
            <w:r>
              <w:rPr>
                <w:rFonts w:hint="eastAsia"/>
                <w:sz w:val="18"/>
              </w:rPr>
              <w:t>把“问什么”变成“怎么写”</w:t>
            </w:r>
          </w:p>
        </w:tc>
        <w:tc>
          <w:tcPr>
            <w:tcW w:w="4000" w:type="dxa"/>
          </w:tcPr>
          <w:p w14:paraId="1BE92EB9">
            <w:r>
              <w:rPr>
                <w:rFonts w:hint="eastAsia"/>
                <w:sz w:val="18"/>
              </w:rPr>
              <w:t>场景分类分级规范；场景画像与映射矩阵；能力指标体系表；接口规范与信息模型；安全最低强制项清单；数据集规范与基准框架</w:t>
            </w:r>
          </w:p>
        </w:tc>
      </w:tr>
      <w:tr>
        <w:trPr/>
        <w:tc>
          <w:tcPr>
            <w:tcW w:w="1100" w:type="dxa"/>
          </w:tcPr>
          <w:p w14:paraId="481DC058">
            <w:r>
              <w:rPr>
                <w:rFonts w:hint="eastAsia"/>
                <w:sz w:val="18"/>
              </w:rPr>
              <w:t>第二阶段 建能力</w:t>
            </w:r>
          </w:p>
        </w:tc>
        <w:tc>
          <w:tcPr>
            <w:tcW w:w="1300" w:type="dxa"/>
          </w:tcPr>
          <w:p w14:paraId="38260FEE">
            <w:r>
              <w:rPr>
                <w:rFonts w:hint="eastAsia"/>
                <w:sz w:val="18"/>
              </w:rPr>
              <w:t>6–18 个月</w:t>
            </w:r>
          </w:p>
        </w:tc>
        <w:tc>
          <w:tcPr>
            <w:tcW w:w="2100" w:type="dxa"/>
          </w:tcPr>
          <w:p w14:paraId="651F7495">
            <w:r>
              <w:rPr>
                <w:rFonts w:hint="eastAsia"/>
                <w:sz w:val="18"/>
              </w:rPr>
              <w:t>把“怎么写”变成“做得到”</w:t>
            </w:r>
          </w:p>
        </w:tc>
        <w:tc>
          <w:tcPr>
            <w:tcW w:w="4000" w:type="dxa"/>
          </w:tcPr>
          <w:p w14:paraId="491970B0">
            <w:r>
              <w:rPr>
                <w:rFonts w:hint="eastAsia"/>
                <w:sz w:val="18"/>
              </w:rPr>
              <w:t>2–3 类典型场景试点；接口一致性测试与联调；安全测评与型式试验；数据集积累与 PSPB 基准首发；责任划分指引与保险机制落地</w:t>
            </w:r>
          </w:p>
        </w:tc>
      </w:tr>
      <w:tr>
        <w:trPr/>
        <w:tc>
          <w:tcPr>
            <w:tcW w:w="1100" w:type="dxa"/>
          </w:tcPr>
          <w:p w14:paraId="7DA60161">
            <w:r>
              <w:rPr>
                <w:rFonts w:hint="eastAsia"/>
                <w:sz w:val="18"/>
              </w:rPr>
              <w:t>第三阶段 成体系</w:t>
            </w:r>
          </w:p>
        </w:tc>
        <w:tc>
          <w:tcPr>
            <w:tcW w:w="1300" w:type="dxa"/>
          </w:tcPr>
          <w:p w14:paraId="43877E10">
            <w:r>
              <w:rPr>
                <w:rFonts w:hint="eastAsia"/>
                <w:sz w:val="18"/>
              </w:rPr>
              <w:t>18–36 个月</w:t>
            </w:r>
          </w:p>
        </w:tc>
        <w:tc>
          <w:tcPr>
            <w:tcW w:w="2100" w:type="dxa"/>
          </w:tcPr>
          <w:p w14:paraId="09BD96F9">
            <w:r>
              <w:rPr>
                <w:rFonts w:hint="eastAsia"/>
                <w:sz w:val="18"/>
              </w:rPr>
              <w:t>把“做得到”变成“可复制”</w:t>
            </w:r>
          </w:p>
        </w:tc>
        <w:tc>
          <w:tcPr>
            <w:tcW w:w="4000" w:type="dxa"/>
          </w:tcPr>
          <w:p w14:paraId="4A1921A8">
            <w:r>
              <w:rPr>
                <w:rFonts w:hint="eastAsia"/>
                <w:sz w:val="18"/>
              </w:rPr>
              <w:t>标准分批发布与实施；规模化配置与运维体系；跨系统融合常态化；第三方检测常态化；事故案例库与年度复审机制</w:t>
            </w:r>
          </w:p>
        </w:tc>
      </w:tr>
    </w:tbl>
    <w:p w14:paraId="3A9C6CD5">
      <w:r>
        <w:rPr>
          <w:rFonts w:hint="eastAsia"/>
        </w:rPr>
        <w:t>三个阶段不是串行等待关系，第一阶段的部分成果（如场景画像与接口规范）需在第二阶段试点中持续迭代，但</w:t>
      </w:r>
      <w:r>
        <w:rPr>
          <w:rFonts w:hint="eastAsia"/>
          <w:b w:val="1"/>
        </w:rPr>
        <w:t>标准发布必须晚于试点验证</w:t>
      </w:r>
      <w:r>
        <w:rPr>
          <w:rFonts w:hint="eastAsia"/>
        </w:rPr>
        <w:t>，避免把未经验证的要求固化下来。</w:t>
      </w:r>
    </w:p>
    <w:p w14:paraId="13EF7F8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第五章 补充：文档未覆盖但需纳入的关键难点</w:t>
      </w:r>
    </w:p>
    <w:p w14:paraId="6D1B5867">
      <w:r>
        <w:rPr>
          <w:rFonts w:hint="eastAsia"/>
        </w:rPr>
        <w:t>原表序号 10 为占位（内容为“......”），说明编制方也认为条目需要补充。从六领域专家视角看，以下 9 项在巡逻机器人实际落地中具有同等重要性，且与前述 9 条构成完整闭环，建议一并纳入（详细方案要点与责任单位见附表 3）。</w:t>
      </w:r>
    </w:p>
    <w:p w14:paraId="720FF797">
      <w:r>
        <w:t xml:space="preserve">C1 </w:t>
      </w:r>
      <w:r>
        <w:rPr>
          <w:rFonts w:hint="eastAsia"/>
          <w:b w:val="1"/>
        </w:rPr>
        <w:t>多源融合定位与无网环境</w:t>
      </w:r>
      <w:r>
        <w:rPr>
          <w:rFonts w:hint="eastAsia"/>
        </w:rPr>
        <w:t>：室内、地下、遮挡与电磁干扰下定位漂移或失锁，会导致巡逻路线与告警位置不可信。方案要点：多源融合（UWB、激光雷达、视觉、惯导、轮式里程计）与内外切换；无网时启用本地语义地图与地标重定位；告警位置必须给出置信半径，超阈值时标注“位置待核”。</w:t>
      </w:r>
    </w:p>
    <w:p w14:paraId="4A758E62">
      <w:r>
        <w:t xml:space="preserve">C2 </w:t>
      </w:r>
      <w:r>
        <w:rPr>
          <w:rFonts w:hint="eastAsia"/>
          <w:b w:val="1"/>
        </w:rPr>
        <w:t>续航与无人值守自动充电</w:t>
      </w:r>
      <w:r>
        <w:rPr>
          <w:rFonts w:hint="eastAsia"/>
        </w:rPr>
        <w:t>：续航不足或回充失败会让“无人值守”名不副实。方案要点：连续巡逻不低于 6 h；自动回充成功率不低于 99%、对位精度不超过 2 cm；低电量阈值触发的自动返航分级；低温容量保持不低于 80%。</w:t>
      </w:r>
    </w:p>
    <w:p w14:paraId="5B426052">
      <w:r>
        <w:t xml:space="preserve">C3 </w:t>
      </w:r>
      <w:r>
        <w:rPr>
          <w:rFonts w:hint="eastAsia"/>
          <w:b w:val="1"/>
        </w:rPr>
        <w:t>误报率与处置闭环</w:t>
      </w:r>
      <w:r>
        <w:rPr>
          <w:rFonts w:hint="eastAsia"/>
        </w:rPr>
        <w:t>：误报过多会导致值守人员麻木、空跑率高，最终业务方失去信任。方案要点：设定可测目标（误报不超过 1 次每班次、告警有效率不低于 90%）；告警分级与阈值按时段区域可配；强制二次确认流程；误报样本自动回收用于迭代。</w:t>
      </w:r>
    </w:p>
    <w:p w14:paraId="638CB594">
      <w:r>
        <w:t xml:space="preserve">C4 </w:t>
      </w:r>
      <w:r>
        <w:rPr>
          <w:rFonts w:hint="eastAsia"/>
          <w:b w:val="1"/>
        </w:rPr>
        <w:t>电磁兼容与反制装备共存</w:t>
      </w:r>
      <w:r>
        <w:rPr>
          <w:rFonts w:hint="eastAsia"/>
        </w:rPr>
        <w:t>：现场视频、报警、无线设备与反无人机反制装备同域工作，反制设备可能造成机器人通信中断与导航失效。方案要点：执行相关 EMC 标准；建立现场频谱协调与作业回避机制；明确反制期间机器人的安全策略（自动降速、停驻、返航或进入安全区）；采购文件中将“存在反制装备”写入场景画像。这一项对同时承担反制类项目的单位尤为关键——巡逻机器人与反制装备的电磁共存问题，若不在设计阶段解决，现场必然出现相互干扰。</w:t>
      </w:r>
    </w:p>
    <w:p w14:paraId="36500424">
      <w:r>
        <w:t xml:space="preserve">C5 </w:t>
      </w:r>
      <w:r>
        <w:rPr>
          <w:rFonts w:hint="eastAsia"/>
          <w:b w:val="1"/>
        </w:rPr>
        <w:t>人机共存与行人安全</w:t>
      </w:r>
      <w:r>
        <w:rPr>
          <w:rFonts w:hint="eastAsia"/>
        </w:rPr>
        <w:t>：密集人流、儿童与老人等弱势对象、宠物、摔倒人员等场景下的避让策略缺失。方案要点：社交导航配合分层安全半径（预警 2 m、减速 1.5 m、停止 1 m）；分类识别弱势对象并加大安全距离；对倒地人员执行“不压不碰、呼救上报”；通行礼仪写入作业规范。</w:t>
      </w:r>
    </w:p>
    <w:p w14:paraId="3DEF8E80">
      <w:r>
        <w:t xml:space="preserve">C6 </w:t>
      </w:r>
      <w:r>
        <w:rPr>
          <w:rFonts w:hint="eastAsia"/>
          <w:b w:val="1"/>
        </w:rPr>
        <w:t>恶劣环境适应性</w:t>
      </w:r>
      <w:r>
        <w:rPr>
          <w:rFonts w:hint="eastAsia"/>
        </w:rPr>
        <w:t>：雨雪、结冰、高温、积水、沙尘、结露会导致传感器失效与运动失稳。方案要点：分级环境适应性要求；传感器加热除雾与疏水涂层；地面摩擦变化时自适应限速；极端条件下自动降级为定点值守或返航。</w:t>
      </w:r>
    </w:p>
    <w:p w14:paraId="281BD8D9">
      <w:r>
        <w:t xml:space="preserve">C7 </w:t>
      </w:r>
      <w:r>
        <w:rPr>
          <w:rFonts w:hint="eastAsia"/>
          <w:b w:val="1"/>
        </w:rPr>
        <w:t>运维与规模化</w:t>
      </w:r>
      <w:r>
        <w:rPr>
          <w:rFonts w:hint="eastAsia"/>
        </w:rPr>
        <w:t>：备件、远程诊断、批量升级、故障预测缺失，规模一上来可用率迅速下降。方案要点：建立健康管理与剩余寿命预测（电池、电机、减速器、激光雷达）；批量 OTA 与灰度发布；备机率不低于 10%、常用备件 4 h 到位；可用率与 MTBF 纳入运维考核。</w:t>
      </w:r>
    </w:p>
    <w:p w14:paraId="772DE89C">
      <w:r>
        <w:t xml:space="preserve">C8 </w:t>
      </w:r>
      <w:r>
        <w:rPr>
          <w:rFonts w:hint="eastAsia"/>
          <w:b w:val="1"/>
        </w:rPr>
        <w:t>伦理、告知与舆情</w:t>
      </w:r>
      <w:r>
        <w:rPr>
          <w:rFonts w:hint="eastAsia"/>
        </w:rPr>
        <w:t>：拍摄边界不清、告知不充分，容易引发围观、投诉与舆情。方案要点：现场告知与试运行公示；对住宅、窗户、私密场所自动遮挡；公开数据用途与留存期限；建立投诉受理与响应机制；严格限制涉未成年人影像。</w:t>
      </w:r>
    </w:p>
    <w:p w14:paraId="0B29B012">
      <w:r>
        <w:t xml:space="preserve">C9 </w:t>
      </w:r>
      <w:r>
        <w:rPr>
          <w:rFonts w:hint="eastAsia"/>
          <w:b w:val="1"/>
        </w:rPr>
        <w:t>空地协同（无人机与地面机器人）</w:t>
      </w:r>
      <w:r>
        <w:rPr>
          <w:rFonts w:hint="eastAsia"/>
        </w:rPr>
        <w:t>：地面机器人视野与速度受限，无人机续航与处置能力受限，二者尚未形成协同。方案要点：统一调度平台下发协同任务——无人机负责大范围快速巡查与目标发现，地面机器人负责近距核查与持续值守；目标交接采用统一目标 ID 与坐标基准；明确空域合规与安全间隔规则；无人机续航不足时采用多机轮转与自动机场实现接力覆盖。</w:t>
      </w:r>
    </w:p>
    <w:p w14:paraId="35FDFD8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结语</w:t>
      </w:r>
    </w:p>
    <w:p w14:paraId="13304950">
      <w:r>
        <w:rPr>
          <w:rFonts w:hint="eastAsia"/>
        </w:rPr>
        <w:t>原表 9 条议题，本质上是 9 个尚未闭合的问题。本报告的闭合方式可以概括为一句话：</w:t>
      </w:r>
      <w:r>
        <w:rPr>
          <w:rFonts w:hint="eastAsia"/>
          <w:b w:val="1"/>
        </w:rPr>
        <w:t>用场景定义把需求变成指标，用指标体系把指标变成门槛，用检测验证把门槛变成事实，用责任划分把事实变成规则</w:t>
      </w:r>
      <w:r>
        <w:rPr>
          <w:rFonts w:hint="eastAsia"/>
        </w:rPr>
        <w:t>。四步之中，任何一步缺失，其余三步都会退化——这是本报告在逐条给出 9 类方案之外，最希望传递的判断。</w:t>
      </w:r>
    </w:p>
    <w:p w14:paraId="71FB1253">
      <w:pPr>
        <w:sectPr>
          <w:footerReference r:id="rId4" w:type="first"/>
          <w:footerReference r:id="rId6" w:type="even"/>
          <w:footerReference r:id="rId5" w:type="default"/>
          <w:type/>
          <w:pgSz w:w="11906" w:h="16838" w:orient="portrait"/>
          <w:pgMar w:top="1440" w:right="1700" w:bottom="1440" w:left="1700"/>
          <w:pgNumType w:fmt="decimal" w:start="1"/>
        </w:sectPr>
      </w:pPr>
    </w:p>
    <w:p w14:paraId="5AC233F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附表 1　问题—方案—责任—交付物对应总表</w:t>
      </w:r>
    </w:p>
    <w:p w14:paraId="22460823">
      <w:r>
        <w:rPr>
          <w:rFonts w:hint="eastAsia"/>
        </w:rPr>
        <w:t>说明：本表是“一一对应”的核心校验表。左侧列严格对应原文档序号与主题，中间列给出提炼后的核心问题与对应方案要点（S 编号指向正文对应小节），右侧列给出建议责任单位与可验收的交付物，确保每条议题既有答案、又有主责、还能验收。</w:t>
      </w:r>
    </w:p>
    <w:tbl>
      <w:tblPr>
        <w:tblW w:w="1514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0"/>
        <w:gridCol w:w="1300"/>
        <w:gridCol w:w="2400"/>
        <w:gridCol w:w="4600"/>
        <w:gridCol w:w="2600"/>
        <w:gridCol w:w="3740"/>
      </w:tblGrid>
      <w:tr>
        <w:trPr>
          <w:tblHeader w:val="1"/>
        </w:trPr>
        <w:tc>
          <w:tcPr>
            <w:tcW w:w="500" w:type="dxa"/>
          </w:tcPr>
          <w:p w14:paraId="2BA76AE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6"/>
              </w:rPr>
              <w:t>编号</w:t>
            </w:r>
          </w:p>
        </w:tc>
        <w:tc>
          <w:tcPr>
            <w:tcW w:w="1300" w:type="dxa"/>
          </w:tcPr>
          <w:p w14:paraId="3494EC3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6"/>
              </w:rPr>
              <w:t>主题</w:t>
            </w:r>
          </w:p>
        </w:tc>
        <w:tc>
          <w:tcPr>
            <w:tcW w:w="2400" w:type="dxa"/>
          </w:tcPr>
          <w:p w14:paraId="02A99BD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6"/>
              </w:rPr>
              <w:t>核心问题（提炼）</w:t>
            </w:r>
          </w:p>
        </w:tc>
        <w:tc>
          <w:tcPr>
            <w:tcW w:w="4600" w:type="dxa"/>
          </w:tcPr>
          <w:p w14:paraId="14F0435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6"/>
              </w:rPr>
              <w:t>解决方案要点</w:t>
            </w:r>
          </w:p>
        </w:tc>
        <w:tc>
          <w:tcPr>
            <w:tcW w:w="2600" w:type="dxa"/>
          </w:tcPr>
          <w:p w14:paraId="250B20D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6"/>
              </w:rPr>
              <w:t>建议责任单位</w:t>
            </w:r>
          </w:p>
        </w:tc>
        <w:tc>
          <w:tcPr>
            <w:tcW w:w="3740" w:type="dxa"/>
          </w:tcPr>
          <w:p w14:paraId="374204A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6"/>
              </w:rPr>
              <w:t>交付物与验证</w:t>
            </w:r>
          </w:p>
        </w:tc>
      </w:tr>
      <w:tr>
        <w:trPr/>
        <w:tc>
          <w:tcPr>
            <w:tcW w:w="500" w:type="dxa"/>
          </w:tcPr>
          <w:p w14:paraId="1E504D25">
            <w:r>
              <w:rPr>
                <w:sz w:val="16"/>
              </w:rPr>
              <w:t>R1</w:t>
            </w:r>
          </w:p>
        </w:tc>
        <w:tc>
          <w:tcPr>
            <w:tcW w:w="1300" w:type="dxa"/>
          </w:tcPr>
          <w:p w14:paraId="6C15783C">
            <w:r>
              <w:rPr>
                <w:rFonts w:hint="eastAsia"/>
                <w:sz w:val="16"/>
              </w:rPr>
              <w:t>安防巡逻场景定义</w:t>
            </w:r>
          </w:p>
        </w:tc>
        <w:tc>
          <w:tcPr>
            <w:tcW w:w="2400" w:type="dxa"/>
          </w:tcPr>
          <w:p w14:paraId="41399E44">
            <w:r>
              <w:rPr>
                <w:rFonts w:hint="eastAsia"/>
                <w:sz w:val="16"/>
              </w:rPr>
              <w:t>场景定义停留在自然语言描述，无法转为可测指标；场景与能力之间缺少映射规则，验收时无法判定是否满足场景</w:t>
            </w:r>
          </w:p>
        </w:tc>
        <w:tc>
          <w:tcPr>
            <w:tcW w:w="4600" w:type="dxa"/>
          </w:tcPr>
          <w:p w14:paraId="5CE5640F">
            <w:r>
              <w:rPr>
                <w:rFonts w:hint="eastAsia"/>
                <w:sz w:val="16"/>
              </w:rPr>
              <w:t>S1-1 建立四维场景标签体系（空间、任务、环境、风险）；S1-2 定义机器可读的场景画像 Scene Profile；S1-3 建立场景—能力映射矩阵与 G1–G4 作业分级；S1-4 任务下发即加载能力配置集，自检不达标拒绝执行</w:t>
            </w:r>
          </w:p>
        </w:tc>
        <w:tc>
          <w:tcPr>
            <w:tcW w:w="2600" w:type="dxa"/>
          </w:tcPr>
          <w:p w14:paraId="65F8D3D3">
            <w:r>
              <w:rPr>
                <w:rFonts w:hint="eastAsia"/>
                <w:sz w:val="16"/>
              </w:rPr>
              <w:t>行业主管部门（分级口径）；用户单位（场景条件）；标准归口 TC100 及 SC2、TC561；科研院所（矩阵建模）</w:t>
            </w:r>
          </w:p>
        </w:tc>
        <w:tc>
          <w:tcPr>
            <w:tcW w:w="3740" w:type="dxa"/>
          </w:tcPr>
          <w:p w14:paraId="580F2EA3">
            <w:r>
              <w:rPr>
                <w:rFonts w:hint="eastAsia"/>
                <w:sz w:val="16"/>
              </w:rPr>
              <w:t>《安防巡逻场景分类与分级规范》；《场景—能力映射矩阵》；G1–G4 各级至少 1 套验收用例并实测</w:t>
            </w:r>
          </w:p>
        </w:tc>
      </w:tr>
      <w:tr>
        <w:trPr/>
        <w:tc>
          <w:tcPr>
            <w:tcW w:w="500" w:type="dxa"/>
          </w:tcPr>
          <w:p w14:paraId="4107D769">
            <w:r>
              <w:rPr>
                <w:sz w:val="16"/>
              </w:rPr>
              <w:t>R2</w:t>
            </w:r>
          </w:p>
        </w:tc>
        <w:tc>
          <w:tcPr>
            <w:tcW w:w="1300" w:type="dxa"/>
          </w:tcPr>
          <w:p w14:paraId="53C617F5">
            <w:r>
              <w:rPr>
                <w:rFonts w:hint="eastAsia"/>
                <w:sz w:val="16"/>
              </w:rPr>
              <w:t>人机协同机制</w:t>
            </w:r>
          </w:p>
        </w:tc>
        <w:tc>
          <w:tcPr>
            <w:tcW w:w="2400" w:type="dxa"/>
          </w:tcPr>
          <w:p w14:paraId="56B45201">
            <w:r>
              <w:rPr>
                <w:rFonts w:hint="eastAsia"/>
                <w:sz w:val="16"/>
              </w:rPr>
              <w:t>人员与机器人的职责边界未划定，机器人要么越权带来法律风险，要么沦为移动摄像机；协同机制缺少技术承载</w:t>
            </w:r>
          </w:p>
        </w:tc>
        <w:tc>
          <w:tcPr>
            <w:tcW w:w="4600" w:type="dxa"/>
          </w:tcPr>
          <w:p w14:paraId="237ED558">
            <w:r>
              <w:rPr>
                <w:rFonts w:hint="eastAsia"/>
                <w:sz w:val="16"/>
              </w:rPr>
              <w:t>S2-1 制定职责三清单（可自主、须确认、禁止）；S2-2 三种协同模式（人在环上、人在环中、降级自治）与升级超时规则；S2-3 编制班组与人机比并实测；S2-4 平台侧权限引擎固化职责；S2-5 状态共享、接管通道与告警可信度技术指标</w:t>
            </w:r>
          </w:p>
        </w:tc>
        <w:tc>
          <w:tcPr>
            <w:tcW w:w="2600" w:type="dxa"/>
          </w:tcPr>
          <w:p w14:paraId="4A7C3A9E">
            <w:r>
              <w:rPr>
                <w:rFonts w:hint="eastAsia"/>
                <w:sz w:val="16"/>
              </w:rPr>
              <w:t>公共安全业务部门（治安、巡特警）；平台企业；装备管理部门；标准归口 TC561</w:t>
            </w:r>
          </w:p>
        </w:tc>
        <w:tc>
          <w:tcPr>
            <w:tcW w:w="3740" w:type="dxa"/>
          </w:tcPr>
          <w:p w14:paraId="19C26853">
            <w:r>
              <w:rPr>
                <w:rFonts w:hint="eastAsia"/>
                <w:sz w:val="16"/>
              </w:rPr>
              <w:t>《人机协同作业规范》；《职责清单与权限配置表》；接管时延不超过 2 s、越权拦截率 100%、告警证据完整率 100%</w:t>
            </w:r>
          </w:p>
        </w:tc>
      </w:tr>
      <w:tr>
        <w:trPr/>
        <w:tc>
          <w:tcPr>
            <w:tcW w:w="500" w:type="dxa"/>
          </w:tcPr>
          <w:p w14:paraId="00F096DD">
            <w:r>
              <w:rPr>
                <w:sz w:val="16"/>
              </w:rPr>
              <w:t>R3</w:t>
            </w:r>
          </w:p>
        </w:tc>
        <w:tc>
          <w:tcPr>
            <w:tcW w:w="1300" w:type="dxa"/>
          </w:tcPr>
          <w:p w14:paraId="792B9993">
            <w:r>
              <w:rPr>
                <w:rFonts w:hint="eastAsia"/>
                <w:sz w:val="16"/>
              </w:rPr>
              <w:t>具身智能巡逻机器人安全</w:t>
            </w:r>
          </w:p>
        </w:tc>
        <w:tc>
          <w:tcPr>
            <w:tcW w:w="2400" w:type="dxa"/>
          </w:tcPr>
          <w:p w14:paraId="75D47C7A">
            <w:r>
              <w:rPr>
                <w:rFonts w:hint="eastAsia"/>
                <w:sz w:val="16"/>
              </w:rPr>
              <w:t>模型、本体、数据、网络、应用五域安全技术指标缺位，等级不明、无法测评；五域之间缺少衔接设计</w:t>
            </w:r>
          </w:p>
        </w:tc>
        <w:tc>
          <w:tcPr>
            <w:tcW w:w="4600" w:type="dxa"/>
          </w:tcPr>
          <w:p w14:paraId="4EFD4A8D">
            <w:r>
              <w:rPr>
                <w:rFonts w:hint="eastAsia"/>
                <w:sz w:val="16"/>
              </w:rPr>
              <w:t>S3-1 建立五域—指标—验证矩阵并划分强制与推荐项；S3-2 决策双轨制与安全闸（安全关键决策走确定性规则）；S3-3 模型安全红队与鲁棒性指标；S3-4 数据分类分级与生物特征本地化处理；S3-5 网络 mTLS、安全启动、抗重放；S3-6 应用侧 SBOM 与漏洞修复时限</w:t>
            </w:r>
          </w:p>
        </w:tc>
        <w:tc>
          <w:tcPr>
            <w:tcW w:w="2600" w:type="dxa"/>
          </w:tcPr>
          <w:p w14:paraId="58C1FFD3">
            <w:r>
              <w:rPr>
                <w:rFonts w:hint="eastAsia"/>
                <w:sz w:val="16"/>
              </w:rPr>
              <w:t>网络安全测评与检测认证机构；标准归口 TC260、TC100、TC591；整机与平台企业</w:t>
            </w:r>
          </w:p>
        </w:tc>
        <w:tc>
          <w:tcPr>
            <w:tcW w:w="3740" w:type="dxa"/>
          </w:tcPr>
          <w:p w14:paraId="37897C25">
            <w:r>
              <w:rPr>
                <w:rFonts w:hint="eastAsia"/>
                <w:sz w:val="16"/>
              </w:rPr>
              <w:t>《具身智能巡逻机器人安全要求》（五域）；红队用例库不少于 500 条；型式试验与渗透测试报告</w:t>
            </w:r>
          </w:p>
        </w:tc>
      </w:tr>
      <w:tr>
        <w:trPr/>
        <w:tc>
          <w:tcPr>
            <w:tcW w:w="500" w:type="dxa"/>
          </w:tcPr>
          <w:p w14:paraId="18AEF2EC">
            <w:r>
              <w:rPr>
                <w:sz w:val="16"/>
              </w:rPr>
              <w:t>R4</w:t>
            </w:r>
          </w:p>
        </w:tc>
        <w:tc>
          <w:tcPr>
            <w:tcW w:w="1300" w:type="dxa"/>
          </w:tcPr>
          <w:p w14:paraId="789F23C0">
            <w:r>
              <w:rPr>
                <w:rFonts w:hint="eastAsia"/>
                <w:sz w:val="16"/>
              </w:rPr>
              <w:t>具身智能能力与巡逻场景的适配要求</w:t>
            </w:r>
          </w:p>
        </w:tc>
        <w:tc>
          <w:tcPr>
            <w:tcW w:w="2400" w:type="dxa"/>
          </w:tcPr>
          <w:p w14:paraId="0AB08E0A">
            <w:r>
              <w:rPr>
                <w:rFonts w:hint="eastAsia"/>
                <w:sz w:val="16"/>
              </w:rPr>
              <w:t>六类能力只有名称没有指标，缺少测量条件与判定准则，跨场景不可比；招投标中指标被无意义刷高</w:t>
            </w:r>
          </w:p>
        </w:tc>
        <w:tc>
          <w:tcPr>
            <w:tcW w:w="4600" w:type="dxa"/>
          </w:tcPr>
          <w:p w14:paraId="2D30BA2A">
            <w:r>
              <w:rPr>
                <w:rFonts w:hint="eastAsia"/>
                <w:sz w:val="16"/>
              </w:rPr>
              <w:t>S4-1 六域能力指标化（每域 3–6 项，含门槛值与目标值）；S4-2 每指标绑定测量条件、测试方法与样本量；S4-3 能力成熟度 E1–E4 与场景等级 G1–G4 对齐；S4-4 安全类指标不设优选档</w:t>
            </w:r>
          </w:p>
        </w:tc>
        <w:tc>
          <w:tcPr>
            <w:tcW w:w="2600" w:type="dxa"/>
          </w:tcPr>
          <w:p w14:paraId="46888F92">
            <w:r>
              <w:rPr>
                <w:rFonts w:hint="eastAsia"/>
                <w:sz w:val="16"/>
              </w:rPr>
              <w:t>整机企业（实现与自测）；检测机构（型式试验）；标准归口机构（指标口径）；用户单位（场景门槛确认）</w:t>
            </w:r>
          </w:p>
        </w:tc>
        <w:tc>
          <w:tcPr>
            <w:tcW w:w="3740" w:type="dxa"/>
          </w:tcPr>
          <w:p w14:paraId="129573AB">
            <w:r>
              <w:rPr>
                <w:rFonts w:hint="eastAsia"/>
                <w:sz w:val="16"/>
              </w:rPr>
              <w:t>《能力指标体系表》；E1–E4 分级判定规则（每级不少于 5 条）；要求—方法配对率 100%；第三方检测报告覆盖全部门槛值项</w:t>
            </w:r>
          </w:p>
        </w:tc>
      </w:tr>
      <w:tr>
        <w:trPr/>
        <w:tc>
          <w:tcPr>
            <w:tcW w:w="500" w:type="dxa"/>
          </w:tcPr>
          <w:p w14:paraId="7BF9FB65">
            <w:r>
              <w:rPr>
                <w:sz w:val="16"/>
              </w:rPr>
              <w:t>R5</w:t>
            </w:r>
          </w:p>
        </w:tc>
        <w:tc>
          <w:tcPr>
            <w:tcW w:w="1300" w:type="dxa"/>
          </w:tcPr>
          <w:p w14:paraId="3762FAB2">
            <w:r>
              <w:rPr>
                <w:rFonts w:hint="eastAsia"/>
                <w:sz w:val="16"/>
              </w:rPr>
              <w:t>倒地后自行恢复站立</w:t>
            </w:r>
          </w:p>
        </w:tc>
        <w:tc>
          <w:tcPr>
            <w:tcW w:w="2400" w:type="dxa"/>
          </w:tcPr>
          <w:p w14:paraId="05F0DFCF">
            <w:r>
              <w:rPr>
                <w:rFonts w:hint="eastAsia"/>
                <w:sz w:val="16"/>
              </w:rPr>
              <w:t>被当作单一算法问题，忽略选型、形态与兜底，可靠性无从保证；是否存在可行方案需明确结论</w:t>
            </w:r>
          </w:p>
        </w:tc>
        <w:tc>
          <w:tcPr>
            <w:tcW w:w="4600" w:type="dxa"/>
          </w:tcPr>
          <w:p w14:paraId="5D253672">
            <w:r>
              <w:rPr>
                <w:rFonts w:hint="eastAsia"/>
                <w:sz w:val="16"/>
              </w:rPr>
              <w:t>S5-1 选型层面降低倒地概率（平层优先轮式或轮腿式）；S5-2 形态与质心设计（低重心、恢复支撑凸台、传感器内嵌、关节抱闸）；S5-3 姿态与可恢复性自诊断；S5-4 恢复策略库与仿真训练加 sim2real；S5-5 四级恢复分级与兜底通道</w:t>
            </w:r>
          </w:p>
        </w:tc>
        <w:tc>
          <w:tcPr>
            <w:tcW w:w="2600" w:type="dxa"/>
          </w:tcPr>
          <w:p w14:paraId="62B420C2">
            <w:r>
              <w:rPr>
                <w:rFonts w:hint="eastAsia"/>
                <w:sz w:val="16"/>
              </w:rPr>
              <w:t>整机企业（形态与策略）；检测机构（实物试验规则）；标准归口机构（强制项与推荐项划分）；高校院所（策略学习）</w:t>
            </w:r>
          </w:p>
        </w:tc>
        <w:tc>
          <w:tcPr>
            <w:tcW w:w="3740" w:type="dxa"/>
          </w:tcPr>
          <w:p w14:paraId="50AD00A3">
            <w:r>
              <w:rPr>
                <w:rFonts w:hint="eastAsia"/>
                <w:sz w:val="16"/>
              </w:rPr>
              <w:t>不少于 200 次倒地复位实物试验报告（成功率不低于 95%）；不可恢复场景 100% 进入安全停驻并告警；分级要求条款草案</w:t>
            </w:r>
          </w:p>
        </w:tc>
      </w:tr>
      <w:tr>
        <w:trPr/>
        <w:tc>
          <w:tcPr>
            <w:tcW w:w="500" w:type="dxa"/>
          </w:tcPr>
          <w:p w14:paraId="3F954EF5">
            <w:r>
              <w:rPr>
                <w:sz w:val="16"/>
              </w:rPr>
              <w:t>R6</w:t>
            </w:r>
          </w:p>
        </w:tc>
        <w:tc>
          <w:tcPr>
            <w:tcW w:w="1300" w:type="dxa"/>
          </w:tcPr>
          <w:p w14:paraId="49D4EF49">
            <w:r>
              <w:rPr>
                <w:rFonts w:hint="eastAsia"/>
                <w:sz w:val="16"/>
              </w:rPr>
              <w:t>急停按钮弊端</w:t>
            </w:r>
          </w:p>
        </w:tc>
        <w:tc>
          <w:tcPr>
            <w:tcW w:w="2400" w:type="dxa"/>
          </w:tcPr>
          <w:p w14:paraId="5F3899BF">
            <w:r>
              <w:rPr>
                <w:rFonts w:hint="eastAsia"/>
                <w:sz w:val="16"/>
              </w:rPr>
              <w:t>急停会被无关人员误触，也会被恶意触发；而急停功能不可取消，需在可达性与防误之间做工程设计</w:t>
            </w:r>
          </w:p>
        </w:tc>
        <w:tc>
          <w:tcPr>
            <w:tcW w:w="4600" w:type="dxa"/>
          </w:tcPr>
          <w:p w14:paraId="11663A51">
            <w:r>
              <w:rPr>
                <w:rFonts w:hint="eastAsia"/>
                <w:sz w:val="16"/>
              </w:rPr>
              <w:t>S6-1 按钮功能分级（暂停或求助、急停分设）；S6-2 形态与位置防误触（护罩加两次动作、凹陷安装、防拆与开盖检测）；S6-3 触发即留证并上报（前后各 30 s）；S6-4 复位需授权留痕，远程复位附加条件；S6-5 异常触发频次告警；S6-6 现场告知与环境急停拉绳</w:t>
            </w:r>
          </w:p>
        </w:tc>
        <w:tc>
          <w:tcPr>
            <w:tcW w:w="2600" w:type="dxa"/>
          </w:tcPr>
          <w:p w14:paraId="520AA420">
            <w:r>
              <w:rPr>
                <w:rFonts w:hint="eastAsia"/>
                <w:sz w:val="16"/>
              </w:rPr>
              <w:t>整机企业（设计）；标准归口机构（按钮形态与复位规则）；用户单位（现场管理与告知）；检测机构（专项试验）</w:t>
            </w:r>
          </w:p>
        </w:tc>
        <w:tc>
          <w:tcPr>
            <w:tcW w:w="3740" w:type="dxa"/>
          </w:tcPr>
          <w:p w14:paraId="639AE100">
            <w:r>
              <w:rPr>
                <w:rFonts w:hint="eastAsia"/>
                <w:sz w:val="16"/>
              </w:rPr>
              <w:t>误触发率专项试验报告（折算不超过 1 次每月）；留证完整率 100%；复位授权合规率 100%；急停响应不超过 0.5 s</w:t>
            </w:r>
          </w:p>
        </w:tc>
      </w:tr>
      <w:tr>
        <w:trPr/>
        <w:tc>
          <w:tcPr>
            <w:tcW w:w="500" w:type="dxa"/>
          </w:tcPr>
          <w:p w14:paraId="48F85588">
            <w:r>
              <w:rPr>
                <w:sz w:val="16"/>
              </w:rPr>
              <w:t>R7</w:t>
            </w:r>
          </w:p>
        </w:tc>
        <w:tc>
          <w:tcPr>
            <w:tcW w:w="1300" w:type="dxa"/>
          </w:tcPr>
          <w:p w14:paraId="1633D191">
            <w:r>
              <w:rPr>
                <w:rFonts w:hint="eastAsia"/>
                <w:sz w:val="16"/>
              </w:rPr>
              <w:t>联网接口</w:t>
            </w:r>
          </w:p>
        </w:tc>
        <w:tc>
          <w:tcPr>
            <w:tcW w:w="2400" w:type="dxa"/>
          </w:tcPr>
          <w:p w14:paraId="0A6764AB">
            <w:r>
              <w:rPr>
                <w:rFonts w:hint="eastAsia"/>
                <w:sz w:val="16"/>
              </w:rPr>
              <w:t>协议、接口功能、数据格式未定义；与既有视频、报警、出入口系统不能互补，反而叠加成第二套孤岛</w:t>
            </w:r>
          </w:p>
        </w:tc>
        <w:tc>
          <w:tcPr>
            <w:tcW w:w="4600" w:type="dxa"/>
          </w:tcPr>
          <w:p w14:paraId="0418CFE8">
            <w:r>
              <w:rPr>
                <w:rFonts w:hint="eastAsia"/>
                <w:sz w:val="16"/>
              </w:rPr>
              <w:t>S7-1 三层接口架构（设备内、平台、跨系统）；S7-2 统一信息模型与 JSON Schema 加 Protobuf；S7-3 QoS 分级、幂等指令、断网续传不少于 24 h、时间同步不超过 50 ms；S7-4 视频纳管走 GB/T 28181-2022；S7-5 事件融合去重（半径 50 m、窗口 60 s）；S7-6 双向联动与统一人机界面</w:t>
            </w:r>
          </w:p>
        </w:tc>
        <w:tc>
          <w:tcPr>
            <w:tcW w:w="2600" w:type="dxa"/>
          </w:tcPr>
          <w:p w14:paraId="66B841E5">
            <w:r>
              <w:rPr>
                <w:rFonts w:hint="eastAsia"/>
                <w:sz w:val="16"/>
              </w:rPr>
              <w:t>安防平台集成商；通信与标准化机构；机器人企业；用户单位（流程确认）</w:t>
            </w:r>
          </w:p>
        </w:tc>
        <w:tc>
          <w:tcPr>
            <w:tcW w:w="3740" w:type="dxa"/>
          </w:tcPr>
          <w:p w14:paraId="2098FD88">
            <w:r>
              <w:rPr>
                <w:rFonts w:hint="eastAsia"/>
                <w:sz w:val="16"/>
              </w:rPr>
              <w:t>《机器人—平台接口规范》（含 schema、状态机与时序图）；一致性测试用例集；断网续传完整率 100%、重复率 0；联调与融合验收报告</w:t>
            </w:r>
          </w:p>
        </w:tc>
      </w:tr>
      <w:tr>
        <w:trPr/>
        <w:tc>
          <w:tcPr>
            <w:tcW w:w="500" w:type="dxa"/>
          </w:tcPr>
          <w:p w14:paraId="0BAA7610">
            <w:r>
              <w:rPr>
                <w:sz w:val="16"/>
              </w:rPr>
              <w:t>R8</w:t>
            </w:r>
          </w:p>
        </w:tc>
        <w:tc>
          <w:tcPr>
            <w:tcW w:w="1300" w:type="dxa"/>
          </w:tcPr>
          <w:p w14:paraId="373A1EEE">
            <w:r>
              <w:rPr>
                <w:rFonts w:hint="eastAsia"/>
                <w:sz w:val="16"/>
              </w:rPr>
              <w:t>数据集构建</w:t>
            </w:r>
          </w:p>
        </w:tc>
        <w:tc>
          <w:tcPr>
            <w:tcW w:w="2400" w:type="dxa"/>
          </w:tcPr>
          <w:p w14:paraId="66C7A5A1">
            <w:r>
              <w:rPr>
                <w:rFonts w:hint="eastAsia"/>
                <w:sz w:val="16"/>
              </w:rPr>
              <w:t>缺构建原则、类别数量与质量口径，训练与第三方评测均无共同基准；长尾危险场景难以真实采集</w:t>
            </w:r>
          </w:p>
        </w:tc>
        <w:tc>
          <w:tcPr>
            <w:tcW w:w="4600" w:type="dxa"/>
          </w:tcPr>
          <w:p w14:paraId="6C3E232B">
            <w:r>
              <w:rPr>
                <w:rFonts w:hint="eastAsia"/>
                <w:sz w:val="16"/>
              </w:rPr>
              <w:t>S8-1 三源数据策略（真实为主、仿真补长尾、合成补规模）；S8-2 场景对齐与合规优先的采集原则；S8-3 多级标注与双人交叉（Kappa 不低于 0.85）；S8-4 规模与质量门槛（视觉不少于 100 万帧等）；S8-5 数据集卡、版本化与血缘；S8-6 建立公共安全巡逻基准 PSPB；S8-7 联邦共享（数据不出域）</w:t>
            </w:r>
          </w:p>
        </w:tc>
        <w:tc>
          <w:tcPr>
            <w:tcW w:w="2600" w:type="dxa"/>
          </w:tcPr>
          <w:p w14:paraId="43A3B924">
            <w:r>
              <w:rPr>
                <w:rFonts w:hint="eastAsia"/>
                <w:sz w:val="16"/>
              </w:rPr>
              <w:t>行业组织与标准化机构；检测机构（基准运营）；高校院所；用户单位（数据授权）；企业（数据生产）</w:t>
            </w:r>
          </w:p>
        </w:tc>
        <w:tc>
          <w:tcPr>
            <w:tcW w:w="3740" w:type="dxa"/>
          </w:tcPr>
          <w:p w14:paraId="27E57D99">
            <w:r>
              <w:rPr>
                <w:rFonts w:hint="eastAsia"/>
                <w:sz w:val="16"/>
              </w:rPr>
              <w:t>《数据集构建规范》；PSPB 基准测试集与评分脚本；数据集卡齐备率 100%；同模型两次评测差异不超过 2%</w:t>
            </w:r>
          </w:p>
        </w:tc>
      </w:tr>
      <w:tr>
        <w:trPr/>
        <w:tc>
          <w:tcPr>
            <w:tcW w:w="500" w:type="dxa"/>
          </w:tcPr>
          <w:p w14:paraId="0E9DF507">
            <w:r>
              <w:rPr>
                <w:sz w:val="16"/>
              </w:rPr>
              <w:t>R9</w:t>
            </w:r>
          </w:p>
        </w:tc>
        <w:tc>
          <w:tcPr>
            <w:tcW w:w="1300" w:type="dxa"/>
          </w:tcPr>
          <w:p w14:paraId="3D0A9A8B">
            <w:r>
              <w:rPr>
                <w:rFonts w:hint="eastAsia"/>
                <w:sz w:val="16"/>
              </w:rPr>
              <w:t>合法合规性</w:t>
            </w:r>
          </w:p>
        </w:tc>
        <w:tc>
          <w:tcPr>
            <w:tcW w:w="2400" w:type="dxa"/>
          </w:tcPr>
          <w:p w14:paraId="29D49C4F">
            <w:r>
              <w:rPr>
                <w:rFonts w:hint="eastAsia"/>
                <w:sz w:val="16"/>
              </w:rPr>
              <w:t>以“模型可解释”作为定责手段在技术上不成立；生产者、运营者、操作者的责任边界未划分</w:t>
            </w:r>
          </w:p>
        </w:tc>
        <w:tc>
          <w:tcPr>
            <w:tcW w:w="4600" w:type="dxa"/>
          </w:tcPr>
          <w:p w14:paraId="6B2DD84D">
            <w:r>
              <w:rPr>
                <w:rFonts w:hint="eastAsia"/>
                <w:sz w:val="16"/>
              </w:rPr>
              <w:t>S9-1 以可解释性证据链替代模型可解释（A 级记录追溯强制、B 级局部可解释推荐、C 级关键功能形式化探索）；S9-2 决策双轨制与安全闸；S9-3 五方责任矩阵（生产、运营、操作、数据算法、平台）；S9-4 强制 EDR 事件记录（不少于 10 Hz、保留不少于 1 年、防篡改）；S9-5 强制责任险与第三方事故鉴定</w:t>
            </w:r>
          </w:p>
        </w:tc>
        <w:tc>
          <w:tcPr>
            <w:tcW w:w="2600" w:type="dxa"/>
          </w:tcPr>
          <w:p w14:paraId="5196798F">
            <w:r>
              <w:rPr>
                <w:rFonts w:hint="eastAsia"/>
                <w:sz w:val="16"/>
              </w:rPr>
              <w:t>公安行业主管部门；司法与法律研究机构；整机与平台企业（举证义务）；保险机构</w:t>
            </w:r>
          </w:p>
        </w:tc>
        <w:tc>
          <w:tcPr>
            <w:tcW w:w="3740" w:type="dxa"/>
          </w:tcPr>
          <w:p w14:paraId="3C7F1D2C">
            <w:r>
              <w:rPr>
                <w:rFonts w:hint="eastAsia"/>
                <w:sz w:val="16"/>
              </w:rPr>
              <w:t>《可解释性与证据链要求》；《责任划分指引》（每类主体不少于 2 个典型情形）；EDR 技术规范；责任险与鉴定机制方案</w:t>
            </w:r>
          </w:p>
        </w:tc>
      </w:tr>
      <w:tr>
        <w:trPr/>
        <w:tc>
          <w:tcPr>
            <w:tcW w:w="500" w:type="dxa"/>
          </w:tcPr>
          <w:p w14:paraId="06AE402E">
            <w:r>
              <w:rPr>
                <w:sz w:val="16"/>
              </w:rPr>
              <w:t>R10</w:t>
            </w:r>
          </w:p>
        </w:tc>
        <w:tc>
          <w:tcPr>
            <w:tcW w:w="1300" w:type="dxa"/>
          </w:tcPr>
          <w:p w14:paraId="5F9EC105">
            <w:r>
              <w:rPr>
                <w:rFonts w:hint="eastAsia"/>
                <w:sz w:val="16"/>
              </w:rPr>
              <w:t>......（原表占位）</w:t>
            </w:r>
          </w:p>
        </w:tc>
        <w:tc>
          <w:tcPr>
            <w:tcW w:w="2400" w:type="dxa"/>
          </w:tcPr>
          <w:p w14:paraId="10412943">
            <w:r>
              <w:rPr>
                <w:rFonts w:hint="eastAsia"/>
                <w:sz w:val="16"/>
              </w:rPr>
              <w:t>原文档预留待补；本报告补充 C1–C9 共 9 项关键难点，与前述 9 条构成完整闭环</w:t>
            </w:r>
          </w:p>
        </w:tc>
        <w:tc>
          <w:tcPr>
            <w:tcW w:w="4600" w:type="dxa"/>
          </w:tcPr>
          <w:p w14:paraId="079AC943">
            <w:r>
              <w:rPr>
                <w:rFonts w:hint="eastAsia"/>
                <w:sz w:val="16"/>
              </w:rPr>
              <w:t>多源融合定位与无网环境；续航与无人值守自动充电；误报率与处置闭环；电磁兼容与反制装备共存；人机共存与行人安全；恶劣环境适应性；运维与规模化；伦理、告知与舆情；空地协同</w:t>
            </w:r>
          </w:p>
        </w:tc>
        <w:tc>
          <w:tcPr>
            <w:tcW w:w="2600" w:type="dxa"/>
          </w:tcPr>
          <w:p w14:paraId="77A5F0F7">
            <w:r>
              <w:rPr>
                <w:rFonts w:hint="eastAsia"/>
                <w:sz w:val="16"/>
              </w:rPr>
              <w:t>逐项见附表 3</w:t>
            </w:r>
          </w:p>
        </w:tc>
        <w:tc>
          <w:tcPr>
            <w:tcW w:w="3740" w:type="dxa"/>
          </w:tcPr>
          <w:p w14:paraId="67AED87C">
            <w:r>
              <w:rPr>
                <w:rFonts w:hint="eastAsia"/>
                <w:sz w:val="16"/>
              </w:rPr>
              <w:t>逐项见附表 3</w:t>
            </w:r>
          </w:p>
        </w:tc>
      </w:tr>
    </w:tbl>
    <w:p w14:paraId="3118070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附表 2　安全五域指标与验证方法矩阵</w:t>
      </w:r>
    </w:p>
    <w:p w14:paraId="5EE66D8D">
      <w:r>
        <w:rPr>
          <w:rFonts w:hint="eastAsia"/>
        </w:rPr>
        <w:t>说明：本表对应 R3 与正文 2.4 节。强制项为通过性要求，不满足即不得投用；推荐项用于优选评分与能力提升。全部指标均须有对应验证方法，否则不得进入标准与合同。</w:t>
      </w:r>
    </w:p>
    <w:tbl>
      <w:tblPr>
        <w:tblW w:w="1514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0"/>
        <w:gridCol w:w="3400"/>
        <w:gridCol w:w="5900"/>
        <w:gridCol w:w="4740"/>
      </w:tblGrid>
      <w:tr>
        <w:trPr>
          <w:tblHeader w:val="1"/>
        </w:trPr>
        <w:tc>
          <w:tcPr>
            <w:tcW w:w="1100" w:type="dxa"/>
          </w:tcPr>
          <w:p w14:paraId="75ACE61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安全域</w:t>
            </w:r>
          </w:p>
        </w:tc>
        <w:tc>
          <w:tcPr>
            <w:tcW w:w="3400" w:type="dxa"/>
          </w:tcPr>
          <w:p w14:paraId="0D41798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指标项</w:t>
            </w:r>
          </w:p>
        </w:tc>
        <w:tc>
          <w:tcPr>
            <w:tcW w:w="5900" w:type="dxa"/>
          </w:tcPr>
          <w:p w14:paraId="520AC42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建议阈值（强制 / 推荐）</w:t>
            </w:r>
          </w:p>
        </w:tc>
        <w:tc>
          <w:tcPr>
            <w:tcW w:w="4740" w:type="dxa"/>
          </w:tcPr>
          <w:p w14:paraId="07C3772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验证方法</w:t>
            </w:r>
          </w:p>
        </w:tc>
      </w:tr>
      <w:tr>
        <w:trPr/>
        <w:tc>
          <w:tcPr>
            <w:tcW w:w="1100" w:type="dxa"/>
          </w:tcPr>
          <w:p w14:paraId="5B431FDF">
            <w:r>
              <w:rPr>
                <w:rFonts w:hint="eastAsia"/>
                <w:sz w:val="18"/>
              </w:rPr>
              <w:t>模型安全</w:t>
            </w:r>
          </w:p>
        </w:tc>
        <w:tc>
          <w:tcPr>
            <w:tcW w:w="3400" w:type="dxa"/>
          </w:tcPr>
          <w:p w14:paraId="45F13CD9">
            <w:r>
              <w:rPr>
                <w:rFonts w:hint="eastAsia"/>
                <w:sz w:val="18"/>
              </w:rPr>
              <w:t>越狱与提示注入抵抗力</w:t>
            </w:r>
          </w:p>
        </w:tc>
        <w:tc>
          <w:tcPr>
            <w:tcW w:w="5900" w:type="dxa"/>
          </w:tcPr>
          <w:p w14:paraId="15164B94">
            <w:r>
              <w:rPr>
                <w:rFonts w:hint="eastAsia"/>
                <w:sz w:val="18"/>
              </w:rPr>
              <w:t>强制：注入攻击成功率不超过 5%，权限绕过成功率等于 0；红队用例库不少于 500 条</w:t>
            </w:r>
          </w:p>
        </w:tc>
        <w:tc>
          <w:tcPr>
            <w:tcW w:w="4740" w:type="dxa"/>
          </w:tcPr>
          <w:p w14:paraId="35D2D8AB">
            <w:r>
              <w:rPr>
                <w:rFonts w:hint="eastAsia"/>
                <w:sz w:val="18"/>
              </w:rPr>
              <w:t>红队测试与自动化注入框架回归测试</w:t>
            </w:r>
          </w:p>
        </w:tc>
      </w:tr>
      <w:tr>
        <w:trPr/>
        <w:tc>
          <w:tcPr>
            <w:tcW w:w="1100" w:type="dxa"/>
          </w:tcPr>
          <w:p w14:paraId="0853CAD6">
            <w:r>
              <w:rPr>
                <w:rFonts w:hint="eastAsia"/>
                <w:sz w:val="18"/>
              </w:rPr>
              <w:t>模型安全</w:t>
            </w:r>
          </w:p>
        </w:tc>
        <w:tc>
          <w:tcPr>
            <w:tcW w:w="3400" w:type="dxa"/>
          </w:tcPr>
          <w:p w14:paraId="18431140">
            <w:r>
              <w:rPr>
                <w:rFonts w:hint="eastAsia"/>
                <w:sz w:val="18"/>
              </w:rPr>
              <w:t>越权指令拒绝率</w:t>
            </w:r>
          </w:p>
        </w:tc>
        <w:tc>
          <w:tcPr>
            <w:tcW w:w="5900" w:type="dxa"/>
          </w:tcPr>
          <w:p w14:paraId="3AC717BB">
            <w:r>
              <w:rPr>
                <w:rFonts w:hint="eastAsia"/>
                <w:sz w:val="18"/>
              </w:rPr>
              <w:t>强制：100%（覆盖强制动作、未确认身份下的信息公布、超范围采集）</w:t>
            </w:r>
          </w:p>
        </w:tc>
        <w:tc>
          <w:tcPr>
            <w:tcW w:w="4740" w:type="dxa"/>
          </w:tcPr>
          <w:p w14:paraId="7F0E300C">
            <w:r>
              <w:rPr>
                <w:rFonts w:hint="eastAsia"/>
                <w:sz w:val="18"/>
              </w:rPr>
              <w:t>场景化指令集测试，逐条判定</w:t>
            </w:r>
          </w:p>
        </w:tc>
      </w:tr>
      <w:tr>
        <w:trPr/>
        <w:tc>
          <w:tcPr>
            <w:tcW w:w="1100" w:type="dxa"/>
          </w:tcPr>
          <w:p w14:paraId="5395F099">
            <w:r>
              <w:rPr>
                <w:rFonts w:hint="eastAsia"/>
                <w:sz w:val="18"/>
              </w:rPr>
              <w:t>模型安全</w:t>
            </w:r>
          </w:p>
        </w:tc>
        <w:tc>
          <w:tcPr>
            <w:tcW w:w="3400" w:type="dxa"/>
          </w:tcPr>
          <w:p w14:paraId="4454B565">
            <w:r>
              <w:rPr>
                <w:rFonts w:hint="eastAsia"/>
                <w:sz w:val="18"/>
              </w:rPr>
              <w:t>事实性幻觉率</w:t>
            </w:r>
          </w:p>
        </w:tc>
        <w:tc>
          <w:tcPr>
            <w:tcW w:w="5900" w:type="dxa"/>
          </w:tcPr>
          <w:p w14:paraId="11F83D3C">
            <w:r>
              <w:rPr>
                <w:rFonts w:hint="eastAsia"/>
                <w:sz w:val="18"/>
              </w:rPr>
              <w:t>推荐：不超过 2%</w:t>
            </w:r>
          </w:p>
        </w:tc>
        <w:tc>
          <w:tcPr>
            <w:tcW w:w="4740" w:type="dxa"/>
          </w:tcPr>
          <w:p w14:paraId="3888ECD9">
            <w:r>
              <w:rPr>
                <w:rFonts w:hint="eastAsia"/>
                <w:sz w:val="18"/>
              </w:rPr>
              <w:t>标准问答集测试加人工复核</w:t>
            </w:r>
          </w:p>
        </w:tc>
      </w:tr>
      <w:tr>
        <w:trPr/>
        <w:tc>
          <w:tcPr>
            <w:tcW w:w="1100" w:type="dxa"/>
          </w:tcPr>
          <w:p w14:paraId="0B182374">
            <w:r>
              <w:rPr>
                <w:rFonts w:hint="eastAsia"/>
                <w:sz w:val="18"/>
              </w:rPr>
              <w:t>模型安全</w:t>
            </w:r>
          </w:p>
        </w:tc>
        <w:tc>
          <w:tcPr>
            <w:tcW w:w="3400" w:type="dxa"/>
          </w:tcPr>
          <w:p w14:paraId="1B166BE1">
            <w:r>
              <w:rPr>
                <w:rFonts w:hint="eastAsia"/>
                <w:sz w:val="18"/>
              </w:rPr>
              <w:t>后门与投毒防护</w:t>
            </w:r>
          </w:p>
        </w:tc>
        <w:tc>
          <w:tcPr>
            <w:tcW w:w="5900" w:type="dxa"/>
          </w:tcPr>
          <w:p w14:paraId="3DBE2929">
            <w:r>
              <w:rPr>
                <w:rFonts w:hint="eastAsia"/>
                <w:sz w:val="18"/>
              </w:rPr>
              <w:t>强制：模型加载前完成哈希与签名校验；推荐：后门检出率不低于 90%</w:t>
            </w:r>
          </w:p>
        </w:tc>
        <w:tc>
          <w:tcPr>
            <w:tcW w:w="4740" w:type="dxa"/>
          </w:tcPr>
          <w:p w14:paraId="56D3DC78">
            <w:r>
              <w:rPr>
                <w:rFonts w:hint="eastAsia"/>
                <w:sz w:val="18"/>
              </w:rPr>
              <w:t>集束神经元与触发器检测；训练数据血缘审查</w:t>
            </w:r>
          </w:p>
        </w:tc>
      </w:tr>
      <w:tr>
        <w:trPr/>
        <w:tc>
          <w:tcPr>
            <w:tcW w:w="1100" w:type="dxa"/>
          </w:tcPr>
          <w:p w14:paraId="295377C3">
            <w:r>
              <w:rPr>
                <w:rFonts w:hint="eastAsia"/>
                <w:sz w:val="18"/>
              </w:rPr>
              <w:t>模型安全</w:t>
            </w:r>
          </w:p>
        </w:tc>
        <w:tc>
          <w:tcPr>
            <w:tcW w:w="3400" w:type="dxa"/>
          </w:tcPr>
          <w:p w14:paraId="7DD4CF5E">
            <w:r>
              <w:rPr>
                <w:rFonts w:hint="eastAsia"/>
                <w:sz w:val="18"/>
              </w:rPr>
              <w:t>对抗鲁棒性</w:t>
            </w:r>
          </w:p>
        </w:tc>
        <w:tc>
          <w:tcPr>
            <w:tcW w:w="5900" w:type="dxa"/>
          </w:tcPr>
          <w:p w14:paraId="24EFCA3D">
            <w:r>
              <w:rPr>
                <w:rFonts w:hint="eastAsia"/>
                <w:sz w:val="18"/>
              </w:rPr>
              <w:t>推荐：贴片与对抗样本攻击下目标识别准确率下降不超过 10%</w:t>
            </w:r>
          </w:p>
        </w:tc>
        <w:tc>
          <w:tcPr>
            <w:tcW w:w="4740" w:type="dxa"/>
          </w:tcPr>
          <w:p w14:paraId="7354D892">
            <w:r>
              <w:rPr>
                <w:rFonts w:hint="eastAsia"/>
                <w:sz w:val="18"/>
              </w:rPr>
              <w:t>对抗样本测试集评测</w:t>
            </w:r>
          </w:p>
        </w:tc>
      </w:tr>
      <w:tr>
        <w:trPr/>
        <w:tc>
          <w:tcPr>
            <w:tcW w:w="1100" w:type="dxa"/>
          </w:tcPr>
          <w:p w14:paraId="44DDBB18">
            <w:r>
              <w:rPr>
                <w:rFonts w:hint="eastAsia"/>
                <w:sz w:val="18"/>
              </w:rPr>
              <w:t>模型安全</w:t>
            </w:r>
          </w:p>
        </w:tc>
        <w:tc>
          <w:tcPr>
            <w:tcW w:w="3400" w:type="dxa"/>
          </w:tcPr>
          <w:p w14:paraId="72D2B3EB">
            <w:r>
              <w:rPr>
                <w:rFonts w:hint="eastAsia"/>
                <w:sz w:val="18"/>
              </w:rPr>
              <w:t>生成内容合规标识</w:t>
            </w:r>
          </w:p>
        </w:tc>
        <w:tc>
          <w:tcPr>
            <w:tcW w:w="5900" w:type="dxa"/>
          </w:tcPr>
          <w:p w14:paraId="22FAB557">
            <w:r>
              <w:rPr>
                <w:rFonts w:hint="eastAsia"/>
                <w:sz w:val="18"/>
              </w:rPr>
              <w:t>强制：符合生成式人工智能内容标识相关强制性国家标准</w:t>
            </w:r>
          </w:p>
        </w:tc>
        <w:tc>
          <w:tcPr>
            <w:tcW w:w="4740" w:type="dxa"/>
          </w:tcPr>
          <w:p w14:paraId="14B1F1E3">
            <w:r>
              <w:rPr>
                <w:rFonts w:hint="eastAsia"/>
                <w:sz w:val="18"/>
              </w:rPr>
              <w:t>输出标识核验</w:t>
            </w:r>
          </w:p>
        </w:tc>
      </w:tr>
      <w:tr>
        <w:trPr/>
        <w:tc>
          <w:tcPr>
            <w:tcW w:w="1100" w:type="dxa"/>
          </w:tcPr>
          <w:p w14:paraId="68315178">
            <w:r>
              <w:rPr>
                <w:rFonts w:hint="eastAsia"/>
                <w:sz w:val="18"/>
              </w:rPr>
              <w:t>本体安全</w:t>
            </w:r>
          </w:p>
        </w:tc>
        <w:tc>
          <w:tcPr>
            <w:tcW w:w="3400" w:type="dxa"/>
          </w:tcPr>
          <w:p w14:paraId="1F668C91">
            <w:r>
              <w:rPr>
                <w:rFonts w:hint="eastAsia"/>
                <w:sz w:val="18"/>
              </w:rPr>
              <w:t>风险评价</w:t>
            </w:r>
          </w:p>
        </w:tc>
        <w:tc>
          <w:tcPr>
            <w:tcW w:w="5900" w:type="dxa"/>
          </w:tcPr>
          <w:p w14:paraId="7BE4EF93">
            <w:r>
              <w:rPr>
                <w:rFonts w:hint="eastAsia"/>
                <w:sz w:val="18"/>
              </w:rPr>
              <w:t>强制：完成机械安全风险评估并形成报告</w:t>
            </w:r>
          </w:p>
        </w:tc>
        <w:tc>
          <w:tcPr>
            <w:tcW w:w="4740" w:type="dxa"/>
          </w:tcPr>
          <w:p w14:paraId="2989FEAE">
            <w:r>
              <w:rPr>
                <w:rFonts w:hint="eastAsia"/>
                <w:sz w:val="18"/>
              </w:rPr>
              <w:t>风险评估报告评审</w:t>
            </w:r>
          </w:p>
        </w:tc>
      </w:tr>
      <w:tr>
        <w:trPr/>
        <w:tc>
          <w:tcPr>
            <w:tcW w:w="1100" w:type="dxa"/>
          </w:tcPr>
          <w:p w14:paraId="7D0856DB">
            <w:r>
              <w:rPr>
                <w:rFonts w:hint="eastAsia"/>
                <w:sz w:val="18"/>
              </w:rPr>
              <w:t>本体安全</w:t>
            </w:r>
          </w:p>
        </w:tc>
        <w:tc>
          <w:tcPr>
            <w:tcW w:w="3400" w:type="dxa"/>
          </w:tcPr>
          <w:p w14:paraId="2BD34148">
            <w:r>
              <w:rPr>
                <w:rFonts w:hint="eastAsia"/>
                <w:sz w:val="18"/>
              </w:rPr>
              <w:t>接触力与压力限值</w:t>
            </w:r>
          </w:p>
        </w:tc>
        <w:tc>
          <w:tcPr>
            <w:tcW w:w="5900" w:type="dxa"/>
          </w:tcPr>
          <w:p w14:paraId="6B24E391">
            <w:r>
              <w:rPr>
                <w:rFonts w:hint="eastAsia"/>
                <w:sz w:val="18"/>
              </w:rPr>
              <w:t>强制：参照协作机器人准静态接触力与压力限值，并单独定义非预期接触工况</w:t>
            </w:r>
          </w:p>
        </w:tc>
        <w:tc>
          <w:tcPr>
            <w:tcW w:w="4740" w:type="dxa"/>
          </w:tcPr>
          <w:p w14:paraId="19F7D27E">
            <w:r>
              <w:rPr>
                <w:rFonts w:hint="eastAsia"/>
                <w:sz w:val="18"/>
              </w:rPr>
              <w:t>力与压力测量试验</w:t>
            </w:r>
          </w:p>
        </w:tc>
      </w:tr>
      <w:tr>
        <w:trPr/>
        <w:tc>
          <w:tcPr>
            <w:tcW w:w="1100" w:type="dxa"/>
          </w:tcPr>
          <w:p w14:paraId="6D787309">
            <w:r>
              <w:rPr>
                <w:rFonts w:hint="eastAsia"/>
                <w:sz w:val="18"/>
              </w:rPr>
              <w:t>本体安全</w:t>
            </w:r>
          </w:p>
        </w:tc>
        <w:tc>
          <w:tcPr>
            <w:tcW w:w="3400" w:type="dxa"/>
          </w:tcPr>
          <w:p w14:paraId="1BAD7A68">
            <w:r>
              <w:rPr>
                <w:rFonts w:hint="eastAsia"/>
                <w:sz w:val="18"/>
              </w:rPr>
              <w:t>安全监控功能等级</w:t>
            </w:r>
          </w:p>
        </w:tc>
        <w:tc>
          <w:tcPr>
            <w:tcW w:w="5900" w:type="dxa"/>
          </w:tcPr>
          <w:p w14:paraId="0ED557E8">
            <w:r>
              <w:rPr>
                <w:rFonts w:hint="eastAsia"/>
                <w:sz w:val="18"/>
              </w:rPr>
              <w:t>强制：具备速度—距离监控或安全监控停功能，安全等级不低于 PLd / SIL 2</w:t>
            </w:r>
          </w:p>
        </w:tc>
        <w:tc>
          <w:tcPr>
            <w:tcW w:w="4740" w:type="dxa"/>
          </w:tcPr>
          <w:p w14:paraId="552CAEF1">
            <w:r>
              <w:rPr>
                <w:rFonts w:hint="eastAsia"/>
                <w:sz w:val="18"/>
              </w:rPr>
              <w:t>功能安全验证与故障注入测试</w:t>
            </w:r>
          </w:p>
        </w:tc>
      </w:tr>
      <w:tr>
        <w:trPr/>
        <w:tc>
          <w:tcPr>
            <w:tcW w:w="1100" w:type="dxa"/>
          </w:tcPr>
          <w:p w14:paraId="29A4668A">
            <w:r>
              <w:rPr>
                <w:rFonts w:hint="eastAsia"/>
                <w:sz w:val="18"/>
              </w:rPr>
              <w:t>本体安全</w:t>
            </w:r>
          </w:p>
        </w:tc>
        <w:tc>
          <w:tcPr>
            <w:tcW w:w="3400" w:type="dxa"/>
          </w:tcPr>
          <w:p w14:paraId="5CF7F587">
            <w:r>
              <w:rPr>
                <w:rFonts w:hint="eastAsia"/>
                <w:sz w:val="18"/>
              </w:rPr>
              <w:t>急停功能</w:t>
            </w:r>
          </w:p>
        </w:tc>
        <w:tc>
          <w:tcPr>
            <w:tcW w:w="5900" w:type="dxa"/>
          </w:tcPr>
          <w:p w14:paraId="243350BE">
            <w:r>
              <w:rPr>
                <w:rFonts w:hint="eastAsia"/>
                <w:sz w:val="18"/>
              </w:rPr>
              <w:t>强制：急停符合机械安全急停功能设计要求，Ⅱ类停止、Category 1，响应不超过 0.5 s</w:t>
            </w:r>
          </w:p>
        </w:tc>
        <w:tc>
          <w:tcPr>
            <w:tcW w:w="4740" w:type="dxa"/>
          </w:tcPr>
          <w:p w14:paraId="55F162A3">
            <w:r>
              <w:rPr>
                <w:rFonts w:hint="eastAsia"/>
                <w:sz w:val="18"/>
              </w:rPr>
              <w:t>急停功能专项试验</w:t>
            </w:r>
          </w:p>
        </w:tc>
      </w:tr>
      <w:tr>
        <w:trPr/>
        <w:tc>
          <w:tcPr>
            <w:tcW w:w="1100" w:type="dxa"/>
          </w:tcPr>
          <w:p w14:paraId="2671AD28">
            <w:r>
              <w:rPr>
                <w:rFonts w:hint="eastAsia"/>
                <w:sz w:val="18"/>
              </w:rPr>
              <w:t>本体安全</w:t>
            </w:r>
          </w:p>
        </w:tc>
        <w:tc>
          <w:tcPr>
            <w:tcW w:w="3400" w:type="dxa"/>
          </w:tcPr>
          <w:p w14:paraId="3640E58B">
            <w:r>
              <w:rPr>
                <w:rFonts w:hint="eastAsia"/>
                <w:sz w:val="18"/>
              </w:rPr>
              <w:t>防倾倒与稳定性</w:t>
            </w:r>
          </w:p>
        </w:tc>
        <w:tc>
          <w:tcPr>
            <w:tcW w:w="5900" w:type="dxa"/>
          </w:tcPr>
          <w:p w14:paraId="769A077C">
            <w:r>
              <w:rPr>
                <w:rFonts w:hint="eastAsia"/>
                <w:sz w:val="18"/>
              </w:rPr>
              <w:t>强制：静态稳定角不低于 15°；动态倾覆预警阈值取极限值 0.7 倍</w:t>
            </w:r>
          </w:p>
        </w:tc>
        <w:tc>
          <w:tcPr>
            <w:tcW w:w="4740" w:type="dxa"/>
          </w:tcPr>
          <w:p w14:paraId="01C31E40">
            <w:r>
              <w:rPr>
                <w:rFonts w:hint="eastAsia"/>
                <w:sz w:val="18"/>
              </w:rPr>
              <w:t>坡道试验与侧向推力试验</w:t>
            </w:r>
          </w:p>
        </w:tc>
      </w:tr>
      <w:tr>
        <w:trPr/>
        <w:tc>
          <w:tcPr>
            <w:tcW w:w="1100" w:type="dxa"/>
          </w:tcPr>
          <w:p w14:paraId="52432135">
            <w:r>
              <w:rPr>
                <w:rFonts w:hint="eastAsia"/>
                <w:sz w:val="18"/>
              </w:rPr>
              <w:t>本体安全</w:t>
            </w:r>
          </w:p>
        </w:tc>
        <w:tc>
          <w:tcPr>
            <w:tcW w:w="3400" w:type="dxa"/>
          </w:tcPr>
          <w:p w14:paraId="0B08C5D4">
            <w:r>
              <w:rPr>
                <w:rFonts w:hint="eastAsia"/>
                <w:sz w:val="18"/>
              </w:rPr>
              <w:t>电池安全</w:t>
            </w:r>
          </w:p>
        </w:tc>
        <w:tc>
          <w:tcPr>
            <w:tcW w:w="5900" w:type="dxa"/>
          </w:tcPr>
          <w:p w14:paraId="1726B0EC">
            <w:r>
              <w:rPr>
                <w:rFonts w:hint="eastAsia"/>
                <w:sz w:val="18"/>
              </w:rPr>
              <w:t>强制：符合锂电池安全标准；热失控预警提前不少于 5 min，热蔓延抑制不少于 30 min</w:t>
            </w:r>
          </w:p>
        </w:tc>
        <w:tc>
          <w:tcPr>
            <w:tcW w:w="4740" w:type="dxa"/>
          </w:tcPr>
          <w:p w14:paraId="3E6571B1">
            <w:r>
              <w:rPr>
                <w:rFonts w:hint="eastAsia"/>
                <w:sz w:val="18"/>
              </w:rPr>
              <w:t>电池滥用试验与热扩散试验</w:t>
            </w:r>
          </w:p>
        </w:tc>
      </w:tr>
      <w:tr>
        <w:trPr/>
        <w:tc>
          <w:tcPr>
            <w:tcW w:w="1100" w:type="dxa"/>
          </w:tcPr>
          <w:p w14:paraId="0DEAADC4">
            <w:r>
              <w:rPr>
                <w:rFonts w:hint="eastAsia"/>
                <w:sz w:val="18"/>
              </w:rPr>
              <w:t>本体安全</w:t>
            </w:r>
          </w:p>
        </w:tc>
        <w:tc>
          <w:tcPr>
            <w:tcW w:w="3400" w:type="dxa"/>
          </w:tcPr>
          <w:p w14:paraId="1D8BF639">
            <w:r>
              <w:rPr>
                <w:rFonts w:hint="eastAsia"/>
                <w:sz w:val="18"/>
              </w:rPr>
              <w:t>防护与电气安全</w:t>
            </w:r>
          </w:p>
        </w:tc>
        <w:tc>
          <w:tcPr>
            <w:tcW w:w="5900" w:type="dxa"/>
          </w:tcPr>
          <w:p w14:paraId="7FF67CFE">
            <w:r>
              <w:rPr>
                <w:rFonts w:hint="eastAsia"/>
                <w:sz w:val="18"/>
              </w:rPr>
              <w:t>强制：户外 IP65、涉水 IP67；电气安全符合机械电气设备通用要求</w:t>
            </w:r>
          </w:p>
        </w:tc>
        <w:tc>
          <w:tcPr>
            <w:tcW w:w="4740" w:type="dxa"/>
          </w:tcPr>
          <w:p w14:paraId="40ACE1E9">
            <w:r>
              <w:rPr>
                <w:rFonts w:hint="eastAsia"/>
                <w:sz w:val="18"/>
              </w:rPr>
              <w:t>防护等级试验与电气安全试验</w:t>
            </w:r>
          </w:p>
        </w:tc>
      </w:tr>
      <w:tr>
        <w:trPr/>
        <w:tc>
          <w:tcPr>
            <w:tcW w:w="1100" w:type="dxa"/>
          </w:tcPr>
          <w:p w14:paraId="14D561A5">
            <w:r>
              <w:rPr>
                <w:rFonts w:hint="eastAsia"/>
                <w:sz w:val="18"/>
              </w:rPr>
              <w:t>数据安全</w:t>
            </w:r>
          </w:p>
        </w:tc>
        <w:tc>
          <w:tcPr>
            <w:tcW w:w="3400" w:type="dxa"/>
          </w:tcPr>
          <w:p w14:paraId="242D98D1">
            <w:r>
              <w:rPr>
                <w:rFonts w:hint="eastAsia"/>
                <w:sz w:val="18"/>
              </w:rPr>
              <w:t>分类分级与合规</w:t>
            </w:r>
          </w:p>
        </w:tc>
        <w:tc>
          <w:tcPr>
            <w:tcW w:w="5900" w:type="dxa"/>
          </w:tcPr>
          <w:p w14:paraId="0609D21F">
            <w:r>
              <w:rPr>
                <w:rFonts w:hint="eastAsia"/>
                <w:sz w:val="18"/>
              </w:rPr>
              <w:t>强制：符合数据安全法、个人信息保护法及人脸识别技术应用安全管理相关规定</w:t>
            </w:r>
          </w:p>
        </w:tc>
        <w:tc>
          <w:tcPr>
            <w:tcW w:w="4740" w:type="dxa"/>
          </w:tcPr>
          <w:p w14:paraId="52A4C18A">
            <w:r>
              <w:rPr>
                <w:rFonts w:hint="eastAsia"/>
                <w:sz w:val="18"/>
              </w:rPr>
              <w:t>合规审查与台账核验</w:t>
            </w:r>
          </w:p>
        </w:tc>
      </w:tr>
      <w:tr>
        <w:trPr/>
        <w:tc>
          <w:tcPr>
            <w:tcW w:w="1100" w:type="dxa"/>
          </w:tcPr>
          <w:p w14:paraId="261C4107">
            <w:r>
              <w:rPr>
                <w:rFonts w:hint="eastAsia"/>
                <w:sz w:val="18"/>
              </w:rPr>
              <w:t>数据安全</w:t>
            </w:r>
          </w:p>
        </w:tc>
        <w:tc>
          <w:tcPr>
            <w:tcW w:w="3400" w:type="dxa"/>
          </w:tcPr>
          <w:p w14:paraId="7247509A">
            <w:r>
              <w:rPr>
                <w:rFonts w:hint="eastAsia"/>
                <w:sz w:val="18"/>
              </w:rPr>
              <w:t>生物特征数据本地化</w:t>
            </w:r>
          </w:p>
        </w:tc>
        <w:tc>
          <w:tcPr>
            <w:tcW w:w="5900" w:type="dxa"/>
          </w:tcPr>
          <w:p w14:paraId="79D31F43">
            <w:r>
              <w:rPr>
                <w:rFonts w:hint="eastAsia"/>
                <w:sz w:val="18"/>
              </w:rPr>
              <w:t>强制：人脸与声纹的原始数据不出端，由边缘侧提取特征后上送</w:t>
            </w:r>
          </w:p>
        </w:tc>
        <w:tc>
          <w:tcPr>
            <w:tcW w:w="4740" w:type="dxa"/>
          </w:tcPr>
          <w:p w14:paraId="67437D6E">
            <w:r>
              <w:rPr>
                <w:rFonts w:hint="eastAsia"/>
                <w:sz w:val="18"/>
              </w:rPr>
              <w:t>数据流审计与抓包核验</w:t>
            </w:r>
          </w:p>
        </w:tc>
      </w:tr>
      <w:tr>
        <w:trPr/>
        <w:tc>
          <w:tcPr>
            <w:tcW w:w="1100" w:type="dxa"/>
          </w:tcPr>
          <w:p w14:paraId="3BC0D5A0">
            <w:r>
              <w:rPr>
                <w:rFonts w:hint="eastAsia"/>
                <w:sz w:val="18"/>
              </w:rPr>
              <w:t>数据安全</w:t>
            </w:r>
          </w:p>
        </w:tc>
        <w:tc>
          <w:tcPr>
            <w:tcW w:w="3400" w:type="dxa"/>
          </w:tcPr>
          <w:p w14:paraId="4BFDFD16">
            <w:r>
              <w:rPr>
                <w:rFonts w:hint="eastAsia"/>
                <w:sz w:val="18"/>
              </w:rPr>
              <w:t>传输与存储加密</w:t>
            </w:r>
          </w:p>
        </w:tc>
        <w:tc>
          <w:tcPr>
            <w:tcW w:w="5900" w:type="dxa"/>
          </w:tcPr>
          <w:p w14:paraId="3589A4CC">
            <w:r>
              <w:rPr>
                <w:rFonts w:hint="eastAsia"/>
                <w:sz w:val="18"/>
              </w:rPr>
              <w:t>强制：传输采用 TLS 1.3 或国密 TLS；存储采用 AES-256 或国密 SM4</w:t>
            </w:r>
          </w:p>
        </w:tc>
        <w:tc>
          <w:tcPr>
            <w:tcW w:w="4740" w:type="dxa"/>
          </w:tcPr>
          <w:p w14:paraId="42D381F8">
            <w:r>
              <w:rPr>
                <w:rFonts w:hint="eastAsia"/>
                <w:sz w:val="18"/>
              </w:rPr>
              <w:t>加密配置核查与渗透测试</w:t>
            </w:r>
          </w:p>
        </w:tc>
      </w:tr>
      <w:tr>
        <w:trPr/>
        <w:tc>
          <w:tcPr>
            <w:tcW w:w="1100" w:type="dxa"/>
          </w:tcPr>
          <w:p w14:paraId="11738657">
            <w:r>
              <w:rPr>
                <w:rFonts w:hint="eastAsia"/>
                <w:sz w:val="18"/>
              </w:rPr>
              <w:t>数据安全</w:t>
            </w:r>
          </w:p>
        </w:tc>
        <w:tc>
          <w:tcPr>
            <w:tcW w:w="3400" w:type="dxa"/>
          </w:tcPr>
          <w:p w14:paraId="4A3AB8A4">
            <w:r>
              <w:rPr>
                <w:rFonts w:hint="eastAsia"/>
                <w:sz w:val="18"/>
              </w:rPr>
              <w:t>留存期限</w:t>
            </w:r>
          </w:p>
        </w:tc>
        <w:tc>
          <w:tcPr>
            <w:tcW w:w="5900" w:type="dxa"/>
          </w:tcPr>
          <w:p w14:paraId="3CE756AC">
            <w:r>
              <w:rPr>
                <w:rFonts w:hint="eastAsia"/>
                <w:sz w:val="18"/>
              </w:rPr>
              <w:t>强制：非涉案音视频留存不超过 30 天且到期自动删除；涉案数据单独隔离并审批调阅</w:t>
            </w:r>
          </w:p>
        </w:tc>
        <w:tc>
          <w:tcPr>
            <w:tcW w:w="4740" w:type="dxa"/>
          </w:tcPr>
          <w:p w14:paraId="442DD1D0">
            <w:r>
              <w:rPr>
                <w:rFonts w:hint="eastAsia"/>
                <w:sz w:val="18"/>
              </w:rPr>
              <w:t>留存策略核验与日志抽查</w:t>
            </w:r>
          </w:p>
        </w:tc>
      </w:tr>
      <w:tr>
        <w:trPr/>
        <w:tc>
          <w:tcPr>
            <w:tcW w:w="1100" w:type="dxa"/>
          </w:tcPr>
          <w:p w14:paraId="18A47146">
            <w:r>
              <w:rPr>
                <w:rFonts w:hint="eastAsia"/>
                <w:sz w:val="18"/>
              </w:rPr>
              <w:t>数据安全</w:t>
            </w:r>
          </w:p>
        </w:tc>
        <w:tc>
          <w:tcPr>
            <w:tcW w:w="3400" w:type="dxa"/>
          </w:tcPr>
          <w:p w14:paraId="4D530AC3">
            <w:r>
              <w:rPr>
                <w:rFonts w:hint="eastAsia"/>
                <w:sz w:val="18"/>
              </w:rPr>
              <w:t>操作审计</w:t>
            </w:r>
          </w:p>
        </w:tc>
        <w:tc>
          <w:tcPr>
            <w:tcW w:w="5900" w:type="dxa"/>
          </w:tcPr>
          <w:p w14:paraId="1589EA14">
            <w:r>
              <w:rPr>
                <w:rFonts w:hint="eastAsia"/>
                <w:sz w:val="18"/>
              </w:rPr>
              <w:t>强制：全生命周期操作日志，链式哈希防篡改，保留不少于 1 年</w:t>
            </w:r>
          </w:p>
        </w:tc>
        <w:tc>
          <w:tcPr>
            <w:tcW w:w="4740" w:type="dxa"/>
          </w:tcPr>
          <w:p w14:paraId="790E620D">
            <w:r>
              <w:rPr>
                <w:rFonts w:hint="eastAsia"/>
                <w:sz w:val="18"/>
              </w:rPr>
              <w:t>审计日志完整性测试与篡改测试</w:t>
            </w:r>
          </w:p>
        </w:tc>
      </w:tr>
      <w:tr>
        <w:trPr/>
        <w:tc>
          <w:tcPr>
            <w:tcW w:w="1100" w:type="dxa"/>
          </w:tcPr>
          <w:p w14:paraId="4EB621B9">
            <w:r>
              <w:rPr>
                <w:rFonts w:hint="eastAsia"/>
                <w:sz w:val="18"/>
              </w:rPr>
              <w:t>网络安全</w:t>
            </w:r>
          </w:p>
        </w:tc>
        <w:tc>
          <w:tcPr>
            <w:tcW w:w="3400" w:type="dxa"/>
          </w:tcPr>
          <w:p w14:paraId="5EACEE25">
            <w:r>
              <w:rPr>
                <w:rFonts w:hint="eastAsia"/>
                <w:sz w:val="18"/>
              </w:rPr>
              <w:t>设备身份与认证</w:t>
            </w:r>
          </w:p>
        </w:tc>
        <w:tc>
          <w:tcPr>
            <w:tcW w:w="5900" w:type="dxa"/>
          </w:tcPr>
          <w:p w14:paraId="28AC2870">
            <w:r>
              <w:rPr>
                <w:rFonts w:hint="eastAsia"/>
                <w:sz w:val="18"/>
              </w:rPr>
              <w:t>强制：具备唯一设备标识，采用双向证书认证（mTLS）</w:t>
            </w:r>
          </w:p>
        </w:tc>
        <w:tc>
          <w:tcPr>
            <w:tcW w:w="4740" w:type="dxa"/>
          </w:tcPr>
          <w:p w14:paraId="3753063C">
            <w:r>
              <w:rPr>
                <w:rFonts w:hint="eastAsia"/>
                <w:sz w:val="18"/>
              </w:rPr>
              <w:t>身份认证与证书管理核查</w:t>
            </w:r>
          </w:p>
        </w:tc>
      </w:tr>
      <w:tr>
        <w:trPr/>
        <w:tc>
          <w:tcPr>
            <w:tcW w:w="1100" w:type="dxa"/>
          </w:tcPr>
          <w:p w14:paraId="04B501AE">
            <w:r>
              <w:rPr>
                <w:rFonts w:hint="eastAsia"/>
                <w:sz w:val="18"/>
              </w:rPr>
              <w:t>网络安全</w:t>
            </w:r>
          </w:p>
        </w:tc>
        <w:tc>
          <w:tcPr>
            <w:tcW w:w="3400" w:type="dxa"/>
          </w:tcPr>
          <w:p w14:paraId="57189501">
            <w:r>
              <w:rPr>
                <w:rFonts w:hint="eastAsia"/>
                <w:sz w:val="18"/>
              </w:rPr>
              <w:t>抗重放与指令完整性</w:t>
            </w:r>
          </w:p>
        </w:tc>
        <w:tc>
          <w:tcPr>
            <w:tcW w:w="5900" w:type="dxa"/>
          </w:tcPr>
          <w:p w14:paraId="3A254B51">
            <w:r>
              <w:rPr>
                <w:rFonts w:hint="eastAsia"/>
                <w:sz w:val="18"/>
              </w:rPr>
              <w:t>强制：时间戳加随机数（时间窗不超过 30 s），指令签名且幂等</w:t>
            </w:r>
          </w:p>
        </w:tc>
        <w:tc>
          <w:tcPr>
            <w:tcW w:w="4740" w:type="dxa"/>
          </w:tcPr>
          <w:p w14:paraId="63EAFACB">
            <w:r>
              <w:rPr>
                <w:rFonts w:hint="eastAsia"/>
                <w:sz w:val="18"/>
              </w:rPr>
              <w:t>重放攻击与中间人攻击测试</w:t>
            </w:r>
          </w:p>
        </w:tc>
      </w:tr>
      <w:tr>
        <w:trPr/>
        <w:tc>
          <w:tcPr>
            <w:tcW w:w="1100" w:type="dxa"/>
          </w:tcPr>
          <w:p w14:paraId="376B5A5F">
            <w:r>
              <w:rPr>
                <w:rFonts w:hint="eastAsia"/>
                <w:sz w:val="18"/>
              </w:rPr>
              <w:t>网络安全</w:t>
            </w:r>
          </w:p>
        </w:tc>
        <w:tc>
          <w:tcPr>
            <w:tcW w:w="3400" w:type="dxa"/>
          </w:tcPr>
          <w:p w14:paraId="40887623">
            <w:r>
              <w:rPr>
                <w:rFonts w:hint="eastAsia"/>
                <w:sz w:val="18"/>
              </w:rPr>
              <w:t>固件与升级安全</w:t>
            </w:r>
          </w:p>
        </w:tc>
        <w:tc>
          <w:tcPr>
            <w:tcW w:w="5900" w:type="dxa"/>
          </w:tcPr>
          <w:p w14:paraId="34E42F8F">
            <w:r>
              <w:rPr>
                <w:rFonts w:hint="eastAsia"/>
                <w:sz w:val="18"/>
              </w:rPr>
              <w:t>强制：安全启动、代码签名、OTA 双分区可回滚</w:t>
            </w:r>
          </w:p>
        </w:tc>
        <w:tc>
          <w:tcPr>
            <w:tcW w:w="4740" w:type="dxa"/>
          </w:tcPr>
          <w:p w14:paraId="43BF0779">
            <w:r>
              <w:rPr>
                <w:rFonts w:hint="eastAsia"/>
                <w:sz w:val="18"/>
              </w:rPr>
              <w:t>固件篡改与降级攻击测试</w:t>
            </w:r>
          </w:p>
        </w:tc>
      </w:tr>
      <w:tr>
        <w:trPr/>
        <w:tc>
          <w:tcPr>
            <w:tcW w:w="1100" w:type="dxa"/>
          </w:tcPr>
          <w:p w14:paraId="103708E4">
            <w:r>
              <w:rPr>
                <w:rFonts w:hint="eastAsia"/>
                <w:sz w:val="18"/>
              </w:rPr>
              <w:t>网络安全</w:t>
            </w:r>
          </w:p>
        </w:tc>
        <w:tc>
          <w:tcPr>
            <w:tcW w:w="3400" w:type="dxa"/>
          </w:tcPr>
          <w:p w14:paraId="7DC1AE5E">
            <w:r>
              <w:rPr>
                <w:rFonts w:hint="eastAsia"/>
                <w:sz w:val="18"/>
              </w:rPr>
              <w:t>网络隔离与端口最小化</w:t>
            </w:r>
          </w:p>
        </w:tc>
        <w:tc>
          <w:tcPr>
            <w:tcW w:w="5900" w:type="dxa"/>
          </w:tcPr>
          <w:p w14:paraId="46EAC269">
            <w:r>
              <w:rPr>
                <w:rFonts w:hint="eastAsia"/>
                <w:sz w:val="18"/>
              </w:rPr>
              <w:t>强制：优先专网或专线，公网须加密隧道；关闭无用端口与调试接口</w:t>
            </w:r>
          </w:p>
        </w:tc>
        <w:tc>
          <w:tcPr>
            <w:tcW w:w="4740" w:type="dxa"/>
          </w:tcPr>
          <w:p w14:paraId="1209D3BB">
            <w:r>
              <w:rPr>
                <w:rFonts w:hint="eastAsia"/>
                <w:sz w:val="18"/>
              </w:rPr>
              <w:t>网络扫描与配置核查</w:t>
            </w:r>
          </w:p>
        </w:tc>
      </w:tr>
      <w:tr>
        <w:trPr/>
        <w:tc>
          <w:tcPr>
            <w:tcW w:w="1100" w:type="dxa"/>
          </w:tcPr>
          <w:p w14:paraId="669E7306">
            <w:r>
              <w:rPr>
                <w:rFonts w:hint="eastAsia"/>
                <w:sz w:val="18"/>
              </w:rPr>
              <w:t>网络安全</w:t>
            </w:r>
          </w:p>
        </w:tc>
        <w:tc>
          <w:tcPr>
            <w:tcW w:w="3400" w:type="dxa"/>
          </w:tcPr>
          <w:p w14:paraId="19C0EAF5">
            <w:r>
              <w:rPr>
                <w:rFonts w:hint="eastAsia"/>
                <w:sz w:val="18"/>
              </w:rPr>
              <w:t>漏洞管理</w:t>
            </w:r>
          </w:p>
        </w:tc>
        <w:tc>
          <w:tcPr>
            <w:tcW w:w="5900" w:type="dxa"/>
          </w:tcPr>
          <w:p w14:paraId="05763CC8">
            <w:r>
              <w:rPr>
                <w:rFonts w:hint="eastAsia"/>
                <w:sz w:val="18"/>
              </w:rPr>
              <w:t>强制：高危漏洞修复不超过 7 天，中危不超过 30 天</w:t>
            </w:r>
          </w:p>
        </w:tc>
        <w:tc>
          <w:tcPr>
            <w:tcW w:w="4740" w:type="dxa"/>
          </w:tcPr>
          <w:p w14:paraId="37254F5B">
            <w:r>
              <w:rPr>
                <w:rFonts w:hint="eastAsia"/>
                <w:sz w:val="18"/>
              </w:rPr>
              <w:t>漏洞管理台账抽验</w:t>
            </w:r>
          </w:p>
        </w:tc>
      </w:tr>
      <w:tr>
        <w:trPr/>
        <w:tc>
          <w:tcPr>
            <w:tcW w:w="1100" w:type="dxa"/>
          </w:tcPr>
          <w:p w14:paraId="0BBB47AF">
            <w:r>
              <w:rPr>
                <w:rFonts w:hint="eastAsia"/>
                <w:sz w:val="18"/>
              </w:rPr>
              <w:t>应用安全</w:t>
            </w:r>
          </w:p>
        </w:tc>
        <w:tc>
          <w:tcPr>
            <w:tcW w:w="3400" w:type="dxa"/>
          </w:tcPr>
          <w:p w14:paraId="1BBB8F23">
            <w:r>
              <w:rPr>
                <w:rFonts w:hint="eastAsia"/>
                <w:sz w:val="18"/>
              </w:rPr>
              <w:t>密钥与进程隔离</w:t>
            </w:r>
          </w:p>
        </w:tc>
        <w:tc>
          <w:tcPr>
            <w:tcW w:w="5900" w:type="dxa"/>
          </w:tcPr>
          <w:p w14:paraId="6598810E">
            <w:r>
              <w:rPr>
                <w:rFonts w:hint="eastAsia"/>
                <w:sz w:val="18"/>
              </w:rPr>
              <w:t>强制：密钥存储于安全芯片或可信执行环境，最小权限运行</w:t>
            </w:r>
          </w:p>
        </w:tc>
        <w:tc>
          <w:tcPr>
            <w:tcW w:w="4740" w:type="dxa"/>
          </w:tcPr>
          <w:p w14:paraId="6CB7FAA6">
            <w:r>
              <w:rPr>
                <w:rFonts w:hint="eastAsia"/>
                <w:sz w:val="18"/>
              </w:rPr>
              <w:t>代码审计与密钥提取测试</w:t>
            </w:r>
          </w:p>
        </w:tc>
      </w:tr>
      <w:tr>
        <w:trPr/>
        <w:tc>
          <w:tcPr>
            <w:tcW w:w="1100" w:type="dxa"/>
          </w:tcPr>
          <w:p w14:paraId="413EAB38">
            <w:r>
              <w:rPr>
                <w:rFonts w:hint="eastAsia"/>
                <w:sz w:val="18"/>
              </w:rPr>
              <w:t>应用安全</w:t>
            </w:r>
          </w:p>
        </w:tc>
        <w:tc>
          <w:tcPr>
            <w:tcW w:w="3400" w:type="dxa"/>
          </w:tcPr>
          <w:p w14:paraId="3778833D">
            <w:r>
              <w:rPr>
                <w:rFonts w:hint="eastAsia"/>
                <w:sz w:val="18"/>
              </w:rPr>
              <w:t>组件与供应链</w:t>
            </w:r>
          </w:p>
        </w:tc>
        <w:tc>
          <w:tcPr>
            <w:tcW w:w="5900" w:type="dxa"/>
          </w:tcPr>
          <w:p w14:paraId="24C3A163">
            <w:r>
              <w:rPr>
                <w:rFonts w:hint="eastAsia"/>
                <w:sz w:val="18"/>
              </w:rPr>
              <w:t>强制：提供软件物料清单（SBOM），第三方组件漏洞可控</w:t>
            </w:r>
          </w:p>
        </w:tc>
        <w:tc>
          <w:tcPr>
            <w:tcW w:w="4740" w:type="dxa"/>
          </w:tcPr>
          <w:p w14:paraId="005D197B">
            <w:r>
              <w:rPr>
                <w:rFonts w:hint="eastAsia"/>
                <w:sz w:val="18"/>
              </w:rPr>
              <w:t>SBOM 审查与组件漏洞核查</w:t>
            </w:r>
          </w:p>
        </w:tc>
      </w:tr>
      <w:tr>
        <w:trPr/>
        <w:tc>
          <w:tcPr>
            <w:tcW w:w="1100" w:type="dxa"/>
          </w:tcPr>
          <w:p w14:paraId="53D52684">
            <w:r>
              <w:rPr>
                <w:rFonts w:hint="eastAsia"/>
                <w:sz w:val="18"/>
              </w:rPr>
              <w:t>应用安全</w:t>
            </w:r>
          </w:p>
        </w:tc>
        <w:tc>
          <w:tcPr>
            <w:tcW w:w="3400" w:type="dxa"/>
          </w:tcPr>
          <w:p w14:paraId="4647679A">
            <w:r>
              <w:rPr>
                <w:rFonts w:hint="eastAsia"/>
                <w:sz w:val="18"/>
              </w:rPr>
              <w:t>防逆向与完整性自校验</w:t>
            </w:r>
          </w:p>
        </w:tc>
        <w:tc>
          <w:tcPr>
            <w:tcW w:w="5900" w:type="dxa"/>
          </w:tcPr>
          <w:p w14:paraId="38C09ED6">
            <w:r>
              <w:rPr>
                <w:rFonts w:hint="eastAsia"/>
                <w:sz w:val="18"/>
              </w:rPr>
              <w:t>推荐：发布版剥离符号，运行时完整性校验</w:t>
            </w:r>
          </w:p>
        </w:tc>
        <w:tc>
          <w:tcPr>
            <w:tcW w:w="4740" w:type="dxa"/>
          </w:tcPr>
          <w:p w14:paraId="2A99C142">
            <w:r>
              <w:rPr>
                <w:rFonts w:hint="eastAsia"/>
                <w:sz w:val="18"/>
              </w:rPr>
              <w:t>逆向分析测试</w:t>
            </w:r>
          </w:p>
        </w:tc>
      </w:tr>
      <w:tr>
        <w:trPr/>
        <w:tc>
          <w:tcPr>
            <w:tcW w:w="1100" w:type="dxa"/>
          </w:tcPr>
          <w:p w14:paraId="060AC1CD">
            <w:r>
              <w:rPr>
                <w:rFonts w:hint="eastAsia"/>
                <w:sz w:val="18"/>
              </w:rPr>
              <w:t>应用安全</w:t>
            </w:r>
          </w:p>
        </w:tc>
        <w:tc>
          <w:tcPr>
            <w:tcW w:w="3400" w:type="dxa"/>
          </w:tcPr>
          <w:p w14:paraId="77D36229">
            <w:r>
              <w:rPr>
                <w:rFonts w:hint="eastAsia"/>
                <w:sz w:val="18"/>
              </w:rPr>
              <w:t>远程接管留痕</w:t>
            </w:r>
          </w:p>
        </w:tc>
        <w:tc>
          <w:tcPr>
            <w:tcW w:w="5900" w:type="dxa"/>
          </w:tcPr>
          <w:p w14:paraId="4D51B202">
            <w:r>
              <w:rPr>
                <w:rFonts w:hint="eastAsia"/>
                <w:sz w:val="18"/>
              </w:rPr>
              <w:t>强制：接管会话全程录制并可回溯，用于事故定责</w:t>
            </w:r>
          </w:p>
        </w:tc>
        <w:tc>
          <w:tcPr>
            <w:tcW w:w="4740" w:type="dxa"/>
          </w:tcPr>
          <w:p w14:paraId="55A6F872">
            <w:r>
              <w:rPr>
                <w:rFonts w:hint="eastAsia"/>
                <w:sz w:val="18"/>
              </w:rPr>
              <w:t>会话记录抽查与回放验证</w:t>
            </w:r>
          </w:p>
        </w:tc>
      </w:tr>
    </w:tbl>
    <w:p w14:paraId="3A5E4D4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附表 3　补充难点（C1–C9）方案要点与责任建议</w:t>
      </w:r>
    </w:p>
    <w:p w14:paraId="42399B41">
      <w:r>
        <w:rPr>
          <w:rFonts w:hint="eastAsia"/>
        </w:rPr>
        <w:t>说明：本表对应原表占位条目（序号 10）与正文第五章。9 项补充难点与前述 9 条议题构成完整闭环：前者解决“怎么建怎么用”，后者解决“用得稳不稳、能不能长期用下去”。</w:t>
      </w:r>
    </w:p>
    <w:tbl>
      <w:tblPr>
        <w:tblW w:w="1514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0"/>
        <w:gridCol w:w="2600"/>
        <w:gridCol w:w="9300"/>
        <w:gridCol w:w="2540"/>
      </w:tblGrid>
      <w:tr>
        <w:trPr>
          <w:tblHeader w:val="1"/>
        </w:trPr>
        <w:tc>
          <w:tcPr>
            <w:tcW w:w="700" w:type="dxa"/>
          </w:tcPr>
          <w:p w14:paraId="3B1DFB4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编号</w:t>
            </w:r>
          </w:p>
        </w:tc>
        <w:tc>
          <w:tcPr>
            <w:tcW w:w="2600" w:type="dxa"/>
          </w:tcPr>
          <w:p w14:paraId="706D6BD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难点名称</w:t>
            </w:r>
          </w:p>
        </w:tc>
        <w:tc>
          <w:tcPr>
            <w:tcW w:w="9300" w:type="dxa"/>
          </w:tcPr>
          <w:p w14:paraId="2EBAD36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方案要点</w:t>
            </w:r>
          </w:p>
        </w:tc>
        <w:tc>
          <w:tcPr>
            <w:tcW w:w="2540" w:type="dxa"/>
          </w:tcPr>
          <w:p w14:paraId="1F73DCE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建议责任单位</w:t>
            </w:r>
          </w:p>
        </w:tc>
      </w:tr>
      <w:tr>
        <w:trPr/>
        <w:tc>
          <w:tcPr>
            <w:tcW w:w="700" w:type="dxa"/>
          </w:tcPr>
          <w:p w14:paraId="36439534">
            <w:r>
              <w:rPr>
                <w:sz w:val="18"/>
              </w:rPr>
              <w:t>C1</w:t>
            </w:r>
          </w:p>
        </w:tc>
        <w:tc>
          <w:tcPr>
            <w:tcW w:w="2600" w:type="dxa"/>
          </w:tcPr>
          <w:p w14:paraId="3F096D81">
            <w:r>
              <w:rPr>
                <w:rFonts w:hint="eastAsia"/>
                <w:sz w:val="18"/>
              </w:rPr>
              <w:t>多源融合定位与无网环境</w:t>
            </w:r>
          </w:p>
        </w:tc>
        <w:tc>
          <w:tcPr>
            <w:tcW w:w="9300" w:type="dxa"/>
          </w:tcPr>
          <w:p w14:paraId="681C12F0">
            <w:r>
              <w:rPr>
                <w:rFonts w:hint="eastAsia"/>
                <w:sz w:val="18"/>
              </w:rPr>
              <w:t>采用 UWB、激光雷达、视觉、惯导、轮式里程计多源融合（ESKF 或因子图优化）；室外 RTK 与室内 UWB 或激光自动切换；无网时启用本地语义地图与地标重定位；告警位置必须给出置信半径，超阈值时标注“位置待核”并提示人工核实</w:t>
            </w:r>
          </w:p>
        </w:tc>
        <w:tc>
          <w:tcPr>
            <w:tcW w:w="2540" w:type="dxa"/>
          </w:tcPr>
          <w:p w14:paraId="46D33F77">
            <w:r>
              <w:rPr>
                <w:rFonts w:hint="eastAsia"/>
                <w:sz w:val="18"/>
              </w:rPr>
              <w:t>机器人企业；标准归口机构（定位精度与失锁降级要求）；用户单位（点位与场地图纸）</w:t>
            </w:r>
          </w:p>
        </w:tc>
      </w:tr>
      <w:tr>
        <w:trPr/>
        <w:tc>
          <w:tcPr>
            <w:tcW w:w="700" w:type="dxa"/>
          </w:tcPr>
          <w:p w14:paraId="5FC0878A">
            <w:r>
              <w:rPr>
                <w:sz w:val="18"/>
              </w:rPr>
              <w:t>C2</w:t>
            </w:r>
          </w:p>
        </w:tc>
        <w:tc>
          <w:tcPr>
            <w:tcW w:w="2600" w:type="dxa"/>
          </w:tcPr>
          <w:p w14:paraId="6689E81E">
            <w:r>
              <w:rPr>
                <w:rFonts w:hint="eastAsia"/>
                <w:sz w:val="18"/>
              </w:rPr>
              <w:t>续航与无人值守自动充电</w:t>
            </w:r>
          </w:p>
        </w:tc>
        <w:tc>
          <w:tcPr>
            <w:tcW w:w="9300" w:type="dxa"/>
          </w:tcPr>
          <w:p w14:paraId="6A18CFC0">
            <w:r>
              <w:rPr>
                <w:rFonts w:hint="eastAsia"/>
                <w:sz w:val="18"/>
              </w:rPr>
              <w:t>连续巡逻不少于 6 h、混合作业不少于 8 h；自动回充成功率不低于 99%、对位精度不超过 2 cm、0 至 80% 充电不超过 2 h；低电量 30% 自动返航、20% 强制返航；低温容量保持不低于 80%；充电桩具备防雨防撞设计</w:t>
            </w:r>
          </w:p>
        </w:tc>
        <w:tc>
          <w:tcPr>
            <w:tcW w:w="2540" w:type="dxa"/>
          </w:tcPr>
          <w:p w14:paraId="41D34EA4">
            <w:r>
              <w:rPr>
                <w:rFonts w:hint="eastAsia"/>
                <w:sz w:val="18"/>
              </w:rPr>
              <w:t>整机企业；用户单位（充电点位规划与电力条件）</w:t>
            </w:r>
          </w:p>
        </w:tc>
      </w:tr>
      <w:tr>
        <w:trPr/>
        <w:tc>
          <w:tcPr>
            <w:tcW w:w="700" w:type="dxa"/>
          </w:tcPr>
          <w:p w14:paraId="5EC3B114">
            <w:r>
              <w:rPr>
                <w:sz w:val="18"/>
              </w:rPr>
              <w:t>C3</w:t>
            </w:r>
          </w:p>
        </w:tc>
        <w:tc>
          <w:tcPr>
            <w:tcW w:w="2600" w:type="dxa"/>
          </w:tcPr>
          <w:p w14:paraId="0C6C220B">
            <w:r>
              <w:rPr>
                <w:rFonts w:hint="eastAsia"/>
                <w:sz w:val="18"/>
              </w:rPr>
              <w:t>误报率与处置闭环</w:t>
            </w:r>
          </w:p>
        </w:tc>
        <w:tc>
          <w:tcPr>
            <w:tcW w:w="9300" w:type="dxa"/>
          </w:tcPr>
          <w:p w14:paraId="7009C42B">
            <w:r>
              <w:rPr>
                <w:rFonts w:hint="eastAsia"/>
                <w:sz w:val="18"/>
              </w:rPr>
              <w:t>设定可测目标：误报不超过 1 次每班次、告警有效率不低于 90%；告警分级（提示、关注、紧急）与置信度阈值可按区域时段配置；强制二次确认流程（先看证据片段再出警）；误报样本自动回收并纳入模型迭代闭环</w:t>
            </w:r>
          </w:p>
        </w:tc>
        <w:tc>
          <w:tcPr>
            <w:tcW w:w="2540" w:type="dxa"/>
          </w:tcPr>
          <w:p w14:paraId="7CFE255B">
            <w:r>
              <w:rPr>
                <w:rFonts w:hint="eastAsia"/>
                <w:sz w:val="18"/>
              </w:rPr>
              <w:t>用户单位（处置流程）；平台企业（告警分级）；算法企业（迭代闭环）</w:t>
            </w:r>
          </w:p>
        </w:tc>
      </w:tr>
      <w:tr>
        <w:trPr/>
        <w:tc>
          <w:tcPr>
            <w:tcW w:w="700" w:type="dxa"/>
          </w:tcPr>
          <w:p w14:paraId="15E42D31">
            <w:r>
              <w:rPr>
                <w:sz w:val="18"/>
              </w:rPr>
              <w:t>C4</w:t>
            </w:r>
          </w:p>
        </w:tc>
        <w:tc>
          <w:tcPr>
            <w:tcW w:w="2600" w:type="dxa"/>
          </w:tcPr>
          <w:p w14:paraId="1CF2F264">
            <w:r>
              <w:rPr>
                <w:rFonts w:hint="eastAsia"/>
                <w:sz w:val="18"/>
              </w:rPr>
              <w:t>电磁兼容与反制装备共存</w:t>
            </w:r>
          </w:p>
        </w:tc>
        <w:tc>
          <w:tcPr>
            <w:tcW w:w="9300" w:type="dxa"/>
          </w:tcPr>
          <w:p w14:paraId="02D27582">
            <w:r>
              <w:rPr>
                <w:rFonts w:hint="eastAsia"/>
                <w:sz w:val="18"/>
              </w:rPr>
              <w:t>执行电磁兼容相关标准；建立现场频谱协调与作业回避机制；明确反制期间机器人安全策略（自动降速、停驻、返航或进入安全区）；将“现场存在反制装备”写入场景画像并在采购文件中明确；反制作业前进行电磁环境评估</w:t>
            </w:r>
          </w:p>
        </w:tc>
        <w:tc>
          <w:tcPr>
            <w:tcW w:w="2540" w:type="dxa"/>
          </w:tcPr>
          <w:p w14:paraId="528E8245">
            <w:r>
              <w:rPr>
                <w:rFonts w:hint="eastAsia"/>
                <w:sz w:val="18"/>
              </w:rPr>
              <w:t>用户单位（现场频谱协调）；整机企业（抗扰设计）；标准归口机构（EMC 与安全策略条款）</w:t>
            </w:r>
          </w:p>
        </w:tc>
      </w:tr>
      <w:tr>
        <w:trPr/>
        <w:tc>
          <w:tcPr>
            <w:tcW w:w="700" w:type="dxa"/>
          </w:tcPr>
          <w:p w14:paraId="6D88DC5B">
            <w:r>
              <w:rPr>
                <w:sz w:val="18"/>
              </w:rPr>
              <w:t>C5</w:t>
            </w:r>
          </w:p>
        </w:tc>
        <w:tc>
          <w:tcPr>
            <w:tcW w:w="2600" w:type="dxa"/>
          </w:tcPr>
          <w:p w14:paraId="3E6DCAAD">
            <w:r>
              <w:rPr>
                <w:rFonts w:hint="eastAsia"/>
                <w:sz w:val="18"/>
              </w:rPr>
              <w:t>人机共存与行人安全</w:t>
            </w:r>
          </w:p>
        </w:tc>
        <w:tc>
          <w:tcPr>
            <w:tcW w:w="9300" w:type="dxa"/>
          </w:tcPr>
          <w:p w14:paraId="3A4052BB">
            <w:r>
              <w:rPr>
                <w:rFonts w:hint="eastAsia"/>
                <w:sz w:val="18"/>
              </w:rPr>
              <w:t>采用社交导航与分层安全半径（预警 2 m、减速 1.5 m、停止 1 m）；分类识别儿童、老人等弱势对象并加大安全距离；对倒地人员执行“不压不碰、呼救上报”策略；通行礼仪（靠右、让行、不贴行）写入作业规范；密集人流场景自动降速并切换为伴随模式</w:t>
            </w:r>
          </w:p>
        </w:tc>
        <w:tc>
          <w:tcPr>
            <w:tcW w:w="2540" w:type="dxa"/>
          </w:tcPr>
          <w:p w14:paraId="3FA4C6D1">
            <w:r>
              <w:rPr>
                <w:rFonts w:hint="eastAsia"/>
                <w:sz w:val="18"/>
              </w:rPr>
              <w:t>机器人企业（避让算法与安全半径实现）；公共安全业务部门（礼仪与处置规范）</w:t>
            </w:r>
          </w:p>
        </w:tc>
      </w:tr>
      <w:tr>
        <w:trPr/>
        <w:tc>
          <w:tcPr>
            <w:tcW w:w="700" w:type="dxa"/>
          </w:tcPr>
          <w:p w14:paraId="5689B058">
            <w:r>
              <w:rPr>
                <w:sz w:val="18"/>
              </w:rPr>
              <w:t>C6</w:t>
            </w:r>
          </w:p>
        </w:tc>
        <w:tc>
          <w:tcPr>
            <w:tcW w:w="2600" w:type="dxa"/>
          </w:tcPr>
          <w:p w14:paraId="66A447EA">
            <w:r>
              <w:rPr>
                <w:rFonts w:hint="eastAsia"/>
                <w:sz w:val="18"/>
              </w:rPr>
              <w:t>恶劣环境适应性</w:t>
            </w:r>
          </w:p>
        </w:tc>
        <w:tc>
          <w:tcPr>
            <w:tcW w:w="9300" w:type="dxa"/>
          </w:tcPr>
          <w:p w14:paraId="07B20917">
            <w:r>
              <w:rPr>
                <w:rFonts w:hint="eastAsia"/>
                <w:sz w:val="18"/>
              </w:rPr>
              <w:t>分级环境适应性要求（工作温度 -20 至 55 ℃、抗风 6 级、防护 IP65 与 IP67）；传感器加热除雾与镜面疏水处理；地面摩擦变化时自适应调整速度上限；暴雨、大雪、结冰等条件下自动降级为定点值守或返航</w:t>
            </w:r>
          </w:p>
        </w:tc>
        <w:tc>
          <w:tcPr>
            <w:tcW w:w="2540" w:type="dxa"/>
          </w:tcPr>
          <w:p w14:paraId="25D60E47">
            <w:r>
              <w:rPr>
                <w:rFonts w:hint="eastAsia"/>
                <w:sz w:val="18"/>
              </w:rPr>
              <w:t>整机企业；检测机构（环境适应性试验）；用户单位（本地气候条件输入）</w:t>
            </w:r>
          </w:p>
        </w:tc>
      </w:tr>
      <w:tr>
        <w:trPr/>
        <w:tc>
          <w:tcPr>
            <w:tcW w:w="700" w:type="dxa"/>
          </w:tcPr>
          <w:p w14:paraId="3EFFB4CA">
            <w:r>
              <w:rPr>
                <w:sz w:val="18"/>
              </w:rPr>
              <w:t>C7</w:t>
            </w:r>
          </w:p>
        </w:tc>
        <w:tc>
          <w:tcPr>
            <w:tcW w:w="2600" w:type="dxa"/>
          </w:tcPr>
          <w:p w14:paraId="2CBCF0AE">
            <w:r>
              <w:rPr>
                <w:rFonts w:hint="eastAsia"/>
                <w:sz w:val="18"/>
              </w:rPr>
              <w:t>运维与规模化</w:t>
            </w:r>
          </w:p>
        </w:tc>
        <w:tc>
          <w:tcPr>
            <w:tcW w:w="9300" w:type="dxa"/>
          </w:tcPr>
          <w:p w14:paraId="370B66B6">
            <w:r>
              <w:rPr>
                <w:rFonts w:hint="eastAsia"/>
                <w:sz w:val="18"/>
              </w:rPr>
              <w:t>建立健康管理与故障预测（电池、电机、减速器、激光雷达的剩余寿命预测）；批量 OTA 与灰度发布；备机率不低于 10%、常用备件 4 h 到位；将可用率不低于 99%、MTBF 不低于 2000 h 纳入运维考核；建立远程诊断与一线运维两级体系</w:t>
            </w:r>
          </w:p>
        </w:tc>
        <w:tc>
          <w:tcPr>
            <w:tcW w:w="2540" w:type="dxa"/>
          </w:tcPr>
          <w:p w14:paraId="1BEEBC46">
            <w:r>
              <w:rPr>
                <w:rFonts w:hint="eastAsia"/>
                <w:sz w:val="18"/>
              </w:rPr>
              <w:t>整机企业（健康管理与备件）；用户单位（运维制度与考核）</w:t>
            </w:r>
          </w:p>
        </w:tc>
      </w:tr>
      <w:tr>
        <w:trPr/>
        <w:tc>
          <w:tcPr>
            <w:tcW w:w="700" w:type="dxa"/>
          </w:tcPr>
          <w:p w14:paraId="34C032C6">
            <w:r>
              <w:rPr>
                <w:sz w:val="18"/>
              </w:rPr>
              <w:t>C8</w:t>
            </w:r>
          </w:p>
        </w:tc>
        <w:tc>
          <w:tcPr>
            <w:tcW w:w="2600" w:type="dxa"/>
          </w:tcPr>
          <w:p w14:paraId="66A4A371">
            <w:r>
              <w:rPr>
                <w:rFonts w:hint="eastAsia"/>
                <w:sz w:val="18"/>
              </w:rPr>
              <w:t>伦理、告知与舆情</w:t>
            </w:r>
          </w:p>
        </w:tc>
        <w:tc>
          <w:tcPr>
            <w:tcW w:w="9300" w:type="dxa"/>
          </w:tcPr>
          <w:p w14:paraId="6C40299C">
            <w:r>
              <w:rPr>
                <w:rFonts w:hint="eastAsia"/>
                <w:sz w:val="18"/>
              </w:rPr>
              <w:t>现场告知（机身标识、语音提示、试运行公示）；对住宅、窗户、私密场所实施自动遮挡；公开数据用途与留存期限；建立投诉受理与 24 h 响应机制；严格限制涉未成年人影像的采集与使用；重大节点前开展舆情预评估</w:t>
            </w:r>
          </w:p>
        </w:tc>
        <w:tc>
          <w:tcPr>
            <w:tcW w:w="2540" w:type="dxa"/>
          </w:tcPr>
          <w:p w14:paraId="1A55B3B0">
            <w:r>
              <w:rPr>
                <w:rFonts w:hint="eastAsia"/>
                <w:sz w:val="18"/>
              </w:rPr>
              <w:t>用户单位（告知与公示）；公共安全业务部门（拍摄边界与伦理规则）；宣传部门（舆情应对）</w:t>
            </w:r>
          </w:p>
        </w:tc>
      </w:tr>
      <w:tr>
        <w:trPr/>
        <w:tc>
          <w:tcPr>
            <w:tcW w:w="700" w:type="dxa"/>
          </w:tcPr>
          <w:p w14:paraId="33403A59">
            <w:r>
              <w:rPr>
                <w:sz w:val="18"/>
              </w:rPr>
              <w:t>C9</w:t>
            </w:r>
          </w:p>
        </w:tc>
        <w:tc>
          <w:tcPr>
            <w:tcW w:w="2600" w:type="dxa"/>
          </w:tcPr>
          <w:p w14:paraId="31A79251">
            <w:r>
              <w:rPr>
                <w:rFonts w:hint="eastAsia"/>
                <w:sz w:val="18"/>
              </w:rPr>
              <w:t>空地协同（无人机与地面机器人）</w:t>
            </w:r>
          </w:p>
        </w:tc>
        <w:tc>
          <w:tcPr>
            <w:tcW w:w="9300" w:type="dxa"/>
          </w:tcPr>
          <w:p w14:paraId="686B5288">
            <w:r>
              <w:rPr>
                <w:rFonts w:hint="eastAsia"/>
                <w:sz w:val="18"/>
              </w:rPr>
              <w:t>由统一调度平台下发协同任务：无人机负责大范围快速巡查与目标发现，地面机器人负责近距核查与持续值守；目标交接采用统一目标 ID 与坐标基准；明确空域合规（飞行审批、禁飞区）与安全间隔规则；无人机续航不足时采用多机轮转与自动机场实现接力覆盖</w:t>
            </w:r>
          </w:p>
        </w:tc>
        <w:tc>
          <w:tcPr>
            <w:tcW w:w="2540" w:type="dxa"/>
          </w:tcPr>
          <w:p w14:paraId="643FE7B0">
            <w:r>
              <w:rPr>
                <w:rFonts w:hint="eastAsia"/>
                <w:sz w:val="18"/>
              </w:rPr>
              <w:t>用户单位（协同流程）；无人机与机器人企业（接口与目标交接）；空管与公安主管部门（空域合规）</w:t>
            </w:r>
          </w:p>
        </w:tc>
      </w:tr>
    </w:tbl>
    <w:p w14:paraId="6D1F17FE"/>
    <w:sectPr>
      <w:footerReference r:id="rId7" w:type="first"/>
      <w:footerReference r:id="rId9" w:type="even"/>
      <w:footerReference r:id="rId8" w:type="default"/>
      <w:type w:val="nextPage"/>
      <w:pgSz w:w="16838" w:h="11906" w:orient="landscape"/>
      <w:pgMar w:top="1134" w:right="850" w:bottom="1134" w:left="850"/>
      <w:pgNumType w:fmt="decimal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04091695">
        <w:pPr>
          <w:framePr w:wrap="none" w:hAnchor="margin" w:vAnchor="text" w:xAlign="right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4099C6F6"/>
</w:ftr>
</file>

<file path=word/footer2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3B3AF180">
        <w:pPr>
          <w:framePr w:wrap="none" w:hAnchor="margin" w:vAnchor="text" w:xAlign="right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678AD98C"/>
</w:ftr>
</file>

<file path=word/footer3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520B316A">
        <w:pPr>
          <w:framePr w:wrap="none" w:hAnchor="margin" w:vAnchor="text" w:xAlign="right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1EBB48AB"/>
</w:ftr>
</file>

<file path=word/footer4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09191255">
        <w:pPr>
          <w:framePr w:wrap="none" w:hAnchor="margin" w:vAnchor="text" w:xAlign="right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35893B72"/>
</w:ftr>
</file>

<file path=word/footer5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2009133F">
        <w:pPr>
          <w:framePr w:wrap="none" w:hAnchor="margin" w:vAnchor="text" w:xAlign="right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6C96CA5C"/>
</w:ftr>
</file>

<file path=word/footer6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47F72CD6">
        <w:pPr>
          <w:framePr w:wrap="none" w:hAnchor="margin" w:vAnchor="text" w:xAlign="right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03775D27"/>
</w:ftr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  <w:rsids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footer" Target="footer6.xml" /><Relationship Id="rId7" Type="http://schemas.openxmlformats.org/officeDocument/2006/relationships/footer" Target="footer4.xml" /><Relationship Id="rId6" Type="http://schemas.openxmlformats.org/officeDocument/2006/relationships/footer" Target="footer3.xml" /><Relationship Id="rId5" Type="http://schemas.openxmlformats.org/officeDocument/2006/relationships/footer" Target="footer2.xml" /><Relationship Id="rId1" Type="http://schemas.openxmlformats.org/officeDocument/2006/relationships/settings" Target="settings.xml" /><Relationship Id="rId4" Type="http://schemas.openxmlformats.org/officeDocument/2006/relationships/footer" Target="footer1.xml" /><Relationship Id="rId8" Type="http://schemas.openxmlformats.org/officeDocument/2006/relationships/footer" Target="footer5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2026-09-17T16:31:48Z</dcterms:created>
  <dcterms:modified xsi:type="dcterms:W3CDTF">2026-09-17T16:31:48Z</dcterms:modified>
</cp:coreProperties>
</file>