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rFonts w:ascii="Arial Unicode MS" w:hAnsi="Arial Unicode MS" w:eastAsia="PingFang SC"/>
          <w:color w:val="666666"/>
          <w:sz w:val="20"/>
        </w:rPr>
        <w:t>合同编号：________________</w:t>
      </w:r>
    </w:p>
    <w:p>
      <w:pPr>
        <w:pStyle w:val="Title"/>
        <w:jc w:val="center"/>
      </w:pPr>
      <w:r>
        <w:rPr>
          <w:rFonts w:ascii="Arial Unicode MS" w:hAnsi="Arial Unicode MS" w:eastAsia="PingFang SC"/>
          <w:b/>
          <w:color w:val="222222"/>
          <w:sz w:val="44"/>
        </w:rPr>
        <w:t>PCB/PCBA定制加工及程序烧录合同</w:t>
      </w:r>
    </w:p>
    <w:p>
      <w:pPr>
        <w:pStyle w:val="Subtitle"/>
        <w:jc w:val="center"/>
      </w:pPr>
      <w:r>
        <w:rPr>
          <w:rFonts w:ascii="Arial Unicode MS" w:hAnsi="Arial Unicode MS" w:eastAsia="PingFang SC"/>
          <w:b/>
          <w:color w:val="1F4D78"/>
          <w:sz w:val="23"/>
        </w:rPr>
        <w:t>项目：项圈电路板 RFID_CC1101_433MHz_V3.8</w:t>
      </w:r>
    </w:p>
    <w:tbl>
      <w:tblPr>
        <w:tblW w:type="dxa" w:w="9360"/>
        <w:jc w:val="left"/>
        <w:tblLayout w:type="fixed"/>
        <w:tblLook w:firstColumn="1" w:firstRow="1" w:lastColumn="0" w:lastRow="0" w:noHBand="0" w:noVBand="1" w:val="04A0"/>
        <w:tblInd w:type="dxa" w:w="120"/>
      </w:tblPr>
      <w:tblGrid>
        <w:gridCol w:w="1550"/>
        <w:gridCol w:w="3130"/>
        <w:gridCol w:w="1550"/>
        <w:gridCol w:w="3130"/>
      </w:tblGrid>
      <w:tr>
        <w:trPr>
          <w:cantSplit/>
        </w:trPr>
        <w:tc>
          <w:tcPr>
            <w:tcW w:type="dxa" w:w="15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合同签订地</w:t>
            </w:r>
          </w:p>
        </w:tc>
        <w:tc>
          <w:tcPr>
            <w:tcW w:type="dxa" w:w="31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c>
          <w:tcPr>
            <w:tcW w:type="dxa" w:w="15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签订日期</w:t>
            </w:r>
          </w:p>
        </w:tc>
        <w:tc>
          <w:tcPr>
            <w:tcW w:type="dxa" w:w="31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____年__月__日</w:t>
            </w:r>
          </w:p>
        </w:tc>
      </w:tr>
      <w:tr>
        <w:trPr>
          <w:cantSplit/>
        </w:trPr>
        <w:tc>
          <w:tcPr>
            <w:tcW w:type="dxa" w:w="15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甲方（定作方/采购方）</w:t>
            </w:r>
          </w:p>
        </w:tc>
        <w:tc>
          <w:tcPr>
            <w:tcW w:type="dxa" w:w="31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北京国科蓝海科技有限公司</w:t>
            </w:r>
          </w:p>
        </w:tc>
        <w:tc>
          <w:tcPr>
            <w:tcW w:type="dxa" w:w="15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乙方（承揽方/供应方）</w:t>
            </w:r>
          </w:p>
        </w:tc>
        <w:tc>
          <w:tcPr>
            <w:tcW w:type="dxa" w:w="31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【填写全称】</w:t>
            </w:r>
          </w:p>
        </w:tc>
      </w:tr>
    </w:tbl>
    <w:p>
      <w:pPr>
        <w:spacing w:before="0" w:after="40"/>
      </w:pPr>
    </w:p>
    <w:tbl>
      <w:tblPr>
        <w:tblW w:type="dxa" w:w="9360"/>
        <w:jc w:val="left"/>
        <w:tblLayout w:type="fixed"/>
        <w:tblLook w:firstColumn="1" w:firstRow="1" w:lastColumn="0" w:lastRow="0" w:noHBand="0" w:noVBand="1" w:val="04A0"/>
        <w:tblInd w:type="dxa" w:w="120"/>
      </w:tblPr>
      <w:tblGrid>
        <w:gridCol w:w="1900"/>
        <w:gridCol w:w="3730"/>
        <w:gridCol w:w="3730"/>
      </w:tblGrid>
      <w:tr>
        <w:trPr>
          <w:cantSplit/>
          <w:tblHeader w:val="true"/>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20"/>
              </w:rPr>
              <w:t>项目</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20"/>
              </w:rPr>
              <w:t>甲方（定作方/采购方）</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20"/>
              </w:rPr>
              <w:t>乙方（承揽方/供应方）</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单位名称</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北京国科蓝海科技有限公司</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统一社会信用代码/纳税人识别号</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911101085620967455</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注册地/住所</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北京市海淀区上地佳园23号楼4层404</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法定代表人/负责人</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联系人及电话</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联系人：【填写】；电话：010-56299299</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电子邮箱</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9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开户银行及账号</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广发银行股份有限公司北京望京支行</w:t>
              <w:br/>
              <w:t>1372 6151 6010 001954</w:t>
            </w:r>
          </w:p>
        </w:tc>
        <w:tc>
          <w:tcPr>
            <w:tcW w:type="dxa" w:w="373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bl>
    <w:p>
      <w:pPr>
        <w:spacing w:before="0" w:after="40"/>
      </w:pPr>
    </w:p>
    <w:p>
      <w:pPr>
        <w:spacing w:after="100" w:line="264" w:lineRule="auto"/>
        <w:ind w:firstLine="418"/>
        <w:jc w:val="both"/>
      </w:pPr>
      <w:r>
        <w:rPr>
          <w:rFonts w:ascii="Arial Unicode MS" w:hAnsi="Arial Unicode MS" w:eastAsia="PingFang SC"/>
          <w:color w:val="222222"/>
          <w:sz w:val="22"/>
        </w:rPr>
        <w:t>根据《中华人民共和国民法典》及相关法律法规，甲乙双方遵循平等、自愿、公平和诚实信用原则，就本项目电路板定制加工、程序烧录及交付事宜达成如下协议，共同遵照执行。</w:t>
      </w:r>
    </w:p>
    <w:p>
      <w:pPr>
        <w:pStyle w:val="Heading2"/>
        <w:keepNext/>
        <w:pageBreakBefore w:val="0"/>
      </w:pPr>
      <w:r>
        <w:rPr>
          <w:rFonts w:ascii="Arial Unicode MS" w:hAnsi="Arial Unicode MS" w:eastAsia="PingFang SC"/>
          <w:b/>
          <w:color w:val="2E74B5"/>
          <w:sz w:val="26"/>
        </w:rPr>
        <w:t>第一条  合同标的、数量与价款</w:t>
      </w:r>
    </w:p>
    <w:tbl>
      <w:tblPr>
        <w:tblW w:type="dxa" w:w="9360"/>
        <w:jc w:val="left"/>
        <w:tblLayout w:type="fixed"/>
        <w:tblLook w:firstColumn="1" w:firstRow="1" w:lastColumn="0" w:lastRow="0" w:noHBand="0" w:noVBand="1" w:val="04A0"/>
        <w:tblInd w:type="dxa" w:w="120"/>
      </w:tblPr>
      <w:tblGrid>
        <w:gridCol w:w="650"/>
        <w:gridCol w:w="2450"/>
        <w:gridCol w:w="3300"/>
        <w:gridCol w:w="750"/>
        <w:gridCol w:w="650"/>
        <w:gridCol w:w="1560"/>
      </w:tblGrid>
      <w:tr>
        <w:trPr>
          <w:cantSplit/>
          <w:tblHeader w:val="true"/>
        </w:trPr>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shd w:fill="F2F4F7"/>
            <w:tcMar>
              <w:top w:w="100" w:type="dxa"/>
              <w:bottom w:w="100" w:type="dxa"/>
              <w:start w:w="120" w:type="dxa"/>
              <w:end w:w="120" w:type="dxa"/>
            </w:tcMar>
          </w:tcPr>
          <w:p>
            <w:pPr>
              <w:spacing w:before="0" w:after="0" w:line="269" w:lineRule="auto"/>
              <w:jc w:val="center"/>
            </w:pPr>
            <w:r/>
            <w:r>
              <w:rPr>
                <w:rFonts w:ascii="Arial Unicode MS" w:hAnsi="Arial Unicode MS" w:eastAsia="PingFang SC"/>
                <w:b/>
                <w:color w:val="222222"/>
                <w:sz w:val="18"/>
              </w:rPr>
              <w:t>序号</w:t>
            </w:r>
          </w:p>
        </w:tc>
        <w:tc>
          <w:tcPr>
            <w:tcW w:type="dxa" w:w="2450"/>
            <w:vAlign w:val="center"/>
            <w:tcBorders>
              <w:top w:val="single" w:sz="6" w:color="B7C1CC"/>
              <w:left w:val="single" w:sz="6" w:color="B7C1CC"/>
              <w:bottom w:val="single" w:sz="6" w:color="B7C1CC"/>
              <w:right w:val="single" w:sz="6" w:color="B7C1CC"/>
              <w:insideH w:val="single" w:sz="6" w:color="B7C1CC"/>
              <w:insideV w:val="single" w:sz="6" w:color="B7C1CC"/>
            </w:tcBorders>
            <w:shd w:fill="F2F4F7"/>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8"/>
              </w:rPr>
              <w:t>项目/产品名称</w:t>
            </w:r>
          </w:p>
        </w:tc>
        <w:tc>
          <w:tcPr>
            <w:tcW w:type="dxa" w:w="3300"/>
            <w:vAlign w:val="center"/>
            <w:tcBorders>
              <w:top w:val="single" w:sz="6" w:color="B7C1CC"/>
              <w:left w:val="single" w:sz="6" w:color="B7C1CC"/>
              <w:bottom w:val="single" w:sz="6" w:color="B7C1CC"/>
              <w:right w:val="single" w:sz="6" w:color="B7C1CC"/>
              <w:insideH w:val="single" w:sz="6" w:color="B7C1CC"/>
              <w:insideV w:val="single" w:sz="6" w:color="B7C1CC"/>
            </w:tcBorders>
            <w:shd w:fill="F2F4F7"/>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8"/>
              </w:rPr>
              <w:t>规格或交付依据</w:t>
            </w:r>
          </w:p>
        </w:tc>
        <w:tc>
          <w:tcPr>
            <w:tcW w:type="dxa" w:w="750"/>
            <w:vAlign w:val="center"/>
            <w:tcBorders>
              <w:top w:val="single" w:sz="6" w:color="B7C1CC"/>
              <w:left w:val="single" w:sz="6" w:color="B7C1CC"/>
              <w:bottom w:val="single" w:sz="6" w:color="B7C1CC"/>
              <w:right w:val="single" w:sz="6" w:color="B7C1CC"/>
              <w:insideH w:val="single" w:sz="6" w:color="B7C1CC"/>
              <w:insideV w:val="single" w:sz="6" w:color="B7C1CC"/>
            </w:tcBorders>
            <w:shd w:fill="F2F4F7"/>
            <w:tcMar>
              <w:top w:w="100" w:type="dxa"/>
              <w:bottom w:w="100" w:type="dxa"/>
              <w:start w:w="120" w:type="dxa"/>
              <w:end w:w="120" w:type="dxa"/>
            </w:tcMar>
          </w:tcPr>
          <w:p>
            <w:pPr>
              <w:spacing w:before="0" w:after="0" w:line="269" w:lineRule="auto"/>
              <w:jc w:val="center"/>
            </w:pPr>
            <w:r/>
            <w:r>
              <w:rPr>
                <w:rFonts w:ascii="Arial Unicode MS" w:hAnsi="Arial Unicode MS" w:eastAsia="PingFang SC"/>
                <w:b/>
                <w:color w:val="222222"/>
                <w:sz w:val="18"/>
              </w:rPr>
              <w:t>数量</w:t>
            </w:r>
          </w:p>
        </w:tc>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shd w:fill="F2F4F7"/>
            <w:tcMar>
              <w:top w:w="100" w:type="dxa"/>
              <w:bottom w:w="100" w:type="dxa"/>
              <w:start w:w="120" w:type="dxa"/>
              <w:end w:w="120" w:type="dxa"/>
            </w:tcMar>
          </w:tcPr>
          <w:p>
            <w:pPr>
              <w:spacing w:before="0" w:after="0" w:line="269" w:lineRule="auto"/>
              <w:jc w:val="center"/>
            </w:pPr>
            <w:r/>
            <w:r>
              <w:rPr>
                <w:rFonts w:ascii="Arial Unicode MS" w:hAnsi="Arial Unicode MS" w:eastAsia="PingFang SC"/>
                <w:b/>
                <w:color w:val="222222"/>
                <w:sz w:val="18"/>
              </w:rPr>
              <w:t>单位</w:t>
            </w:r>
          </w:p>
        </w:tc>
        <w:tc>
          <w:tcPr>
            <w:tcW w:type="dxa" w:w="1560"/>
            <w:vAlign w:val="center"/>
            <w:tcBorders>
              <w:top w:val="single" w:sz="6" w:color="B7C1CC"/>
              <w:left w:val="single" w:sz="6" w:color="B7C1CC"/>
              <w:bottom w:val="single" w:sz="6" w:color="B7C1CC"/>
              <w:right w:val="single" w:sz="6" w:color="B7C1CC"/>
              <w:insideH w:val="single" w:sz="6" w:color="B7C1CC"/>
              <w:insideV w:val="single" w:sz="6" w:color="B7C1CC"/>
            </w:tcBorders>
            <w:shd w:fill="F2F4F7"/>
            <w:tcMar>
              <w:top w:w="100" w:type="dxa"/>
              <w:bottom w:w="100" w:type="dxa"/>
              <w:start w:w="120" w:type="dxa"/>
              <w:end w:w="120" w:type="dxa"/>
            </w:tcMar>
          </w:tcPr>
          <w:p>
            <w:pPr>
              <w:spacing w:before="0" w:after="0" w:line="269" w:lineRule="auto"/>
              <w:jc w:val="right"/>
            </w:pPr>
            <w:r/>
            <w:r>
              <w:rPr>
                <w:rFonts w:ascii="Arial Unicode MS" w:hAnsi="Arial Unicode MS" w:eastAsia="PingFang SC"/>
                <w:b/>
                <w:color w:val="222222"/>
                <w:sz w:val="18"/>
              </w:rPr>
              <w:t>金额（元）</w:t>
            </w:r>
          </w:p>
        </w:tc>
      </w:tr>
      <w:tr>
        <w:trPr>
          <w:cantSplit/>
        </w:trPr>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1</w:t>
            </w:r>
          </w:p>
        </w:tc>
        <w:tc>
          <w:tcPr>
            <w:tcW w:type="dxa" w:w="24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8"/>
              </w:rPr>
              <w:t>项圈电路板</w:t>
              <w:br/>
              <w:t>RFID_CC1101_433MHz_V3.8</w:t>
            </w:r>
          </w:p>
        </w:tc>
        <w:tc>
          <w:tcPr>
            <w:tcW w:type="dxa" w:w="33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8"/>
              </w:rPr>
              <w:t>以双方确认的Gerber/BOM/坐标/工艺文件、样板及附件一为准</w:t>
            </w:r>
          </w:p>
        </w:tc>
        <w:tc>
          <w:tcPr>
            <w:tcW w:type="dxa" w:w="7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600</w:t>
            </w:r>
          </w:p>
        </w:tc>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件</w:t>
            </w:r>
          </w:p>
        </w:tc>
        <w:tc>
          <w:tcPr>
            <w:tcW w:type="dxa" w:w="15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right"/>
            </w:pPr>
            <w:r/>
            <w:r>
              <w:rPr>
                <w:rFonts w:ascii="Arial Unicode MS" w:hAnsi="Arial Unicode MS" w:eastAsia="PingFang SC"/>
                <w:b w:val="0"/>
                <w:color w:val="222222"/>
                <w:sz w:val="18"/>
              </w:rPr>
              <w:t>62,000.00</w:t>
            </w:r>
          </w:p>
        </w:tc>
      </w:tr>
      <w:tr>
        <w:trPr>
          <w:cantSplit/>
        </w:trPr>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2</w:t>
            </w:r>
          </w:p>
        </w:tc>
        <w:tc>
          <w:tcPr>
            <w:tcW w:type="dxa" w:w="24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8"/>
              </w:rPr>
              <w:t>电路板程序烧录</w:t>
            </w:r>
          </w:p>
        </w:tc>
        <w:tc>
          <w:tcPr>
            <w:tcW w:type="dxa" w:w="33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8"/>
              </w:rPr>
              <w:t>以附件二确认的固件版本、校验值、目标芯片及烧录验证要求为准</w:t>
            </w:r>
          </w:p>
        </w:tc>
        <w:tc>
          <w:tcPr>
            <w:tcW w:type="dxa" w:w="7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600</w:t>
            </w:r>
          </w:p>
        </w:tc>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件</w:t>
            </w:r>
          </w:p>
        </w:tc>
        <w:tc>
          <w:tcPr>
            <w:tcW w:type="dxa" w:w="15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right"/>
            </w:pPr>
            <w:r/>
            <w:r>
              <w:rPr>
                <w:rFonts w:ascii="Arial Unicode MS" w:hAnsi="Arial Unicode MS" w:eastAsia="PingFang SC"/>
                <w:b w:val="0"/>
                <w:color w:val="222222"/>
                <w:sz w:val="18"/>
              </w:rPr>
              <w:t>6,000.00</w:t>
            </w:r>
          </w:p>
        </w:tc>
      </w:tr>
      <w:tr>
        <w:trPr>
          <w:cantSplit/>
        </w:trPr>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合计</w:t>
            </w:r>
          </w:p>
        </w:tc>
        <w:tc>
          <w:tcPr>
            <w:tcW w:type="dxa" w:w="24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8"/>
              </w:rPr>
              <w:t>人民币（小写）：¥68,000.00</w:t>
            </w:r>
          </w:p>
        </w:tc>
        <w:tc>
          <w:tcPr>
            <w:tcW w:type="dxa" w:w="33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8"/>
              </w:rPr>
              <w:t>人民币（大写）：陆万捌仟元整</w:t>
            </w:r>
          </w:p>
        </w:tc>
        <w:tc>
          <w:tcPr>
            <w:tcW w:type="dxa" w:w="7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w:t>
            </w:r>
          </w:p>
        </w:tc>
        <w:tc>
          <w:tcPr>
            <w:tcW w:type="dxa" w:w="6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center"/>
            </w:pPr>
            <w:r/>
            <w:r>
              <w:rPr>
                <w:rFonts w:ascii="Arial Unicode MS" w:hAnsi="Arial Unicode MS" w:eastAsia="PingFang SC"/>
                <w:b w:val="0"/>
                <w:color w:val="222222"/>
                <w:sz w:val="18"/>
              </w:rPr>
              <w:t>—</w:t>
            </w:r>
          </w:p>
        </w:tc>
        <w:tc>
          <w:tcPr>
            <w:tcW w:type="dxa" w:w="15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right"/>
            </w:pPr>
            <w:r/>
            <w:r>
              <w:rPr>
                <w:rFonts w:ascii="Arial Unicode MS" w:hAnsi="Arial Unicode MS" w:eastAsia="PingFang SC"/>
                <w:b w:val="0"/>
                <w:color w:val="222222"/>
                <w:sz w:val="18"/>
              </w:rPr>
              <w:t>68,000.00</w:t>
            </w:r>
          </w:p>
        </w:tc>
      </w:tr>
    </w:tbl>
    <w:p>
      <w:pPr>
        <w:spacing w:before="0" w:after="40"/>
      </w:pPr>
    </w:p>
    <w:p>
      <w:pPr>
        <w:spacing w:after="100" w:line="264" w:lineRule="auto"/>
        <w:ind w:firstLine="0"/>
        <w:jc w:val="both"/>
      </w:pPr>
      <w:r>
        <w:rPr>
          <w:rFonts w:ascii="Arial Unicode MS" w:hAnsi="Arial Unicode MS" w:eastAsia="PingFang SC"/>
          <w:color w:val="222222"/>
          <w:sz w:val="22"/>
        </w:rPr>
        <w:t>1. 上述两项合计合同总价为人民币68,000.00元（大写：陆万捌仟元整）。各项金额为批次总价，结算以本表金额为准。</w:t>
      </w:r>
    </w:p>
    <w:p>
      <w:pPr>
        <w:spacing w:after="100" w:line="264" w:lineRule="auto"/>
        <w:ind w:firstLine="0"/>
        <w:jc w:val="both"/>
      </w:pPr>
      <w:r>
        <w:rPr>
          <w:rFonts w:ascii="Arial Unicode MS" w:hAnsi="Arial Unicode MS" w:eastAsia="PingFang SC"/>
          <w:color w:val="222222"/>
          <w:sz w:val="22"/>
        </w:rPr>
        <w:t>2. 价格属性：□含税  □不含税；发票类型：□增值税专用发票  □增值税普通发票；税率：____%。除双方明确勾选“不含税”外，合同总价视为含税价。</w:t>
      </w:r>
    </w:p>
    <w:p>
      <w:pPr>
        <w:spacing w:after="100" w:line="264" w:lineRule="auto"/>
        <w:ind w:firstLine="0"/>
        <w:jc w:val="both"/>
      </w:pPr>
      <w:r>
        <w:rPr>
          <w:rFonts w:ascii="Arial Unicode MS" w:hAnsi="Arial Unicode MS" w:eastAsia="PingFang SC"/>
          <w:color w:val="222222"/>
          <w:sz w:val="22"/>
        </w:rPr>
        <w:t>3. 费用范围：□含包装及运输费  □不含运输费  □其他：________________。未勾选且无其他书面约定的，合同总价包含完成约定工作并交付至约定地点所需的正常材料、加工、烧录、检验、包装及运输费用。</w:t>
      </w:r>
    </w:p>
    <w:p>
      <w:pPr>
        <w:pStyle w:val="Heading2"/>
        <w:keepNext/>
        <w:pageBreakBefore w:val="0"/>
      </w:pPr>
      <w:r>
        <w:rPr>
          <w:rFonts w:ascii="Arial Unicode MS" w:hAnsi="Arial Unicode MS" w:eastAsia="PingFang SC"/>
          <w:b/>
          <w:color w:val="2E74B5"/>
          <w:sz w:val="26"/>
        </w:rPr>
        <w:t>第二条  技术资料、版本控制与文件效力</w:t>
      </w:r>
    </w:p>
    <w:p>
      <w:pPr>
        <w:spacing w:after="100" w:line="264" w:lineRule="auto"/>
        <w:ind w:firstLine="418"/>
        <w:jc w:val="both"/>
      </w:pPr>
      <w:r>
        <w:rPr>
          <w:rFonts w:ascii="Arial Unicode MS" w:hAnsi="Arial Unicode MS" w:eastAsia="PingFang SC"/>
          <w:color w:val="222222"/>
          <w:sz w:val="22"/>
        </w:rPr>
        <w:t>1. 甲方应向乙方提供完成本项目所需且内容准确、可用的技术资料，包括但不限于Gerber文件、钻孔文件、BOM、坐标文件、原理图（如需）、工艺说明、测试要求、固件及烧录说明。交付形态为：□裸板  □已贴装PCBA  □其他：________________。</w:t>
      </w:r>
    </w:p>
    <w:p>
      <w:pPr>
        <w:spacing w:after="100" w:line="264" w:lineRule="auto"/>
        <w:ind w:firstLine="418"/>
        <w:jc w:val="both"/>
      </w:pPr>
      <w:r>
        <w:rPr>
          <w:rFonts w:ascii="Arial Unicode MS" w:hAnsi="Arial Unicode MS" w:eastAsia="PingFang SC"/>
          <w:color w:val="222222"/>
          <w:sz w:val="22"/>
        </w:rPr>
        <w:t>2. 乙方应在排产前完成工程评审（包括可制造性、物料可得性、工艺和烧录可执行性）。如发现文件矛盾、明显错误、参数缺失或可能影响质量、交期、成本的风险，应及时书面通知甲方；未经甲方书面确认，乙方不得擅自修改线路、板框、层叠、材料、阻抗、元器件型号、封装、贴装方向、工艺参数、固件或烧录配置。</w:t>
      </w:r>
    </w:p>
    <w:p>
      <w:pPr>
        <w:spacing w:after="100" w:line="264" w:lineRule="auto"/>
        <w:ind w:firstLine="418"/>
        <w:jc w:val="both"/>
      </w:pPr>
      <w:r>
        <w:rPr>
          <w:rFonts w:ascii="Arial Unicode MS" w:hAnsi="Arial Unicode MS" w:eastAsia="PingFang SC"/>
          <w:color w:val="222222"/>
          <w:sz w:val="22"/>
        </w:rPr>
        <w:t>3. 双方确认文件的效力顺序为：本合同补充协议/变更单＞双方盖章确认的技术附件＞双方确认的封样或历史合格返单生产资料＞甲方最后书面确认的电子文件＞乙方通用工艺规范。后形成且明确变更前版本的文件优先。</w:t>
      </w:r>
    </w:p>
    <w:p>
      <w:pPr>
        <w:spacing w:after="100" w:line="264" w:lineRule="auto"/>
        <w:ind w:firstLine="418"/>
        <w:jc w:val="both"/>
      </w:pPr>
      <w:r>
        <w:rPr>
          <w:rFonts w:ascii="Arial Unicode MS" w:hAnsi="Arial Unicode MS" w:eastAsia="PingFang SC"/>
          <w:color w:val="222222"/>
          <w:sz w:val="22"/>
        </w:rPr>
        <w:t>4. 乙方应建立版本记录。项目名称、生产版本、工程文件日期、固件版本及校验值应与附件一致；因使用错误版本、未经批准替代物料或未执行已确认变更造成的后果由乙方承担。</w:t>
      </w:r>
    </w:p>
    <w:p>
      <w:pPr>
        <w:pStyle w:val="Heading2"/>
        <w:keepNext/>
        <w:pageBreakBefore w:val="0"/>
      </w:pPr>
      <w:r>
        <w:rPr>
          <w:rFonts w:ascii="Arial Unicode MS" w:hAnsi="Arial Unicode MS" w:eastAsia="PingFang SC"/>
          <w:b/>
          <w:color w:val="2E74B5"/>
          <w:sz w:val="26"/>
        </w:rPr>
        <w:t>第三条  材料提供、生产与分包</w:t>
      </w:r>
    </w:p>
    <w:p>
      <w:pPr>
        <w:spacing w:after="100" w:line="264" w:lineRule="auto"/>
        <w:ind w:firstLine="418"/>
        <w:jc w:val="both"/>
      </w:pPr>
      <w:r>
        <w:rPr>
          <w:rFonts w:ascii="Arial Unicode MS" w:hAnsi="Arial Unicode MS" w:eastAsia="PingFang SC"/>
          <w:color w:val="222222"/>
          <w:sz w:val="22"/>
        </w:rPr>
        <w:t>1. 材料提供方式：□乙方包工包料  □甲方提供部分/全部材料（清单见附件一）  □其他：________________。乙方提供的板材、铜箔、油墨、表面处理材料、元器件及辅助材料应符合确认文件、封样和适用的质量要求，并具有可追溯性。</w:t>
      </w:r>
    </w:p>
    <w:p>
      <w:pPr>
        <w:spacing w:after="100" w:line="264" w:lineRule="auto"/>
        <w:ind w:firstLine="418"/>
        <w:jc w:val="both"/>
      </w:pPr>
      <w:r>
        <w:rPr>
          <w:rFonts w:ascii="Arial Unicode MS" w:hAnsi="Arial Unicode MS" w:eastAsia="PingFang SC"/>
          <w:color w:val="222222"/>
          <w:sz w:val="22"/>
        </w:rPr>
        <w:t>2. 甲供材料到货后，乙方应在____个工作日内进行数量、外观、型号及可用性检查；发现短缺、损坏或不适用的，应及时通知甲方。乙方不得擅自更换、处分甲供材料，并应承担合理保管义务。</w:t>
      </w:r>
    </w:p>
    <w:p>
      <w:pPr>
        <w:spacing w:after="100" w:line="264" w:lineRule="auto"/>
        <w:ind w:firstLine="418"/>
        <w:jc w:val="both"/>
      </w:pPr>
      <w:r>
        <w:rPr>
          <w:rFonts w:ascii="Arial Unicode MS" w:hAnsi="Arial Unicode MS" w:eastAsia="PingFang SC"/>
          <w:color w:val="222222"/>
          <w:sz w:val="22"/>
        </w:rPr>
        <w:t>3. 未经甲方书面同意，乙方不得将主要加工、关键贴装、核心测试或批量烧录工作交由第三方完成；经同意分包的，乙方仍对第三方工作成果承担完整责任。</w:t>
      </w:r>
    </w:p>
    <w:p>
      <w:pPr>
        <w:pStyle w:val="Heading2"/>
        <w:keepNext/>
        <w:pageBreakBefore w:val="0"/>
      </w:pPr>
      <w:r>
        <w:rPr>
          <w:rFonts w:ascii="Arial Unicode MS" w:hAnsi="Arial Unicode MS" w:eastAsia="PingFang SC"/>
          <w:b/>
          <w:color w:val="2E74B5"/>
          <w:sz w:val="26"/>
        </w:rPr>
        <w:t>第四条  样板确认、批量生产与变更</w:t>
      </w:r>
    </w:p>
    <w:p>
      <w:pPr>
        <w:spacing w:after="100" w:line="264" w:lineRule="auto"/>
        <w:ind w:firstLine="418"/>
        <w:jc w:val="both"/>
      </w:pPr>
      <w:r>
        <w:rPr>
          <w:rFonts w:ascii="Arial Unicode MS" w:hAnsi="Arial Unicode MS" w:eastAsia="PingFang SC"/>
          <w:color w:val="222222"/>
          <w:sz w:val="22"/>
        </w:rPr>
        <w:t>1. 批量生产依据：□已确认样板/封样，编号：________________；□历史合格返单，订单/批次号：________________；□本次先打样后批产；□双方书面确认可直接批产。</w:t>
      </w:r>
    </w:p>
    <w:p>
      <w:pPr>
        <w:spacing w:after="100" w:line="264" w:lineRule="auto"/>
        <w:ind w:firstLine="418"/>
        <w:jc w:val="both"/>
      </w:pPr>
      <w:r>
        <w:rPr>
          <w:rFonts w:ascii="Arial Unicode MS" w:hAnsi="Arial Unicode MS" w:eastAsia="PingFang SC"/>
          <w:color w:val="222222"/>
          <w:sz w:val="22"/>
        </w:rPr>
        <w:t>2. 选择“先打样后批产”的，乙方应先提供____件样板供甲方确认。甲方确认仅表示样板符合甲方在当时可检验范围内的要求，不免除乙方按确认文件稳定批量生产、执行过程检验和出厂检验的责任。</w:t>
      </w:r>
    </w:p>
    <w:p>
      <w:pPr>
        <w:spacing w:after="100" w:line="264" w:lineRule="auto"/>
        <w:ind w:firstLine="418"/>
        <w:jc w:val="both"/>
      </w:pPr>
      <w:r>
        <w:rPr>
          <w:rFonts w:ascii="Arial Unicode MS" w:hAnsi="Arial Unicode MS" w:eastAsia="PingFang SC"/>
          <w:color w:val="222222"/>
          <w:sz w:val="22"/>
        </w:rPr>
        <w:t>3. 任何影响价格、交期、结构、性能、物料、工艺、固件或交付数量的变更，均应形成可追溯的书面变更单，载明变更内容、费用、交期和旧版本处置方式；未经双方书面确认的变更不生效。</w:t>
      </w:r>
    </w:p>
    <w:p>
      <w:pPr>
        <w:spacing w:after="100" w:line="264" w:lineRule="auto"/>
        <w:ind w:firstLine="418"/>
        <w:jc w:val="both"/>
      </w:pPr>
      <w:r>
        <w:rPr>
          <w:rFonts w:ascii="Arial Unicode MS" w:hAnsi="Arial Unicode MS" w:eastAsia="PingFang SC"/>
          <w:color w:val="222222"/>
          <w:sz w:val="22"/>
        </w:rPr>
        <w:t>4. 甲方在乙方排产后取消或变更订单的，应承担乙方已经实际发生且不可合理避免的合格材料及加工费用；乙方应提供相应明细和凭证，并采取措施防止损失扩大。</w:t>
      </w:r>
    </w:p>
    <w:p>
      <w:pPr>
        <w:pStyle w:val="Heading2"/>
        <w:keepNext/>
        <w:pageBreakBefore w:val="0"/>
      </w:pPr>
      <w:r>
        <w:rPr>
          <w:rFonts w:ascii="Arial Unicode MS" w:hAnsi="Arial Unicode MS" w:eastAsia="PingFang SC"/>
          <w:b/>
          <w:color w:val="2E74B5"/>
          <w:sz w:val="26"/>
        </w:rPr>
        <w:t>第五条  程序烧录与验证</w:t>
      </w:r>
    </w:p>
    <w:p>
      <w:pPr>
        <w:spacing w:after="100" w:line="264" w:lineRule="auto"/>
        <w:ind w:firstLine="418"/>
        <w:jc w:val="both"/>
      </w:pPr>
      <w:r>
        <w:rPr>
          <w:rFonts w:ascii="Arial Unicode MS" w:hAnsi="Arial Unicode MS" w:eastAsia="PingFang SC"/>
          <w:color w:val="222222"/>
          <w:sz w:val="22"/>
        </w:rPr>
        <w:t>1. 乙方应仅使用附件二载明且由甲方最终确认的固件进行烧录。附件二至少应明确：文件名、版本号、发布日期、SHA-256或其他校验值、目标芯片、烧录接口、地址范围、配置字/熔丝位、加密或读保护要求。</w:t>
      </w:r>
    </w:p>
    <w:p>
      <w:pPr>
        <w:spacing w:after="100" w:line="264" w:lineRule="auto"/>
        <w:ind w:firstLine="418"/>
        <w:jc w:val="both"/>
      </w:pPr>
      <w:r>
        <w:rPr>
          <w:rFonts w:ascii="Arial Unicode MS" w:hAnsi="Arial Unicode MS" w:eastAsia="PingFang SC"/>
          <w:color w:val="222222"/>
          <w:sz w:val="22"/>
        </w:rPr>
        <w:t>2. 每件电路板烧录后均应执行烧录工具校验（Verify）并记录结果；如双方另有功能测试要求，乙方还应按附件二执行。烧录数量为600件，实际交付合格数量不得少于600件，除非甲方书面同意短装。</w:t>
      </w:r>
    </w:p>
    <w:p>
      <w:pPr>
        <w:spacing w:after="100" w:line="264" w:lineRule="auto"/>
        <w:ind w:firstLine="418"/>
        <w:jc w:val="both"/>
      </w:pPr>
      <w:r>
        <w:rPr>
          <w:rFonts w:ascii="Arial Unicode MS" w:hAnsi="Arial Unicode MS" w:eastAsia="PingFang SC"/>
          <w:color w:val="222222"/>
          <w:sz w:val="22"/>
        </w:rPr>
        <w:t>3. 乙方应防止固件泄露、错用、混料和重复序列号。固件不得用于本合同之外的任何产品；未经甲方书面同意，不得复制给第三方或留作其他用途。</w:t>
      </w:r>
    </w:p>
    <w:p>
      <w:pPr>
        <w:pStyle w:val="Heading2"/>
        <w:keepNext/>
        <w:pageBreakBefore w:val="0"/>
      </w:pPr>
      <w:r>
        <w:rPr>
          <w:rFonts w:ascii="Arial Unicode MS" w:hAnsi="Arial Unicode MS" w:eastAsia="PingFang SC"/>
          <w:b/>
          <w:color w:val="2E74B5"/>
          <w:sz w:val="26"/>
        </w:rPr>
        <w:t>第六条  质量标准与出厂检验</w:t>
      </w:r>
    </w:p>
    <w:p>
      <w:pPr>
        <w:spacing w:after="100" w:line="264" w:lineRule="auto"/>
        <w:ind w:firstLine="418"/>
        <w:jc w:val="both"/>
      </w:pPr>
      <w:r>
        <w:rPr>
          <w:rFonts w:ascii="Arial Unicode MS" w:hAnsi="Arial Unicode MS" w:eastAsia="PingFang SC"/>
          <w:color w:val="222222"/>
          <w:sz w:val="22"/>
        </w:rPr>
        <w:t>1. 产品应符合本合同、技术附件、甲方最终确认文件、封样/返单资料以及双方书面确认的验收标准。未明确的普通工艺参数，按乙方在报价或接单时书面披露且经甲方接受的制程能力和公差执行。</w:t>
      </w:r>
    </w:p>
    <w:p>
      <w:pPr>
        <w:spacing w:after="100" w:line="264" w:lineRule="auto"/>
        <w:ind w:firstLine="418"/>
        <w:jc w:val="both"/>
      </w:pPr>
      <w:r>
        <w:rPr>
          <w:rFonts w:ascii="Arial Unicode MS" w:hAnsi="Arial Unicode MS" w:eastAsia="PingFang SC"/>
          <w:color w:val="222222"/>
          <w:sz w:val="22"/>
        </w:rPr>
        <w:t>2. 乙方应对生产过程和成品实施必要检验。裸板至少检查尺寸、层数、板厚、铜厚、阻焊/字符、表面处理、孔槽、外观及开短路；PCBA另应检查物料型号、极性/方向、焊接质量、清洁度及约定的电气/功能项目；烧录应100%执行校验。具体项目和判定标准见附件一、附件二。</w:t>
      </w:r>
    </w:p>
    <w:p>
      <w:pPr>
        <w:spacing w:after="100" w:line="264" w:lineRule="auto"/>
        <w:ind w:firstLine="418"/>
        <w:jc w:val="both"/>
      </w:pPr>
      <w:r>
        <w:rPr>
          <w:rFonts w:ascii="Arial Unicode MS" w:hAnsi="Arial Unicode MS" w:eastAsia="PingFang SC"/>
          <w:color w:val="222222"/>
          <w:sz w:val="22"/>
        </w:rPr>
        <w:t>3. 乙方不得交付明显翘曲、露铜、短路、开路、错件、漏件、反件、虚焊、连锡、板面污染、程序版本错误、烧录失败或其他不符合约定的产品。乙方应随货提供：□出厂检验报告  □烧录记录  □物料追溯信息  □其他：________________。</w:t>
      </w:r>
    </w:p>
    <w:p>
      <w:pPr>
        <w:pStyle w:val="Heading2"/>
        <w:keepNext/>
        <w:pageBreakBefore w:val="0"/>
      </w:pPr>
      <w:r>
        <w:rPr>
          <w:rFonts w:ascii="Arial Unicode MS" w:hAnsi="Arial Unicode MS" w:eastAsia="PingFang SC"/>
          <w:b/>
          <w:color w:val="2E74B5"/>
          <w:sz w:val="26"/>
        </w:rPr>
        <w:t>第七条  交期、交付、包装与风险转移</w:t>
      </w:r>
    </w:p>
    <w:p>
      <w:pPr>
        <w:spacing w:after="100" w:line="264" w:lineRule="auto"/>
        <w:ind w:firstLine="418"/>
        <w:jc w:val="both"/>
      </w:pPr>
      <w:r>
        <w:rPr>
          <w:rFonts w:ascii="Arial Unicode MS" w:hAnsi="Arial Unicode MS" w:eastAsia="PingFang SC"/>
          <w:color w:val="222222"/>
          <w:sz w:val="22"/>
        </w:rPr>
        <w:t>1. 交期起算条件为下列条件全部满足后的次一工作日：合同生效、双方完成技术资料确认、应付预付款到账（如有）、甲供材料齐套（如有）及样板确认（如需）。乙方应于起算日起____个工作日内完成生产并发货/交付。</w:t>
      </w:r>
    </w:p>
    <w:p>
      <w:pPr>
        <w:spacing w:after="100" w:line="264" w:lineRule="auto"/>
        <w:ind w:firstLine="418"/>
        <w:jc w:val="both"/>
      </w:pPr>
      <w:r>
        <w:rPr>
          <w:rFonts w:ascii="Arial Unicode MS" w:hAnsi="Arial Unicode MS" w:eastAsia="PingFang SC"/>
          <w:color w:val="222222"/>
          <w:sz w:val="22"/>
        </w:rPr>
        <w:t>2. 交付方式：□一次性交付  □分批交付（计划：________________）；交付地点：________________；收货人及电话：________________；运输方式：________________。未经甲方书面同意，乙方不得提前或分批交付。</w:t>
      </w:r>
    </w:p>
    <w:p>
      <w:pPr>
        <w:spacing w:after="100" w:line="264" w:lineRule="auto"/>
        <w:ind w:firstLine="418"/>
        <w:jc w:val="both"/>
      </w:pPr>
      <w:r>
        <w:rPr>
          <w:rFonts w:ascii="Arial Unicode MS" w:hAnsi="Arial Unicode MS" w:eastAsia="PingFang SC"/>
          <w:color w:val="222222"/>
          <w:sz w:val="22"/>
        </w:rPr>
        <w:t>3. 乙方应采用适合电子产品的防静电、防潮、防震和防混料包装，外包装标明项目名称、版本、批次、数量及生产日期。运输风险在产品送达约定地点并由甲方或其指定收货人签收前由乙方承担；签收仅证明收到包装件，不等同于质量验收合格。</w:t>
      </w:r>
    </w:p>
    <w:p>
      <w:pPr>
        <w:spacing w:after="100" w:line="264" w:lineRule="auto"/>
        <w:ind w:firstLine="418"/>
        <w:jc w:val="both"/>
      </w:pPr>
      <w:r>
        <w:rPr>
          <w:rFonts w:ascii="Arial Unicode MS" w:hAnsi="Arial Unicode MS" w:eastAsia="PingFang SC"/>
          <w:color w:val="222222"/>
          <w:sz w:val="22"/>
        </w:rPr>
        <w:t>4. 乙方预计不能按期交付的，应在知悉后1个工作日内书面说明原因、影响范围及补救计划；双方确认的法定节假日、甲方迟延确认或其他非乙方原因造成的等待时间，交期相应顺延。</w:t>
      </w:r>
    </w:p>
    <w:p>
      <w:pPr>
        <w:pStyle w:val="Heading2"/>
        <w:keepNext/>
        <w:pageBreakBefore w:val="0"/>
      </w:pPr>
      <w:r>
        <w:rPr>
          <w:rFonts w:ascii="Arial Unicode MS" w:hAnsi="Arial Unicode MS" w:eastAsia="PingFang SC"/>
          <w:b/>
          <w:color w:val="2E74B5"/>
          <w:sz w:val="26"/>
        </w:rPr>
        <w:t>第八条  验收、异议与不合格品处理</w:t>
      </w:r>
    </w:p>
    <w:p>
      <w:pPr>
        <w:spacing w:after="100" w:line="264" w:lineRule="auto"/>
        <w:ind w:firstLine="418"/>
        <w:jc w:val="both"/>
      </w:pPr>
      <w:r>
        <w:rPr>
          <w:rFonts w:ascii="Arial Unicode MS" w:hAnsi="Arial Unicode MS" w:eastAsia="PingFang SC"/>
          <w:color w:val="222222"/>
          <w:sz w:val="22"/>
        </w:rPr>
        <w:t>1. 甲方应在收货后____个工作日（未填写时按7个工作日）内完成数量、包装、外观及约定的抽检/功能验收。验收依据为本合同及附件、确认文件、封样/返单资料和双方书面确认的检验方法。</w:t>
      </w:r>
    </w:p>
    <w:p>
      <w:pPr>
        <w:spacing w:after="100" w:line="264" w:lineRule="auto"/>
        <w:ind w:firstLine="418"/>
        <w:jc w:val="both"/>
      </w:pPr>
      <w:r>
        <w:rPr>
          <w:rFonts w:ascii="Arial Unicode MS" w:hAnsi="Arial Unicode MS" w:eastAsia="PingFang SC"/>
          <w:color w:val="222222"/>
          <w:sz w:val="22"/>
        </w:rPr>
        <w:t>2. 甲方应以书面方式提出可合理发现的质量异议，并尽量提供批次、数量、故障现象、照片、测试数据或不良样品。甲方未在前述期限内提出异议的，仅视为数量、包装和可通过通常外观检查发现的项目通过，不影响对隐蔽缺陷、可靠性缺陷、错版程序或质保期内缺陷主张权利。</w:t>
      </w:r>
    </w:p>
    <w:p>
      <w:pPr>
        <w:spacing w:after="100" w:line="264" w:lineRule="auto"/>
        <w:ind w:firstLine="418"/>
        <w:jc w:val="both"/>
      </w:pPr>
      <w:r>
        <w:rPr>
          <w:rFonts w:ascii="Arial Unicode MS" w:hAnsi="Arial Unicode MS" w:eastAsia="PingFang SC"/>
          <w:color w:val="222222"/>
          <w:sz w:val="22"/>
        </w:rPr>
        <w:t>3. 经确认属于乙方责任的不合格品，甲方可根据影响程度要求乙方在合理期限内返工、修理、补足、重作、更换、退货退款或减少价款。涉及批量性风险的，乙方应配合隔离、追溯、分析原因并提交纠正预防措施。</w:t>
      </w:r>
    </w:p>
    <w:p>
      <w:pPr>
        <w:spacing w:after="100" w:line="264" w:lineRule="auto"/>
        <w:ind w:firstLine="418"/>
        <w:jc w:val="both"/>
      </w:pPr>
      <w:r>
        <w:rPr>
          <w:rFonts w:ascii="Arial Unicode MS" w:hAnsi="Arial Unicode MS" w:eastAsia="PingFang SC"/>
          <w:color w:val="222222"/>
          <w:sz w:val="22"/>
        </w:rPr>
        <w:t>4. 因甲方设计本身、甲方提供的错误文件/固件、未经乙方同意的后续改装，或甲供材料固有缺陷导致的问题，由甲方承担相应责任；但乙方已发现或按专业能力应当发现明显风险而未及时提示的，应承担与其过错相应的责任。</w:t>
      </w:r>
    </w:p>
    <w:p>
      <w:pPr>
        <w:pStyle w:val="Heading2"/>
        <w:keepNext/>
        <w:pageBreakBefore w:val="0"/>
      </w:pPr>
      <w:r>
        <w:rPr>
          <w:rFonts w:ascii="Arial Unicode MS" w:hAnsi="Arial Unicode MS" w:eastAsia="PingFang SC"/>
          <w:b/>
          <w:color w:val="2E74B5"/>
          <w:sz w:val="26"/>
        </w:rPr>
        <w:t>第九条  质保与售后</w:t>
      </w:r>
    </w:p>
    <w:p>
      <w:pPr>
        <w:spacing w:after="100" w:line="264" w:lineRule="auto"/>
        <w:ind w:firstLine="418"/>
        <w:jc w:val="both"/>
      </w:pPr>
      <w:r>
        <w:rPr>
          <w:rFonts w:ascii="Arial Unicode MS" w:hAnsi="Arial Unicode MS" w:eastAsia="PingFang SC"/>
          <w:color w:val="222222"/>
          <w:sz w:val="22"/>
        </w:rPr>
        <w:t>1. 质保期为产品验收合格之日起____个月；未填写时按12个月。质保期内出现可归责于乙方的制造、装配或烧录缺陷，乙方应在收到通知后2个工作日内响应，并在双方确认的期限内完成处理。</w:t>
      </w:r>
    </w:p>
    <w:p>
      <w:pPr>
        <w:spacing w:after="100" w:line="264" w:lineRule="auto"/>
        <w:ind w:firstLine="418"/>
        <w:jc w:val="both"/>
      </w:pPr>
      <w:r>
        <w:rPr>
          <w:rFonts w:ascii="Arial Unicode MS" w:hAnsi="Arial Unicode MS" w:eastAsia="PingFang SC"/>
          <w:color w:val="222222"/>
          <w:sz w:val="22"/>
        </w:rPr>
        <w:t>2. 返修/更换产生的合理往返运输费用由责任方承担。经乙方修理或更换的产品，相应部位的质保期自重新交付验收合格之日起重新计算，但不少于原质保期剩余期限。</w:t>
      </w:r>
    </w:p>
    <w:p>
      <w:pPr>
        <w:spacing w:after="100" w:line="264" w:lineRule="auto"/>
        <w:ind w:firstLine="418"/>
        <w:jc w:val="both"/>
      </w:pPr>
      <w:r>
        <w:rPr>
          <w:rFonts w:ascii="Arial Unicode MS" w:hAnsi="Arial Unicode MS" w:eastAsia="PingFang SC"/>
          <w:color w:val="222222"/>
          <w:sz w:val="22"/>
        </w:rPr>
        <w:t>3. 乙方不对甲方或终端用户不当储存、超规格使用、外力损坏、自行拆改、静电/浪涌防护不当等非乙方原因造成的故障承担质保责任。</w:t>
      </w:r>
    </w:p>
    <w:p>
      <w:pPr>
        <w:pStyle w:val="Heading2"/>
        <w:keepNext/>
        <w:pageBreakBefore w:val="0"/>
      </w:pPr>
      <w:r>
        <w:rPr>
          <w:rFonts w:ascii="Arial Unicode MS" w:hAnsi="Arial Unicode MS" w:eastAsia="PingFang SC"/>
          <w:b/>
          <w:color w:val="2E74B5"/>
          <w:sz w:val="26"/>
        </w:rPr>
        <w:t>第十条  付款与发票</w:t>
      </w:r>
    </w:p>
    <w:p>
      <w:pPr>
        <w:spacing w:after="100" w:line="264" w:lineRule="auto"/>
        <w:ind w:firstLine="418"/>
        <w:jc w:val="both"/>
      </w:pPr>
      <w:r>
        <w:rPr>
          <w:rFonts w:ascii="Arial Unicode MS" w:hAnsi="Arial Unicode MS" w:eastAsia="PingFang SC"/>
          <w:color w:val="222222"/>
          <w:sz w:val="22"/>
        </w:rPr>
        <w:t>1. 付款方式（签署时勾选）：□合同生效后____个工作日内100%预付，款到排产；□预付____%（人民币________元），余款在________________时支付；□验收合格并收到合法有效发票后____个工作日内一次性支付；□其他：________________。</w:t>
      </w:r>
    </w:p>
    <w:p>
      <w:pPr>
        <w:spacing w:after="100" w:line="264" w:lineRule="auto"/>
        <w:ind w:firstLine="418"/>
        <w:jc w:val="both"/>
      </w:pPr>
      <w:r>
        <w:rPr>
          <w:rFonts w:ascii="Arial Unicode MS" w:hAnsi="Arial Unicode MS" w:eastAsia="PingFang SC"/>
          <w:color w:val="222222"/>
          <w:sz w:val="22"/>
        </w:rPr>
        <w:t>2. 如本条未勾选且无其他书面约定，甲方应在全部产品验收合格并收到与合同总价一致的合法有效发票后10个工作日内支付全部价款。甲方付款至乙方以下账户：</w:t>
      </w:r>
    </w:p>
    <w:tbl>
      <w:tblPr>
        <w:tblW w:type="dxa" w:w="9360"/>
        <w:jc w:val="left"/>
        <w:tblLayout w:type="fixed"/>
        <w:tblLook w:firstColumn="1" w:firstRow="1" w:lastColumn="0" w:lastRow="0" w:noHBand="0" w:noVBand="1" w:val="04A0"/>
        <w:tblInd w:type="dxa" w:w="120"/>
      </w:tblPr>
      <w:tblGrid>
        <w:gridCol w:w="1850"/>
        <w:gridCol w:w="7510"/>
      </w:tblGrid>
      <w:tr>
        <w:trPr>
          <w:cantSplit/>
        </w:trPr>
        <w:tc>
          <w:tcPr>
            <w:tcW w:type="dxa" w:w="18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账户名称</w:t>
            </w:r>
          </w:p>
        </w:tc>
        <w:tc>
          <w:tcPr>
            <w:tcW w:type="dxa" w:w="751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【填写乙方账户名称】</w:t>
            </w:r>
          </w:p>
        </w:tc>
      </w:tr>
      <w:tr>
        <w:trPr>
          <w:cantSplit/>
        </w:trPr>
        <w:tc>
          <w:tcPr>
            <w:tcW w:type="dxa" w:w="18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开户银行</w:t>
            </w:r>
          </w:p>
        </w:tc>
        <w:tc>
          <w:tcPr>
            <w:tcW w:type="dxa" w:w="751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r>
        <w:trPr>
          <w:cantSplit/>
        </w:trPr>
        <w:tc>
          <w:tcPr>
            <w:tcW w:type="dxa" w:w="185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银行账号</w:t>
            </w:r>
          </w:p>
        </w:tc>
        <w:tc>
          <w:tcPr>
            <w:tcW w:type="dxa" w:w="751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20"/>
              </w:rPr>
              <w:t>【填写】</w:t>
            </w:r>
          </w:p>
        </w:tc>
      </w:tr>
    </w:tbl>
    <w:p>
      <w:pPr>
        <w:spacing w:before="0" w:after="40"/>
      </w:pPr>
    </w:p>
    <w:p>
      <w:pPr>
        <w:spacing w:after="100" w:line="264" w:lineRule="auto"/>
        <w:ind w:firstLine="418"/>
        <w:jc w:val="both"/>
      </w:pPr>
      <w:r>
        <w:rPr>
          <w:rFonts w:ascii="Arial Unicode MS" w:hAnsi="Arial Unicode MS" w:eastAsia="PingFang SC"/>
          <w:color w:val="222222"/>
          <w:sz w:val="22"/>
        </w:rPr>
        <w:t>3. 乙方账户变更应至少提前3个工作日加盖公章书面通知甲方；否则因此造成的损失由乙方承担。乙方未按约提供发票或收款资料的，甲方付款期限相应顺延且不构成违约。</w:t>
      </w:r>
    </w:p>
    <w:p>
      <w:pPr>
        <w:pStyle w:val="Heading2"/>
        <w:keepNext/>
        <w:pageBreakBefore w:val="0"/>
      </w:pPr>
      <w:r>
        <w:rPr>
          <w:rFonts w:ascii="Arial Unicode MS" w:hAnsi="Arial Unicode MS" w:eastAsia="PingFang SC"/>
          <w:b/>
          <w:color w:val="2E74B5"/>
          <w:sz w:val="26"/>
        </w:rPr>
        <w:t>第十一条  知识产权、保密与资料处置</w:t>
      </w:r>
    </w:p>
    <w:p>
      <w:pPr>
        <w:spacing w:after="100" w:line="264" w:lineRule="auto"/>
        <w:ind w:firstLine="418"/>
        <w:jc w:val="both"/>
      </w:pPr>
      <w:r>
        <w:rPr>
          <w:rFonts w:ascii="Arial Unicode MS" w:hAnsi="Arial Unicode MS" w:eastAsia="PingFang SC"/>
          <w:color w:val="222222"/>
          <w:sz w:val="22"/>
        </w:rPr>
        <w:t>1. 甲方保证其提供并授权用于本项目的设计、商标、图纸、固件及其他资料来源合法，不侵犯第三方合法权益；因甲方提供内容本身引发的第三方权利主张，由甲方依法处理并承担相应责任。</w:t>
      </w:r>
    </w:p>
    <w:p>
      <w:pPr>
        <w:spacing w:after="100" w:line="264" w:lineRule="auto"/>
        <w:ind w:firstLine="418"/>
        <w:jc w:val="both"/>
      </w:pPr>
      <w:r>
        <w:rPr>
          <w:rFonts w:ascii="Arial Unicode MS" w:hAnsi="Arial Unicode MS" w:eastAsia="PingFang SC"/>
          <w:color w:val="222222"/>
          <w:sz w:val="22"/>
        </w:rPr>
        <w:t>2. 甲方提供的专用设计资料、固件、测试方案、样品及其复制件的权利归甲方或合法权利人所有。乙方的通用生产工艺、通用治具方案、通用软件和既有技术仍归乙方所有；乙方不得以履行本合同为由取得甲方专用成果的其他使用权。</w:t>
      </w:r>
    </w:p>
    <w:p>
      <w:pPr>
        <w:spacing w:after="100" w:line="264" w:lineRule="auto"/>
        <w:ind w:firstLine="418"/>
        <w:jc w:val="both"/>
      </w:pPr>
      <w:r>
        <w:rPr>
          <w:rFonts w:ascii="Arial Unicode MS" w:hAnsi="Arial Unicode MS" w:eastAsia="PingFang SC"/>
          <w:color w:val="222222"/>
          <w:sz w:val="22"/>
        </w:rPr>
        <w:t>3. 乙方及其人员应对甲方未公开的技术资料、价格、订单、样品和业务信息承担保密义务，仅可在履行本合同必需范围内使用和披露。未经甲方书面同意，乙方不得展示、出售、赠与、逆向分析或留存作其他用途，不得允许第三方接触。保密义务自信息披露之日起生效，至相关信息合法公开或披露后3年（以较晚者为准）。</w:t>
      </w:r>
    </w:p>
    <w:p>
      <w:pPr>
        <w:spacing w:after="100" w:line="264" w:lineRule="auto"/>
        <w:ind w:firstLine="418"/>
        <w:jc w:val="both"/>
      </w:pPr>
      <w:r>
        <w:rPr>
          <w:rFonts w:ascii="Arial Unicode MS" w:hAnsi="Arial Unicode MS" w:eastAsia="PingFang SC"/>
          <w:color w:val="222222"/>
          <w:sz w:val="22"/>
        </w:rPr>
        <w:t>4. 项目完成或甲方书面要求时，乙方应按甲方指示返还、删除或销毁固件、工程文件、余料、报废板及带有甲方标识的产品，但法律法规或质量追溯要求必须留存的资料除外；必须留存的，应继续保密且不得用于其他目的。</w:t>
      </w:r>
    </w:p>
    <w:p>
      <w:pPr>
        <w:pStyle w:val="Heading2"/>
        <w:keepNext/>
        <w:pageBreakBefore w:val="0"/>
      </w:pPr>
      <w:r>
        <w:rPr>
          <w:rFonts w:ascii="Arial Unicode MS" w:hAnsi="Arial Unicode MS" w:eastAsia="PingFang SC"/>
          <w:b/>
          <w:color w:val="2E74B5"/>
          <w:sz w:val="26"/>
        </w:rPr>
        <w:t>第十二条  违约责任</w:t>
      </w:r>
    </w:p>
    <w:p>
      <w:pPr>
        <w:spacing w:after="100" w:line="264" w:lineRule="auto"/>
        <w:ind w:firstLine="418"/>
        <w:jc w:val="both"/>
      </w:pPr>
      <w:r>
        <w:rPr>
          <w:rFonts w:ascii="Arial Unicode MS" w:hAnsi="Arial Unicode MS" w:eastAsia="PingFang SC"/>
          <w:color w:val="222222"/>
          <w:sz w:val="22"/>
        </w:rPr>
        <w:t>1. 乙方无正当理由逾期交付的，每逾期一日按逾期部分价款的0.05%向甲方支付违约金，累计不超过逾期部分价款的10%；逾期超过15日或已实质影响合同目的的，甲方有权解除逾期部分或全部合同，并要求乙方返还相应已付款项。</w:t>
      </w:r>
    </w:p>
    <w:p>
      <w:pPr>
        <w:spacing w:after="100" w:line="264" w:lineRule="auto"/>
        <w:ind w:firstLine="418"/>
        <w:jc w:val="both"/>
      </w:pPr>
      <w:r>
        <w:rPr>
          <w:rFonts w:ascii="Arial Unicode MS" w:hAnsi="Arial Unicode MS" w:eastAsia="PingFang SC"/>
          <w:color w:val="222222"/>
          <w:sz w:val="22"/>
        </w:rPr>
        <w:t>2. 甲方无正当理由逾期付款的，每逾期一日按逾期未付款项的0.05%向乙方支付违约金，累计不超过逾期未付款项的10%。乙方经书面催告后可暂停未开始的后续工作，交期相应顺延。</w:t>
      </w:r>
    </w:p>
    <w:p>
      <w:pPr>
        <w:spacing w:after="100" w:line="264" w:lineRule="auto"/>
        <w:ind w:firstLine="418"/>
        <w:jc w:val="both"/>
      </w:pPr>
      <w:r>
        <w:rPr>
          <w:rFonts w:ascii="Arial Unicode MS" w:hAnsi="Arial Unicode MS" w:eastAsia="PingFang SC"/>
          <w:color w:val="222222"/>
          <w:sz w:val="22"/>
        </w:rPr>
        <w:t>3. 因乙方交付不合格品、错用物料或错误烧录造成甲方合理的检验、筛选、返工、退换货和运输损失，乙方应在其责任范围内承担。除故意、重大过失、侵犯知识产权、违反保密义务或造成人身损害外，任何一方均不对另一方的间接损失、预期利润或商誉损失承担责任。</w:t>
      </w:r>
    </w:p>
    <w:p>
      <w:pPr>
        <w:spacing w:after="100" w:line="264" w:lineRule="auto"/>
        <w:ind w:firstLine="418"/>
        <w:jc w:val="both"/>
      </w:pPr>
      <w:r>
        <w:rPr>
          <w:rFonts w:ascii="Arial Unicode MS" w:hAnsi="Arial Unicode MS" w:eastAsia="PingFang SC"/>
          <w:color w:val="222222"/>
          <w:sz w:val="22"/>
        </w:rPr>
        <w:t>4. 违约金不足以弥补守约方依法可获赔的实际损失的，守约方可就不足部分主张赔偿；守约方亦应采取合理措施防止损失扩大。</w:t>
      </w:r>
    </w:p>
    <w:p>
      <w:pPr>
        <w:pStyle w:val="Heading2"/>
        <w:keepNext/>
        <w:pageBreakBefore w:val="0"/>
      </w:pPr>
      <w:r>
        <w:rPr>
          <w:rFonts w:ascii="Arial Unicode MS" w:hAnsi="Arial Unicode MS" w:eastAsia="PingFang SC"/>
          <w:b/>
          <w:color w:val="2E74B5"/>
          <w:sz w:val="26"/>
        </w:rPr>
        <w:t>第十三条  不可抗力</w:t>
      </w:r>
    </w:p>
    <w:p>
      <w:pPr>
        <w:spacing w:after="100" w:line="264" w:lineRule="auto"/>
        <w:ind w:firstLine="418"/>
        <w:jc w:val="both"/>
      </w:pPr>
      <w:r>
        <w:rPr>
          <w:rFonts w:ascii="Arial Unicode MS" w:hAnsi="Arial Unicode MS" w:eastAsia="PingFang SC"/>
          <w:color w:val="222222"/>
          <w:sz w:val="22"/>
        </w:rPr>
        <w:t>因不能预见、不能避免且不能克服的不可抗力导致不能履行或迟延履行的，受影响方应及时通知对方，并在合理期限内提供证明、说明影响范围及预计持续时间，双方可根据影响程度协商部分或全部免除责任、顺延交期或解除合同；受影响方应采取合理措施减少损失。</w:t>
      </w:r>
    </w:p>
    <w:p>
      <w:pPr>
        <w:pStyle w:val="Heading2"/>
        <w:keepNext/>
        <w:pageBreakBefore w:val="0"/>
      </w:pPr>
      <w:r>
        <w:rPr>
          <w:rFonts w:ascii="Arial Unicode MS" w:hAnsi="Arial Unicode MS" w:eastAsia="PingFang SC"/>
          <w:b/>
          <w:color w:val="2E74B5"/>
          <w:sz w:val="26"/>
        </w:rPr>
        <w:t>第十四条  通知、争议解决与合同效力</w:t>
      </w:r>
    </w:p>
    <w:p>
      <w:pPr>
        <w:spacing w:after="100" w:line="264" w:lineRule="auto"/>
        <w:ind w:firstLine="418"/>
        <w:jc w:val="both"/>
      </w:pPr>
      <w:r>
        <w:rPr>
          <w:rFonts w:ascii="Arial Unicode MS" w:hAnsi="Arial Unicode MS" w:eastAsia="PingFang SC"/>
          <w:color w:val="222222"/>
          <w:sz w:val="22"/>
        </w:rPr>
        <w:t>1. 双方确认本合同首页所列地址、联系人、电话和电子邮箱为有效送达信息。通过专人递交、快递、电子邮件或双方确认的企业微信/微信等可留痕方式发送的订单确认、技术确认、变更单和通知，均可作为履约证据。联系信息变更应及时书面通知对方。</w:t>
      </w:r>
    </w:p>
    <w:p>
      <w:pPr>
        <w:spacing w:after="100" w:line="264" w:lineRule="auto"/>
        <w:ind w:firstLine="418"/>
        <w:jc w:val="both"/>
      </w:pPr>
      <w:r>
        <w:rPr>
          <w:rFonts w:ascii="Arial Unicode MS" w:hAnsi="Arial Unicode MS" w:eastAsia="PingFang SC"/>
          <w:color w:val="222222"/>
          <w:sz w:val="22"/>
        </w:rPr>
        <w:t>2. 因本合同引起或与本合同有关的争议，双方应先友好协商；协商不成的，选择以下方式解决：□向甲方所在地有管辖权的人民法院起诉；□向乙方所在地有管辖权的人民法院起诉；□向合同签订地有管辖权的人民法院起诉。未勾选时，依法向有管辖权的人民法院起诉。</w:t>
      </w:r>
    </w:p>
    <w:p>
      <w:pPr>
        <w:spacing w:after="100" w:line="264" w:lineRule="auto"/>
        <w:ind w:firstLine="418"/>
        <w:jc w:val="both"/>
      </w:pPr>
      <w:r>
        <w:rPr>
          <w:rFonts w:ascii="Arial Unicode MS" w:hAnsi="Arial Unicode MS" w:eastAsia="PingFang SC"/>
          <w:color w:val="222222"/>
          <w:sz w:val="22"/>
        </w:rPr>
        <w:t>3. 本合同附件、经双方确认的报价单、订单、技术确认单、变更单均为本合同组成部分，与本合同具有同等法律效力。附件与正文冲突时，按第二条第3款确定效力顺序。</w:t>
      </w:r>
    </w:p>
    <w:p>
      <w:pPr>
        <w:spacing w:after="100" w:line="264" w:lineRule="auto"/>
        <w:ind w:firstLine="418"/>
        <w:jc w:val="both"/>
      </w:pPr>
      <w:r>
        <w:rPr>
          <w:rFonts w:ascii="Arial Unicode MS" w:hAnsi="Arial Unicode MS" w:eastAsia="PingFang SC"/>
          <w:color w:val="222222"/>
          <w:sz w:val="22"/>
        </w:rPr>
        <w:t>4. 本合同自双方签字并盖章之日起生效。采用可靠电子签名或双方认可的电子签署方式签订的，与纸质签署具有同等效力。本合同一式____份，甲方执____份，乙方执____份，具有同等法律效力。</w:t>
      </w:r>
    </w:p>
    <w:p>
      <w:pPr>
        <w:spacing w:before="240" w:after="160"/>
      </w:pPr>
      <w:r>
        <w:rPr>
          <w:rFonts w:ascii="Arial Unicode MS" w:hAnsi="Arial Unicode MS" w:eastAsia="PingFang SC"/>
          <w:i/>
          <w:color w:val="666666"/>
          <w:sz w:val="20"/>
        </w:rPr>
        <w:t>（以下无正文，为签署页）</w:t>
      </w:r>
    </w:p>
    <w:tbl>
      <w:tblPr>
        <w:tblW w:type="dxa" w:w="9360"/>
        <w:jc w:val="left"/>
        <w:tblLayout w:type="fixed"/>
        <w:tblLook w:firstColumn="1" w:firstRow="1" w:lastColumn="0" w:lastRow="0" w:noHBand="0" w:noVBand="1" w:val="04A0"/>
        <w:tblInd w:type="dxa" w:w="120"/>
      </w:tblPr>
      <w:tblGrid>
        <w:gridCol w:w="4680"/>
        <w:gridCol w:w="4680"/>
      </w:tblGrid>
      <w:tr>
        <w:trPr>
          <w:cantSplit/>
          <w:tblHeader w:val="true"/>
        </w:trPr>
        <w:tc>
          <w:tcPr>
            <w:tcW w:type="dxa" w:w="468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21"/>
              </w:rPr>
              <w:t>甲方（盖章）</w:t>
            </w:r>
          </w:p>
        </w:tc>
        <w:tc>
          <w:tcPr>
            <w:tcW w:type="dxa" w:w="468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21"/>
              </w:rPr>
              <w:t>乙方（盖章）</w:t>
            </w:r>
          </w:p>
        </w:tc>
      </w:tr>
      <w:tr>
        <w:trPr>
          <w:cantSplit/>
        </w:trPr>
        <w:tc>
          <w:tcPr>
            <w:tcW w:type="dxa" w:w="4680"/>
            <w:vAlign w:val="top"/>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140" w:line="269" w:lineRule="auto"/>
              <w:jc w:val="left"/>
            </w:pPr>
            <w:r/>
            <w:r>
              <w:rPr>
                <w:rFonts w:ascii="Arial Unicode MS" w:hAnsi="Arial Unicode MS" w:eastAsia="PingFang SC"/>
                <w:b w:val="0"/>
                <w:color w:val="222222"/>
                <w:sz w:val="21"/>
              </w:rPr>
              <w:t>法定代表人/授权代表：</w:t>
              <w:br/>
              <w:br/>
              <w:t>签署日期：____年__月__日</w:t>
            </w:r>
          </w:p>
        </w:tc>
        <w:tc>
          <w:tcPr>
            <w:tcW w:type="dxa" w:w="4680"/>
            <w:vAlign w:val="top"/>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140" w:line="269" w:lineRule="auto"/>
              <w:jc w:val="left"/>
            </w:pPr>
            <w:r/>
            <w:r>
              <w:rPr>
                <w:rFonts w:ascii="Arial Unicode MS" w:hAnsi="Arial Unicode MS" w:eastAsia="PingFang SC"/>
                <w:b w:val="0"/>
                <w:color w:val="222222"/>
                <w:sz w:val="21"/>
              </w:rPr>
              <w:t>法定代表人/授权代表：</w:t>
              <w:br/>
              <w:br/>
              <w:t>签署日期：____年__月__日</w:t>
            </w:r>
          </w:p>
        </w:tc>
      </w:tr>
    </w:tbl>
    <w:p>
      <w:pPr>
        <w:spacing w:before="0" w:after="40"/>
      </w:pPr>
    </w:p>
    <w:p>
      <w:r>
        <w:br w:type="page"/>
      </w:r>
    </w:p>
    <w:p>
      <w:pPr>
        <w:pStyle w:val="Heading1"/>
        <w:jc w:val="center"/>
      </w:pPr>
      <w:r>
        <w:rPr>
          <w:rFonts w:ascii="Arial Unicode MS" w:hAnsi="Arial Unicode MS" w:eastAsia="PingFang SC"/>
          <w:b/>
          <w:color w:val="2E74B5"/>
          <w:sz w:val="32"/>
        </w:rPr>
        <w:t>附件一  产品与工艺技术确认单</w:t>
      </w:r>
    </w:p>
    <w:p>
      <w:pPr>
        <w:spacing w:after="100" w:line="264" w:lineRule="auto"/>
        <w:ind w:firstLine="0"/>
        <w:jc w:val="both"/>
      </w:pPr>
      <w:r>
        <w:rPr>
          <w:rFonts w:ascii="Arial Unicode MS" w:hAnsi="Arial Unicode MS" w:eastAsia="PingFang SC"/>
          <w:color w:val="222222"/>
          <w:sz w:val="22"/>
        </w:rPr>
        <w:t>本附件由双方技术/质量负责人确认后作为排产、检验和验收依据；不适用项目请填写“不适用”，不得留空。</w:t>
      </w:r>
    </w:p>
    <w:tbl>
      <w:tblPr>
        <w:tblW w:type="dxa" w:w="9360"/>
        <w:jc w:val="left"/>
        <w:tblLayout w:type="fixed"/>
        <w:tblLook w:firstColumn="1" w:firstRow="1" w:lastColumn="0" w:lastRow="0" w:noHBand="0" w:noVBand="1" w:val="04A0"/>
        <w:tblInd w:type="dxa" w:w="120"/>
      </w:tblPr>
      <w:tblGrid>
        <w:gridCol w:w="2200"/>
        <w:gridCol w:w="7160"/>
      </w:tblGrid>
      <w:tr>
        <w:trPr>
          <w:cantSplit/>
          <w:tblHeader w:val="true"/>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9"/>
              </w:rPr>
              <w:t>项目</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9"/>
              </w:rPr>
              <w:t>确认内容</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项目/板名</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项圈电路板 RFID_CC1101_433MHz_V3.8</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交付形态</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□裸板  □PCBA  □PCBA+其他附件：________________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工程文件</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Gerber：________；钻孔：________；BOM版本：________；坐标版本：________；文件日期：____年__月__日</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板材与层数</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材料：________；层数：____层；板厚：____mm；完成铜厚：____oz；TG：________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尺寸/拼板</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单板尺寸：________mm；拼板方式：________；V-CUT/锣边/邮票孔：________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外观工艺</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阻焊颜色：________；字符颜色：________；表面处理：________；金手指/沉金厚度等：________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阻抗/特殊工艺</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阻抗：□无 □有，要求：________；盲埋孔/树脂塞孔/半孔/其他：________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元器件与替代</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关键物料：________；允许替代规则：未经甲方书面批准不得替代</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测试与检验</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裸板测试：________；AOI/X-Ray：________；ICT/FCT：________；抽样/判定标准：________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封样/返单依据</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样板编号或历史订单/批次号：________；确认日期：____年__月__日；是否允许直接批产：□是 □否</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包装标签</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单包数量：________；防静电/防潮要求：________；标签字段：________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甲方技术确认</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姓名/签字：________  日期：____年__月__日</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乙方技术确认</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姓名/签字：________  日期：____年__月__日</w:t>
            </w:r>
          </w:p>
        </w:tc>
      </w:tr>
    </w:tbl>
    <w:p>
      <w:pPr>
        <w:spacing w:before="0" w:after="40"/>
      </w:pPr>
    </w:p>
    <w:p>
      <w:r>
        <w:br w:type="page"/>
      </w:r>
    </w:p>
    <w:p>
      <w:pPr>
        <w:pStyle w:val="Heading1"/>
        <w:jc w:val="center"/>
      </w:pPr>
      <w:r>
        <w:rPr>
          <w:rFonts w:ascii="Arial Unicode MS" w:hAnsi="Arial Unicode MS" w:eastAsia="PingFang SC"/>
          <w:b/>
          <w:color w:val="2E74B5"/>
          <w:sz w:val="32"/>
        </w:rPr>
        <w:t>附件二  程序烧录确认单</w:t>
      </w:r>
    </w:p>
    <w:p>
      <w:pPr>
        <w:spacing w:after="100" w:line="264" w:lineRule="auto"/>
        <w:ind w:firstLine="0"/>
        <w:jc w:val="both"/>
      </w:pPr>
      <w:r>
        <w:rPr>
          <w:rFonts w:ascii="Arial Unicode MS" w:hAnsi="Arial Unicode MS" w:eastAsia="PingFang SC"/>
          <w:color w:val="222222"/>
          <w:sz w:val="22"/>
        </w:rPr>
        <w:t>乙方仅可烧录本附件中经甲方最终确认的固件。固件更新时，应重新填写或形成书面变更单，并同步更新校验值。</w:t>
      </w:r>
    </w:p>
    <w:tbl>
      <w:tblPr>
        <w:tblW w:type="dxa" w:w="9360"/>
        <w:jc w:val="left"/>
        <w:tblLayout w:type="fixed"/>
        <w:tblLook w:firstColumn="1" w:firstRow="1" w:lastColumn="0" w:lastRow="0" w:noHBand="0" w:noVBand="1" w:val="04A0"/>
        <w:tblInd w:type="dxa" w:w="120"/>
      </w:tblPr>
      <w:tblGrid>
        <w:gridCol w:w="2200"/>
        <w:gridCol w:w="7160"/>
      </w:tblGrid>
      <w:tr>
        <w:trPr>
          <w:cantSplit/>
          <w:tblHeader w:val="true"/>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9"/>
              </w:rPr>
              <w:t>项目</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9"/>
              </w:rPr>
              <w:t>确认内容</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项目名称</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项圈电路板 RFID_CC1101_433MHz_V3.8</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目标芯片/器件</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型号：________________；位号：________________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固件文件</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文件名：________________；版本号：________________；发布日期：____年__月__日</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完整性校验</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算法：□SHA-256 □MD5 □其他：________；校验值：________________________________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烧录参数</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接口/工具：________；起始地址：________；配置字/熔丝位：________；时钟/电压：________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安全配置</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□不加密  □读保护  □写保护  □安全启动  □其他：________；是否允许返读：□是 □否</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序列号/MAC/ID</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□无  □有；生成/分配规则：________；起止范围：________；重复校验方式：________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烧录后验证</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□工具Verify（100%）  □上电检查  □通信检查  □功能测试，步骤/判据：________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记录与交付</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烧录记录字段：________；记录格式：________；是否随货提供：□是 □否</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甲方固件确认</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姓名/签字：________  日期：____年__月__日</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乙方工程确认</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姓名/签字：________  日期：____年__月__日</w:t>
            </w:r>
          </w:p>
        </w:tc>
      </w:tr>
    </w:tbl>
    <w:p>
      <w:pPr>
        <w:spacing w:before="0" w:after="40"/>
      </w:pPr>
    </w:p>
    <w:p>
      <w:r>
        <w:br w:type="page"/>
      </w:r>
    </w:p>
    <w:p>
      <w:pPr>
        <w:pStyle w:val="Heading1"/>
        <w:jc w:val="center"/>
      </w:pPr>
      <w:r>
        <w:rPr>
          <w:rFonts w:ascii="Arial Unicode MS" w:hAnsi="Arial Unicode MS" w:eastAsia="PingFang SC"/>
          <w:b/>
          <w:color w:val="2E74B5"/>
          <w:sz w:val="32"/>
        </w:rPr>
        <w:t>附件三  商务与交付确认单</w:t>
      </w:r>
    </w:p>
    <w:tbl>
      <w:tblPr>
        <w:tblW w:type="dxa" w:w="9360"/>
        <w:jc w:val="left"/>
        <w:tblLayout w:type="fixed"/>
        <w:tblLook w:firstColumn="1" w:firstRow="1" w:lastColumn="0" w:lastRow="0" w:noHBand="0" w:noVBand="1" w:val="04A0"/>
        <w:tblInd w:type="dxa" w:w="120"/>
      </w:tblPr>
      <w:tblGrid>
        <w:gridCol w:w="2200"/>
        <w:gridCol w:w="7160"/>
      </w:tblGrid>
      <w:tr>
        <w:trPr>
          <w:cantSplit/>
          <w:tblHeader w:val="true"/>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9"/>
              </w:rPr>
              <w:t>项目</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shd w:fill="E8EEF5"/>
            <w:tcMar>
              <w:top w:w="100" w:type="dxa"/>
              <w:bottom w:w="100" w:type="dxa"/>
              <w:start w:w="120" w:type="dxa"/>
              <w:end w:w="120" w:type="dxa"/>
            </w:tcMar>
          </w:tcPr>
          <w:p>
            <w:pPr>
              <w:spacing w:before="0" w:after="0" w:line="269" w:lineRule="auto"/>
              <w:jc w:val="left"/>
            </w:pPr>
            <w:r/>
            <w:r>
              <w:rPr>
                <w:rFonts w:ascii="Arial Unicode MS" w:hAnsi="Arial Unicode MS" w:eastAsia="PingFang SC"/>
                <w:b/>
                <w:color w:val="222222"/>
                <w:sz w:val="19"/>
              </w:rPr>
              <w:t>确认内容</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合同总价</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¥68,000.00（人民币陆万捌仟元整）</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税费/发票</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□含税 □不含税；税率：____%；□专票 □普票；开票信息：________________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付款安排</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预付款：____%/¥________，支付节点：________；尾款：____%/¥________，支付节点：________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交期</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交期起算条件：________；生产周期：____个工作日；最迟发货/交付日：____年__月__日</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交付</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地点：________；收货人/电话：________；运输方式：________；运费承担：________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验收</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验收期限：____个工作日；抽检比例/数量：________；功能验收方法：________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质保</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____个月（未填写时按12个月）；售后联系人/电话：________________</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甲方商务确认</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姓名/签字：________  日期：____年__月__日</w:t>
            </w:r>
          </w:p>
        </w:tc>
      </w:tr>
      <w:tr>
        <w:trPr>
          <w:cantSplit/>
        </w:trPr>
        <w:tc>
          <w:tcPr>
            <w:tcW w:type="dxa" w:w="220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乙方商务确认</w:t>
            </w:r>
          </w:p>
        </w:tc>
        <w:tc>
          <w:tcPr>
            <w:tcW w:type="dxa" w:w="7160"/>
            <w:vAlign w:val="center"/>
            <w:tcBorders>
              <w:top w:val="single" w:sz="6" w:color="B7C1CC"/>
              <w:left w:val="single" w:sz="6" w:color="B7C1CC"/>
              <w:bottom w:val="single" w:sz="6" w:color="B7C1CC"/>
              <w:right w:val="single" w:sz="6" w:color="B7C1CC"/>
              <w:insideH w:val="single" w:sz="6" w:color="B7C1CC"/>
              <w:insideV w:val="single" w:sz="6" w:color="B7C1CC"/>
            </w:tcBorders>
            <w:tcMar>
              <w:top w:w="100" w:type="dxa"/>
              <w:bottom w:w="100" w:type="dxa"/>
              <w:start w:w="120" w:type="dxa"/>
              <w:end w:w="120" w:type="dxa"/>
            </w:tcMar>
          </w:tcPr>
          <w:p>
            <w:pPr>
              <w:spacing w:before="0" w:after="0" w:line="269" w:lineRule="auto"/>
              <w:jc w:val="left"/>
            </w:pPr>
            <w:r/>
            <w:r>
              <w:rPr>
                <w:rFonts w:ascii="Arial Unicode MS" w:hAnsi="Arial Unicode MS" w:eastAsia="PingFang SC"/>
                <w:b w:val="0"/>
                <w:color w:val="222222"/>
                <w:sz w:val="19"/>
              </w:rPr>
              <w:t>姓名/签字：________  日期：____年__月__日</w:t>
            </w:r>
          </w:p>
        </w:tc>
      </w:tr>
    </w:tbl>
    <w:p>
      <w:pPr>
        <w:spacing w:before="0" w:after="40"/>
      </w:pPr>
    </w:p>
    <w:sectPr w:rsidR="00FC693F" w:rsidRPr="0006063C" w:rsidSect="00034616">
      <w:headerReference w:type="default" r:id="rId9"/>
      <w:footerReference w:type="default" r:id="rId10"/>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Unicode MS" w:hAnsi="Arial Unicode MS" w:eastAsia="PingFang SC"/>
        <w:color w:val="666666"/>
        <w:sz w:val="18"/>
      </w:rPr>
      <w:t xml:space="preserve">第 </w:t>
    </w:r>
    <w:r>
      <w:rPr>
        <w:rFonts w:ascii="Arial Unicode MS" w:hAnsi="Arial Unicode MS" w:eastAsia="PingFang SC"/>
        <w:color w:val="666666"/>
        <w:sz w:val="18"/>
      </w:rPr>
      <w:fldChar w:fldCharType="begin"/>
      <w:instrText xml:space="preserve"> PAGE </w:instrText>
      <w:fldChar w:fldCharType="separate"/>
      <w:t>1</w:t>
      <w:fldChar w:fldCharType="end"/>
    </w:r>
    <w:r>
      <w:rPr>
        <w:rFonts w:ascii="Arial Unicode MS" w:hAnsi="Arial Unicode MS" w:eastAsia="PingFang SC"/>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Unicode MS" w:hAnsi="Arial Unicode MS" w:eastAsia="PingFang SC"/>
        <w:color w:val="666666"/>
        <w:sz w:val="17"/>
      </w:rPr>
      <w:t>PCB/PCBA定制加工及程序烧录合同  |  RFID_CC1101_433MHz_V3.8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PingFang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Unicode MS" w:hAnsi="Arial Unicode MS" w:eastAsia="PingFang SC"/>
      <w:b/>
      <w:color w:val="2222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Unicode MS" w:hAnsi="Arial Unicode MS" w:eastAsia="PingFang SC"/>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PCB/PCBA定制加工及程序烧录合同 - RFID_CC1101_433MHz_V3.8</dc:title>
  <dc:subject>项圈电路板600件及程序烧录600件，合同总价人民币68000元</dc:subject>
  <dc:creator/>
  <cp:keywords>PCB, PCBA, 程序烧录, 委托加工合同</cp:keywords>
  <dc:description/>
  <cp:lastModifiedBy/>
  <cp:revision>1</cp:revision>
  <dcterms:created xsi:type="dcterms:W3CDTF">2013-12-23T23:15:00Z</dcterms:created>
  <dcterms:modified xsi:type="dcterms:W3CDTF">2013-12-23T23:15:00Z</dcterms:modified>
  <cp:category/>
</cp:coreProperties>
</file>