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EFFB3" w14:textId="77777777" w:rsidR="003A71EF" w:rsidRPr="003A71EF" w:rsidRDefault="003A71EF" w:rsidP="003A71EF">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3A71EF">
        <w:rPr>
          <w:rFonts w:ascii="inherit" w:eastAsia="Times New Roman" w:hAnsi="inherit" w:cs="Segoe UI"/>
          <w:b/>
          <w:bCs/>
          <w:color w:val="242424"/>
          <w:bdr w:val="none" w:sz="0" w:space="0" w:color="auto" w:frame="1"/>
          <w:lang w:eastAsia="en-CA"/>
        </w:rPr>
        <w:t>Email 2 — March 19, 2026</w:t>
      </w:r>
    </w:p>
    <w:p w14:paraId="7F345961" w14:textId="77777777" w:rsidR="003A71EF" w:rsidRPr="003A71EF" w:rsidRDefault="003A71EF" w:rsidP="003A71EF">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3A71EF">
        <w:rPr>
          <w:rFonts w:ascii="inherit" w:eastAsia="Times New Roman" w:hAnsi="inherit" w:cs="Segoe UI"/>
          <w:b/>
          <w:bCs/>
          <w:color w:val="242424"/>
          <w:bdr w:val="none" w:sz="0" w:space="0" w:color="auto" w:frame="1"/>
          <w:lang w:eastAsia="en-CA"/>
        </w:rPr>
        <w:t>From: Blaise Foulston, CPA — Yates Whitaker — To: Scott Wilde, Dr. Tammy Wilde; CC: Deb Richardson — Accounting</w:t>
      </w:r>
    </w:p>
    <w:p w14:paraId="1655D90C" w14:textId="77777777" w:rsidR="003A71EF" w:rsidRPr="003A71EF" w:rsidRDefault="003A71EF" w:rsidP="003A71EF">
      <w:pPr>
        <w:wordWrap w:val="0"/>
        <w:spacing w:after="0" w:line="240" w:lineRule="auto"/>
        <w:textAlignment w:val="baseline"/>
        <w:rPr>
          <w:rFonts w:ascii="inherit" w:eastAsia="Times New Roman" w:hAnsi="inherit" w:cs="Segoe UI"/>
          <w:b/>
          <w:bCs/>
          <w:color w:val="242424"/>
          <w:bdr w:val="none" w:sz="0" w:space="0" w:color="auto" w:frame="1"/>
          <w:lang w:eastAsia="en-CA"/>
        </w:rPr>
      </w:pPr>
    </w:p>
    <w:p w14:paraId="55278E82" w14:textId="7674701B" w:rsidR="00385E50" w:rsidRPr="003A71EF" w:rsidRDefault="003A71EF" w:rsidP="003A71EF">
      <w:pPr>
        <w:wordWrap w:val="0"/>
        <w:spacing w:after="0" w:line="240" w:lineRule="auto"/>
        <w:textAlignment w:val="baseline"/>
        <w:rPr>
          <w:rFonts w:ascii="inherit" w:eastAsia="Times New Roman" w:hAnsi="inherit" w:cs="Segoe UI"/>
          <w:b/>
          <w:bCs/>
          <w:color w:val="242424"/>
          <w:bdr w:val="none" w:sz="0" w:space="0" w:color="auto" w:frame="1"/>
          <w:lang w:eastAsia="en-CA"/>
        </w:rPr>
      </w:pPr>
      <w:r w:rsidRPr="003A71EF">
        <w:rPr>
          <w:rFonts w:ascii="inherit" w:eastAsia="Times New Roman" w:hAnsi="inherit" w:cs="Segoe UI"/>
          <w:b/>
          <w:bCs/>
          <w:color w:val="242424"/>
          <w:bdr w:val="none" w:sz="0" w:space="0" w:color="auto" w:frame="1"/>
          <w:lang w:eastAsia="en-CA"/>
        </w:rPr>
        <w:t xml:space="preserve">This correspondence was a follow-up communication from CSI's accountant reinforcing the going concern warning and escalating the urgency of liquidating </w:t>
      </w:r>
      <w:proofErr w:type="spellStart"/>
      <w:r w:rsidRPr="003A71EF">
        <w:rPr>
          <w:rFonts w:ascii="inherit" w:eastAsia="Times New Roman" w:hAnsi="inherit" w:cs="Segoe UI"/>
          <w:b/>
          <w:bCs/>
          <w:color w:val="242424"/>
          <w:bdr w:val="none" w:sz="0" w:space="0" w:color="auto" w:frame="1"/>
          <w:lang w:eastAsia="en-CA"/>
        </w:rPr>
        <w:t>Wildeland</w:t>
      </w:r>
      <w:proofErr w:type="spellEnd"/>
      <w:r w:rsidRPr="003A71EF">
        <w:rPr>
          <w:rFonts w:ascii="inherit" w:eastAsia="Times New Roman" w:hAnsi="inherit" w:cs="Segoe UI"/>
          <w:b/>
          <w:bCs/>
          <w:color w:val="242424"/>
          <w:bdr w:val="none" w:sz="0" w:space="0" w:color="auto" w:frame="1"/>
          <w:lang w:eastAsia="en-CA"/>
        </w:rPr>
        <w:t xml:space="preserve"> Holdings assets to stabilize Clinic Solutions Inc.</w:t>
      </w:r>
      <w:r w:rsidR="00385E50" w:rsidRPr="003A71EF">
        <w:rPr>
          <w:rFonts w:ascii="inherit" w:eastAsia="Times New Roman" w:hAnsi="inherit" w:cs="Segoe UI"/>
          <w:b/>
          <w:bCs/>
          <w:color w:val="242424"/>
          <w:bdr w:val="none" w:sz="0" w:space="0" w:color="auto" w:frame="1"/>
          <w:lang w:eastAsia="en-CA"/>
        </w:rPr>
        <w:br/>
      </w:r>
    </w:p>
    <w:p w14:paraId="13E0783C" w14:textId="77777777" w:rsidR="00385E50" w:rsidRDefault="00385E50" w:rsidP="00385E50">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62AE13C0" w14:textId="2B847746" w:rsidR="00385E50" w:rsidRPr="00385E50" w:rsidRDefault="00385E50" w:rsidP="00385E50">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385E50">
        <w:rPr>
          <w:rFonts w:ascii="inherit" w:eastAsia="Times New Roman" w:hAnsi="inherit" w:cs="Segoe UI"/>
          <w:color w:val="242424"/>
          <w:sz w:val="18"/>
          <w:szCs w:val="18"/>
          <w:bdr w:val="none" w:sz="0" w:space="0" w:color="auto" w:frame="1"/>
          <w:lang w:eastAsia="en-CA"/>
        </w:rPr>
        <w:t>Blaise Foulston&lt;Blaise@yateswhitaker.ca&gt;</w:t>
      </w:r>
    </w:p>
    <w:p w14:paraId="4B38AA08" w14:textId="77777777" w:rsidR="00385E50" w:rsidRPr="00385E50" w:rsidRDefault="00385E50" w:rsidP="00385E50">
      <w:pPr>
        <w:spacing w:after="0" w:line="240" w:lineRule="auto"/>
        <w:textAlignment w:val="baseline"/>
        <w:rPr>
          <w:rFonts w:ascii="inherit" w:eastAsia="Times New Roman" w:hAnsi="inherit" w:cs="Segoe UI"/>
          <w:color w:val="424242"/>
          <w:sz w:val="18"/>
          <w:szCs w:val="18"/>
          <w:lang w:eastAsia="en-CA"/>
        </w:rPr>
      </w:pPr>
      <w:r w:rsidRPr="00385E50">
        <w:rPr>
          <w:rFonts w:ascii="inherit" w:eastAsia="Times New Roman" w:hAnsi="inherit" w:cs="Segoe UI"/>
          <w:color w:val="424242"/>
          <w:sz w:val="18"/>
          <w:szCs w:val="18"/>
          <w:lang w:eastAsia="en-CA"/>
        </w:rPr>
        <w:t>​</w:t>
      </w:r>
      <w:r w:rsidRPr="00385E50">
        <w:rPr>
          <w:rFonts w:ascii="inherit" w:eastAsia="Times New Roman" w:hAnsi="inherit" w:cs="Segoe UI"/>
          <w:color w:val="242424"/>
          <w:sz w:val="18"/>
          <w:szCs w:val="18"/>
          <w:bdr w:val="none" w:sz="0" w:space="0" w:color="auto" w:frame="1"/>
          <w:lang w:eastAsia="en-CA"/>
        </w:rPr>
        <w:t>Scott Wilde</w:t>
      </w:r>
      <w:r w:rsidRPr="00385E50">
        <w:rPr>
          <w:rFonts w:ascii="inherit" w:eastAsia="Times New Roman" w:hAnsi="inherit" w:cs="Segoe UI"/>
          <w:color w:val="424242"/>
          <w:sz w:val="18"/>
          <w:szCs w:val="18"/>
          <w:lang w:eastAsia="en-CA"/>
        </w:rPr>
        <w:t>​</w:t>
      </w:r>
    </w:p>
    <w:p w14:paraId="57DFC35B" w14:textId="77777777" w:rsidR="00385E50" w:rsidRPr="00385E50" w:rsidRDefault="00385E50" w:rsidP="00385E50">
      <w:pPr>
        <w:spacing w:after="0" w:line="240" w:lineRule="auto"/>
        <w:textAlignment w:val="baseline"/>
        <w:rPr>
          <w:rFonts w:ascii="inherit" w:eastAsia="Times New Roman" w:hAnsi="inherit" w:cs="Segoe UI"/>
          <w:color w:val="424242"/>
          <w:sz w:val="18"/>
          <w:szCs w:val="18"/>
          <w:lang w:eastAsia="en-CA"/>
        </w:rPr>
      </w:pPr>
      <w:r w:rsidRPr="00385E50">
        <w:rPr>
          <w:rFonts w:ascii="inherit" w:eastAsia="Times New Roman" w:hAnsi="inherit" w:cs="Segoe UI"/>
          <w:color w:val="424242"/>
          <w:sz w:val="18"/>
          <w:szCs w:val="18"/>
          <w:lang w:eastAsia="en-CA"/>
        </w:rPr>
        <w:t>​</w:t>
      </w:r>
      <w:r w:rsidRPr="00385E50">
        <w:rPr>
          <w:rFonts w:ascii="inherit" w:eastAsia="Times New Roman" w:hAnsi="inherit" w:cs="Segoe UI"/>
          <w:color w:val="242424"/>
          <w:sz w:val="18"/>
          <w:szCs w:val="18"/>
          <w:bdr w:val="none" w:sz="0" w:space="0" w:color="auto" w:frame="1"/>
          <w:lang w:eastAsia="en-CA"/>
        </w:rPr>
        <w:t>Tammy Wilde;</w:t>
      </w:r>
      <w:r w:rsidRPr="00385E50">
        <w:rPr>
          <w:rFonts w:ascii="inherit" w:eastAsia="Times New Roman" w:hAnsi="inherit" w:cs="Segoe UI"/>
          <w:color w:val="424242"/>
          <w:sz w:val="18"/>
          <w:szCs w:val="18"/>
          <w:lang w:eastAsia="en-CA"/>
        </w:rPr>
        <w:t>​</w:t>
      </w:r>
      <w:r w:rsidRPr="00385E50">
        <w:rPr>
          <w:rFonts w:ascii="inherit" w:eastAsia="Times New Roman" w:hAnsi="inherit" w:cs="Segoe UI"/>
          <w:color w:val="242424"/>
          <w:sz w:val="18"/>
          <w:szCs w:val="18"/>
          <w:bdr w:val="none" w:sz="0" w:space="0" w:color="auto" w:frame="1"/>
          <w:lang w:eastAsia="en-CA"/>
        </w:rPr>
        <w:t>accounting@clinicsolutions.ca</w:t>
      </w:r>
      <w:r w:rsidRPr="00385E50">
        <w:rPr>
          <w:rFonts w:ascii="inherit" w:eastAsia="Times New Roman" w:hAnsi="inherit" w:cs="Segoe UI"/>
          <w:color w:val="424242"/>
          <w:sz w:val="18"/>
          <w:szCs w:val="18"/>
          <w:lang w:eastAsia="en-CA"/>
        </w:rPr>
        <w:t>​</w:t>
      </w:r>
    </w:p>
    <w:p w14:paraId="070A990C" w14:textId="77777777" w:rsidR="00385E50" w:rsidRDefault="00385E50" w:rsidP="00385E50">
      <w:pPr>
        <w:spacing w:after="0" w:line="240" w:lineRule="auto"/>
        <w:textAlignment w:val="baseline"/>
        <w:rPr>
          <w:rFonts w:ascii="Aptos" w:eastAsia="Times New Roman" w:hAnsi="Aptos" w:cs="Segoe UI"/>
          <w:color w:val="242424"/>
          <w:sz w:val="24"/>
          <w:szCs w:val="24"/>
          <w:lang w:val="en-US" w:eastAsia="en-CA"/>
        </w:rPr>
      </w:pPr>
    </w:p>
    <w:p w14:paraId="3E565AB7" w14:textId="25714FAE"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Hi Scott (and Tammy),</w:t>
      </w:r>
    </w:p>
    <w:p w14:paraId="11E30476"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w:t>
      </w:r>
    </w:p>
    <w:p w14:paraId="4D2EDE82"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xml:space="preserve">I agree with Deb’s recommendation that you should be working to expedite </w:t>
      </w:r>
      <w:proofErr w:type="gramStart"/>
      <w:r w:rsidRPr="00385E50">
        <w:rPr>
          <w:rFonts w:ascii="Aptos" w:eastAsia="Times New Roman" w:hAnsi="Aptos" w:cs="Segoe UI"/>
          <w:color w:val="242424"/>
          <w:sz w:val="24"/>
          <w:szCs w:val="24"/>
          <w:lang w:val="en-US" w:eastAsia="en-CA"/>
        </w:rPr>
        <w:t>sale</w:t>
      </w:r>
      <w:proofErr w:type="gramEnd"/>
      <w:r w:rsidRPr="00385E50">
        <w:rPr>
          <w:rFonts w:ascii="Aptos" w:eastAsia="Times New Roman" w:hAnsi="Aptos" w:cs="Segoe UI"/>
          <w:color w:val="242424"/>
          <w:sz w:val="24"/>
          <w:szCs w:val="24"/>
          <w:lang w:val="en-US" w:eastAsia="en-CA"/>
        </w:rPr>
        <w:t xml:space="preserve"> of the remaining properties in </w:t>
      </w:r>
      <w:proofErr w:type="spellStart"/>
      <w:r w:rsidRPr="00385E50">
        <w:rPr>
          <w:rFonts w:ascii="Aptos" w:eastAsia="Times New Roman" w:hAnsi="Aptos" w:cs="Segoe UI"/>
          <w:color w:val="242424"/>
          <w:sz w:val="24"/>
          <w:szCs w:val="24"/>
          <w:lang w:val="en-US" w:eastAsia="en-CA"/>
        </w:rPr>
        <w:t>Wildeland</w:t>
      </w:r>
      <w:proofErr w:type="spellEnd"/>
      <w:r w:rsidRPr="00385E50">
        <w:rPr>
          <w:rFonts w:ascii="Aptos" w:eastAsia="Times New Roman" w:hAnsi="Aptos" w:cs="Segoe UI"/>
          <w:color w:val="242424"/>
          <w:sz w:val="24"/>
          <w:szCs w:val="24"/>
          <w:lang w:val="en-US" w:eastAsia="en-CA"/>
        </w:rPr>
        <w:t xml:space="preserve"> Holdings. </w:t>
      </w:r>
    </w:p>
    <w:p w14:paraId="1A1B118C"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w:t>
      </w:r>
    </w:p>
    <w:p w14:paraId="1B7CE60D"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b/>
          <w:bCs/>
          <w:color w:val="242424"/>
          <w:sz w:val="24"/>
          <w:szCs w:val="24"/>
          <w:u w:val="single"/>
          <w:lang w:val="en-US" w:eastAsia="en-CA"/>
        </w:rPr>
        <w:t xml:space="preserve">I’ve suggested that the remaining properties likely need to be sold to repatriate the cash to Clinic Solutions Inc. as far back as Feb 12, 2026.  This remains my strong recommendation as it allows the company to pull itself out of financial crisis, to stabilize cash flows, satisfy vendors, the bank, CRA and </w:t>
      </w:r>
      <w:proofErr w:type="gramStart"/>
      <w:r w:rsidRPr="00385E50">
        <w:rPr>
          <w:rFonts w:ascii="Aptos" w:eastAsia="Times New Roman" w:hAnsi="Aptos" w:cs="Segoe UI"/>
          <w:b/>
          <w:bCs/>
          <w:color w:val="242424"/>
          <w:sz w:val="24"/>
          <w:szCs w:val="24"/>
          <w:u w:val="single"/>
          <w:lang w:val="en-US" w:eastAsia="en-CA"/>
        </w:rPr>
        <w:t>opens up</w:t>
      </w:r>
      <w:proofErr w:type="gramEnd"/>
      <w:r w:rsidRPr="00385E50">
        <w:rPr>
          <w:rFonts w:ascii="Aptos" w:eastAsia="Times New Roman" w:hAnsi="Aptos" w:cs="Segoe UI"/>
          <w:b/>
          <w:bCs/>
          <w:color w:val="242424"/>
          <w:sz w:val="24"/>
          <w:szCs w:val="24"/>
          <w:u w:val="single"/>
          <w:lang w:val="en-US" w:eastAsia="en-CA"/>
        </w:rPr>
        <w:t xml:space="preserve"> the ability for the company to safely begin remunerating the two of you as shareholders again </w:t>
      </w:r>
      <w:proofErr w:type="gramStart"/>
      <w:r w:rsidRPr="00385E50">
        <w:rPr>
          <w:rFonts w:ascii="Aptos" w:eastAsia="Times New Roman" w:hAnsi="Aptos" w:cs="Segoe UI"/>
          <w:b/>
          <w:bCs/>
          <w:color w:val="242424"/>
          <w:sz w:val="24"/>
          <w:szCs w:val="24"/>
          <w:u w:val="single"/>
          <w:lang w:val="en-US" w:eastAsia="en-CA"/>
        </w:rPr>
        <w:t>in order to</w:t>
      </w:r>
      <w:proofErr w:type="gramEnd"/>
      <w:r w:rsidRPr="00385E50">
        <w:rPr>
          <w:rFonts w:ascii="Aptos" w:eastAsia="Times New Roman" w:hAnsi="Aptos" w:cs="Segoe UI"/>
          <w:b/>
          <w:bCs/>
          <w:color w:val="242424"/>
          <w:sz w:val="24"/>
          <w:szCs w:val="24"/>
          <w:u w:val="single"/>
          <w:lang w:val="en-US" w:eastAsia="en-CA"/>
        </w:rPr>
        <w:t xml:space="preserve"> settle your own personal liabilities.</w:t>
      </w:r>
      <w:r w:rsidRPr="00385E50">
        <w:rPr>
          <w:rFonts w:ascii="Aptos" w:eastAsia="Times New Roman" w:hAnsi="Aptos" w:cs="Segoe UI"/>
          <w:color w:val="242424"/>
          <w:sz w:val="24"/>
          <w:szCs w:val="24"/>
          <w:lang w:val="en-US" w:eastAsia="en-CA"/>
        </w:rPr>
        <w:t xml:space="preserve">  The clinic is struggling to manage its commitments without a significant cash injection from somewhere and the banks will be unwilling to provide additional financing considering the financial position of the company.  In truth, the bank is likely </w:t>
      </w:r>
      <w:proofErr w:type="gramStart"/>
      <w:r w:rsidRPr="00385E50">
        <w:rPr>
          <w:rFonts w:ascii="Aptos" w:eastAsia="Times New Roman" w:hAnsi="Aptos" w:cs="Segoe UI"/>
          <w:color w:val="242424"/>
          <w:sz w:val="24"/>
          <w:szCs w:val="24"/>
          <w:lang w:val="en-US" w:eastAsia="en-CA"/>
        </w:rPr>
        <w:t>becoming</w:t>
      </w:r>
      <w:proofErr w:type="gramEnd"/>
      <w:r w:rsidRPr="00385E50">
        <w:rPr>
          <w:rFonts w:ascii="Aptos" w:eastAsia="Times New Roman" w:hAnsi="Aptos" w:cs="Segoe UI"/>
          <w:color w:val="242424"/>
          <w:sz w:val="24"/>
          <w:szCs w:val="24"/>
          <w:lang w:val="en-US" w:eastAsia="en-CA"/>
        </w:rPr>
        <w:t xml:space="preserve"> quite uncomfortable with their collection risk.  From my vantage </w:t>
      </w:r>
      <w:proofErr w:type="gramStart"/>
      <w:r w:rsidRPr="00385E50">
        <w:rPr>
          <w:rFonts w:ascii="Aptos" w:eastAsia="Times New Roman" w:hAnsi="Aptos" w:cs="Segoe UI"/>
          <w:color w:val="242424"/>
          <w:sz w:val="24"/>
          <w:szCs w:val="24"/>
          <w:lang w:val="en-US" w:eastAsia="en-CA"/>
        </w:rPr>
        <w:t>point</w:t>
      </w:r>
      <w:proofErr w:type="gramEnd"/>
      <w:r w:rsidRPr="00385E50">
        <w:rPr>
          <w:rFonts w:ascii="Aptos" w:eastAsia="Times New Roman" w:hAnsi="Aptos" w:cs="Segoe UI"/>
          <w:color w:val="242424"/>
          <w:sz w:val="24"/>
          <w:szCs w:val="24"/>
          <w:lang w:val="en-US" w:eastAsia="en-CA"/>
        </w:rPr>
        <w:t xml:space="preserve"> the company is in jeopardy of not being able to continue as a going concern unless a cash injection can quell the debts and debt service costs that are encumbering the clinic operations.  Status quo and hope for the clinic to pull out on its own is not a feasible option at this point.</w:t>
      </w:r>
    </w:p>
    <w:p w14:paraId="2192516C"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w:t>
      </w:r>
    </w:p>
    <w:p w14:paraId="054A67C4"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xml:space="preserve">I understand there </w:t>
      </w:r>
      <w:proofErr w:type="gramStart"/>
      <w:r w:rsidRPr="00385E50">
        <w:rPr>
          <w:rFonts w:ascii="Aptos" w:eastAsia="Times New Roman" w:hAnsi="Aptos" w:cs="Segoe UI"/>
          <w:color w:val="242424"/>
          <w:sz w:val="24"/>
          <w:szCs w:val="24"/>
          <w:lang w:val="en-US" w:eastAsia="en-CA"/>
        </w:rPr>
        <w:t>are family law</w:t>
      </w:r>
      <w:proofErr w:type="gramEnd"/>
      <w:r w:rsidRPr="00385E50">
        <w:rPr>
          <w:rFonts w:ascii="Aptos" w:eastAsia="Times New Roman" w:hAnsi="Aptos" w:cs="Segoe UI"/>
          <w:color w:val="242424"/>
          <w:sz w:val="24"/>
          <w:szCs w:val="24"/>
          <w:lang w:val="en-US" w:eastAsia="en-CA"/>
        </w:rPr>
        <w:t xml:space="preserve"> implications </w:t>
      </w:r>
      <w:proofErr w:type="gramStart"/>
      <w:r w:rsidRPr="00385E50">
        <w:rPr>
          <w:rFonts w:ascii="Aptos" w:eastAsia="Times New Roman" w:hAnsi="Aptos" w:cs="Segoe UI"/>
          <w:color w:val="242424"/>
          <w:sz w:val="24"/>
          <w:szCs w:val="24"/>
          <w:lang w:val="en-US" w:eastAsia="en-CA"/>
        </w:rPr>
        <w:t>to</w:t>
      </w:r>
      <w:proofErr w:type="gramEnd"/>
      <w:r w:rsidRPr="00385E50">
        <w:rPr>
          <w:rFonts w:ascii="Aptos" w:eastAsia="Times New Roman" w:hAnsi="Aptos" w:cs="Segoe UI"/>
          <w:color w:val="242424"/>
          <w:sz w:val="24"/>
          <w:szCs w:val="24"/>
          <w:lang w:val="en-US" w:eastAsia="en-CA"/>
        </w:rPr>
        <w:t xml:space="preserve"> the recommendation from the accountants to sell the </w:t>
      </w:r>
      <w:proofErr w:type="spellStart"/>
      <w:r w:rsidRPr="00385E50">
        <w:rPr>
          <w:rFonts w:ascii="Aptos" w:eastAsia="Times New Roman" w:hAnsi="Aptos" w:cs="Segoe UI"/>
          <w:color w:val="242424"/>
          <w:sz w:val="24"/>
          <w:szCs w:val="24"/>
          <w:lang w:val="en-US" w:eastAsia="en-CA"/>
        </w:rPr>
        <w:t>Wildeland</w:t>
      </w:r>
      <w:proofErr w:type="spellEnd"/>
      <w:r w:rsidRPr="00385E50">
        <w:rPr>
          <w:rFonts w:ascii="Aptos" w:eastAsia="Times New Roman" w:hAnsi="Aptos" w:cs="Segoe UI"/>
          <w:color w:val="242424"/>
          <w:sz w:val="24"/>
          <w:szCs w:val="24"/>
          <w:lang w:val="en-US" w:eastAsia="en-CA"/>
        </w:rPr>
        <w:t xml:space="preserve"> properties.  The family lawyers are likely advising you based on their current understanding, which may not include a full understanding of the financial position of the companies (debt servicing and cash flow).  I want to ensure that the lawyers fully understand the financial position of the corporations, as communicated to them directly by the accountants, because their advice may differ if they have a full explanation from Deb and/or I of the situation.  This recommendation is intended in the better interests of both you and Tammy, and to ensure stability and protection of your shared assets (with the single largest revenue and income producing asset being the clinic), both in a martial breakdown or otherwise.  I’m not trying to drive up your professional costs, especially at this trying time, but you will get the best advice from </w:t>
      </w:r>
      <w:proofErr w:type="gramStart"/>
      <w:r w:rsidRPr="00385E50">
        <w:rPr>
          <w:rFonts w:ascii="Aptos" w:eastAsia="Times New Roman" w:hAnsi="Aptos" w:cs="Segoe UI"/>
          <w:color w:val="242424"/>
          <w:sz w:val="24"/>
          <w:szCs w:val="24"/>
          <w:lang w:val="en-US" w:eastAsia="en-CA"/>
        </w:rPr>
        <w:t>all of</w:t>
      </w:r>
      <w:proofErr w:type="gramEnd"/>
      <w:r w:rsidRPr="00385E50">
        <w:rPr>
          <w:rFonts w:ascii="Aptos" w:eastAsia="Times New Roman" w:hAnsi="Aptos" w:cs="Segoe UI"/>
          <w:color w:val="242424"/>
          <w:sz w:val="24"/>
          <w:szCs w:val="24"/>
          <w:lang w:val="en-US" w:eastAsia="en-CA"/>
        </w:rPr>
        <w:t xml:space="preserve"> your professional advisors if they are working together to provide advice as much as possible in the circumstance.  Since we represent the </w:t>
      </w:r>
      <w:proofErr w:type="gramStart"/>
      <w:r w:rsidRPr="00385E50">
        <w:rPr>
          <w:rFonts w:ascii="Aptos" w:eastAsia="Times New Roman" w:hAnsi="Aptos" w:cs="Segoe UI"/>
          <w:color w:val="242424"/>
          <w:sz w:val="24"/>
          <w:szCs w:val="24"/>
          <w:lang w:val="en-US" w:eastAsia="en-CA"/>
        </w:rPr>
        <w:t>company</w:t>
      </w:r>
      <w:proofErr w:type="gramEnd"/>
      <w:r w:rsidRPr="00385E50">
        <w:rPr>
          <w:rFonts w:ascii="Aptos" w:eastAsia="Times New Roman" w:hAnsi="Aptos" w:cs="Segoe UI"/>
          <w:color w:val="242424"/>
          <w:sz w:val="24"/>
          <w:szCs w:val="24"/>
          <w:lang w:val="en-US" w:eastAsia="en-CA"/>
        </w:rPr>
        <w:t xml:space="preserve"> we need to ensure that the same information is conveyed to each of your respective counsel.  At minimum </w:t>
      </w:r>
      <w:proofErr w:type="gramStart"/>
      <w:r w:rsidRPr="00385E50">
        <w:rPr>
          <w:rFonts w:ascii="Aptos" w:eastAsia="Times New Roman" w:hAnsi="Aptos" w:cs="Segoe UI"/>
          <w:color w:val="242424"/>
          <w:sz w:val="24"/>
          <w:szCs w:val="24"/>
          <w:lang w:val="en-US" w:eastAsia="en-CA"/>
        </w:rPr>
        <w:t xml:space="preserve">a </w:t>
      </w:r>
      <w:r w:rsidRPr="00385E50">
        <w:rPr>
          <w:rFonts w:ascii="Aptos" w:eastAsia="Times New Roman" w:hAnsi="Aptos" w:cs="Segoe UI"/>
          <w:color w:val="242424"/>
          <w:sz w:val="24"/>
          <w:szCs w:val="24"/>
          <w:lang w:val="en-US" w:eastAsia="en-CA"/>
        </w:rPr>
        <w:lastRenderedPageBreak/>
        <w:t>communication</w:t>
      </w:r>
      <w:proofErr w:type="gramEnd"/>
      <w:r w:rsidRPr="00385E50">
        <w:rPr>
          <w:rFonts w:ascii="Aptos" w:eastAsia="Times New Roman" w:hAnsi="Aptos" w:cs="Segoe UI"/>
          <w:color w:val="242424"/>
          <w:sz w:val="24"/>
          <w:szCs w:val="24"/>
          <w:lang w:val="en-US" w:eastAsia="en-CA"/>
        </w:rPr>
        <w:t xml:space="preserve"> to each lawyer (the same communication to each) outlining the corporate financial situation and our recommendations should be provided, by the accountants.  Even communication of this e-mail to your respective legal counsel would be a very good starting point and then let your legal counsel decide if they would like to explore the accounting situation </w:t>
      </w:r>
      <w:proofErr w:type="gramStart"/>
      <w:r w:rsidRPr="00385E50">
        <w:rPr>
          <w:rFonts w:ascii="Aptos" w:eastAsia="Times New Roman" w:hAnsi="Aptos" w:cs="Segoe UI"/>
          <w:color w:val="242424"/>
          <w:sz w:val="24"/>
          <w:szCs w:val="24"/>
          <w:lang w:val="en-US" w:eastAsia="en-CA"/>
        </w:rPr>
        <w:t>and</w:t>
      </w:r>
      <w:proofErr w:type="gramEnd"/>
      <w:r w:rsidRPr="00385E50">
        <w:rPr>
          <w:rFonts w:ascii="Aptos" w:eastAsia="Times New Roman" w:hAnsi="Aptos" w:cs="Segoe UI"/>
          <w:color w:val="242424"/>
          <w:sz w:val="24"/>
          <w:szCs w:val="24"/>
          <w:lang w:val="en-US" w:eastAsia="en-CA"/>
        </w:rPr>
        <w:t xml:space="preserve"> recommendations further.</w:t>
      </w:r>
    </w:p>
    <w:p w14:paraId="127B8147"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w:t>
      </w:r>
    </w:p>
    <w:p w14:paraId="271B47AD"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xml:space="preserve">As we sit </w:t>
      </w:r>
      <w:proofErr w:type="gramStart"/>
      <w:r w:rsidRPr="00385E50">
        <w:rPr>
          <w:rFonts w:ascii="Aptos" w:eastAsia="Times New Roman" w:hAnsi="Aptos" w:cs="Segoe UI"/>
          <w:color w:val="242424"/>
          <w:sz w:val="24"/>
          <w:szCs w:val="24"/>
          <w:lang w:val="en-US" w:eastAsia="en-CA"/>
        </w:rPr>
        <w:t>now</w:t>
      </w:r>
      <w:proofErr w:type="gramEnd"/>
      <w:r w:rsidRPr="00385E50">
        <w:rPr>
          <w:rFonts w:ascii="Aptos" w:eastAsia="Times New Roman" w:hAnsi="Aptos" w:cs="Segoe UI"/>
          <w:color w:val="242424"/>
          <w:sz w:val="24"/>
          <w:szCs w:val="24"/>
          <w:lang w:val="en-US" w:eastAsia="en-CA"/>
        </w:rPr>
        <w:t xml:space="preserve"> you and Tammy are in control of the decisions and deployment of your resources.  Short of liquidating personal assets (which obviously no one wants to do), liquidating the remaining </w:t>
      </w:r>
      <w:proofErr w:type="spellStart"/>
      <w:r w:rsidRPr="00385E50">
        <w:rPr>
          <w:rFonts w:ascii="Aptos" w:eastAsia="Times New Roman" w:hAnsi="Aptos" w:cs="Segoe UI"/>
          <w:color w:val="242424"/>
          <w:sz w:val="24"/>
          <w:szCs w:val="24"/>
          <w:lang w:val="en-US" w:eastAsia="en-CA"/>
        </w:rPr>
        <w:t>Wildeland</w:t>
      </w:r>
      <w:proofErr w:type="spellEnd"/>
      <w:r w:rsidRPr="00385E50">
        <w:rPr>
          <w:rFonts w:ascii="Aptos" w:eastAsia="Times New Roman" w:hAnsi="Aptos" w:cs="Segoe UI"/>
          <w:color w:val="242424"/>
          <w:sz w:val="24"/>
          <w:szCs w:val="24"/>
          <w:lang w:val="en-US" w:eastAsia="en-CA"/>
        </w:rPr>
        <w:t xml:space="preserve"> Properties is the only option you have available to dig out of the financial situation.  The clinic operations alone will not be able to do it quickly enough.  If you fail to act on this debt situation the banks and/or CRA may take more drastic action to reduce their collection risk and in either case, in the extreme, but not unlikely event, you will lose control of the ability to choose the actions taken (vis a vis garnishments of bank accounts and/or seizure and liquidation of assets which are collateralized by the banks, which may include personal assets).  I don’t present this caution lightly and as I have seen it happen to clients before and it can be devastating.</w:t>
      </w:r>
    </w:p>
    <w:p w14:paraId="5C998B3E"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w:t>
      </w:r>
    </w:p>
    <w:p w14:paraId="097FA9BC"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xml:space="preserve">Once the company’s cash flows are stabilized, ideally there is excess cash available </w:t>
      </w:r>
      <w:proofErr w:type="gramStart"/>
      <w:r w:rsidRPr="00385E50">
        <w:rPr>
          <w:rFonts w:ascii="Aptos" w:eastAsia="Times New Roman" w:hAnsi="Aptos" w:cs="Segoe UI"/>
          <w:color w:val="242424"/>
          <w:sz w:val="24"/>
          <w:szCs w:val="24"/>
          <w:lang w:val="en-US" w:eastAsia="en-CA"/>
        </w:rPr>
        <w:t>in order to</w:t>
      </w:r>
      <w:proofErr w:type="gramEnd"/>
      <w:r w:rsidRPr="00385E50">
        <w:rPr>
          <w:rFonts w:ascii="Aptos" w:eastAsia="Times New Roman" w:hAnsi="Aptos" w:cs="Segoe UI"/>
          <w:color w:val="242424"/>
          <w:sz w:val="24"/>
          <w:szCs w:val="24"/>
          <w:lang w:val="en-US" w:eastAsia="en-CA"/>
        </w:rPr>
        <w:t xml:space="preserve"> pay out of the corporate structure to deal with personal commitments.  The sale of the </w:t>
      </w:r>
      <w:proofErr w:type="spellStart"/>
      <w:r w:rsidRPr="00385E50">
        <w:rPr>
          <w:rFonts w:ascii="Aptos" w:eastAsia="Times New Roman" w:hAnsi="Aptos" w:cs="Segoe UI"/>
          <w:color w:val="242424"/>
          <w:sz w:val="24"/>
          <w:szCs w:val="24"/>
          <w:lang w:val="en-US" w:eastAsia="en-CA"/>
        </w:rPr>
        <w:t>Wildeland</w:t>
      </w:r>
      <w:proofErr w:type="spellEnd"/>
      <w:r w:rsidRPr="00385E50">
        <w:rPr>
          <w:rFonts w:ascii="Aptos" w:eastAsia="Times New Roman" w:hAnsi="Aptos" w:cs="Segoe UI"/>
          <w:color w:val="242424"/>
          <w:sz w:val="24"/>
          <w:szCs w:val="24"/>
          <w:lang w:val="en-US" w:eastAsia="en-CA"/>
        </w:rPr>
        <w:t xml:space="preserve"> Properties, as they trigger gains, will give us a mechanism (capital dividends) to get some cash out of the corporate structure tax-free to help settle personal accounts, including personal CRA debts.  I would not recommend the personal CRA debts be prioritized above the corporate situation. If the corporate situation deteriorates the personal situation will become more dire, but if the corporate situation can be resolved, dealing with the personal situation becomes much less difficult to manage.</w:t>
      </w:r>
    </w:p>
    <w:p w14:paraId="019F4D78"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w:t>
      </w:r>
    </w:p>
    <w:p w14:paraId="576BA299"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xml:space="preserve">If there is </w:t>
      </w:r>
      <w:proofErr w:type="gramStart"/>
      <w:r w:rsidRPr="00385E50">
        <w:rPr>
          <w:rFonts w:ascii="Aptos" w:eastAsia="Times New Roman" w:hAnsi="Aptos" w:cs="Segoe UI"/>
          <w:color w:val="242424"/>
          <w:sz w:val="24"/>
          <w:szCs w:val="24"/>
          <w:lang w:val="en-US" w:eastAsia="en-CA"/>
        </w:rPr>
        <w:t>not</w:t>
      </w:r>
      <w:proofErr w:type="gramEnd"/>
      <w:r w:rsidRPr="00385E50">
        <w:rPr>
          <w:rFonts w:ascii="Aptos" w:eastAsia="Times New Roman" w:hAnsi="Aptos" w:cs="Segoe UI"/>
          <w:color w:val="242424"/>
          <w:sz w:val="24"/>
          <w:szCs w:val="24"/>
          <w:lang w:val="en-US" w:eastAsia="en-CA"/>
        </w:rPr>
        <w:t xml:space="preserve"> excess cash available in the corporation then personal assets will need to be used to settle the personal debts, as undesirable as that notion is.</w:t>
      </w:r>
    </w:p>
    <w:p w14:paraId="5749B5A7"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w:t>
      </w:r>
    </w:p>
    <w:p w14:paraId="41CAA674"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Kind regards,</w:t>
      </w:r>
    </w:p>
    <w:p w14:paraId="1660815E"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 </w:t>
      </w:r>
    </w:p>
    <w:p w14:paraId="0F4FA2BB" w14:textId="77777777" w:rsidR="00385E50" w:rsidRPr="00385E50" w:rsidRDefault="00385E50" w:rsidP="00385E50">
      <w:pPr>
        <w:spacing w:after="0" w:line="240" w:lineRule="auto"/>
        <w:textAlignment w:val="baseline"/>
        <w:rPr>
          <w:rFonts w:ascii="Aptos" w:eastAsia="Times New Roman" w:hAnsi="Aptos" w:cs="Segoe UI"/>
          <w:color w:val="242424"/>
          <w:sz w:val="24"/>
          <w:szCs w:val="24"/>
          <w:lang w:val="en-US" w:eastAsia="en-CA"/>
        </w:rPr>
      </w:pPr>
      <w:r w:rsidRPr="00385E50">
        <w:rPr>
          <w:rFonts w:ascii="Aptos" w:eastAsia="Times New Roman" w:hAnsi="Aptos" w:cs="Segoe UI"/>
          <w:color w:val="242424"/>
          <w:sz w:val="24"/>
          <w:szCs w:val="24"/>
          <w:lang w:val="en-US" w:eastAsia="en-CA"/>
        </w:rPr>
        <w:t>Blaise</w:t>
      </w:r>
    </w:p>
    <w:p w14:paraId="7EEFD41D" w14:textId="77777777" w:rsidR="00FC34F7" w:rsidRDefault="00FC34F7"/>
    <w:sectPr w:rsidR="00FC34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E50"/>
    <w:rsid w:val="00020A0B"/>
    <w:rsid w:val="00385E50"/>
    <w:rsid w:val="003A71EF"/>
    <w:rsid w:val="008D73B0"/>
    <w:rsid w:val="009156FF"/>
    <w:rsid w:val="00E15324"/>
    <w:rsid w:val="00EB4BBC"/>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0ABB5"/>
  <w15:chartTrackingRefBased/>
  <w15:docId w15:val="{B2FFAA9F-A389-4C7D-9144-E15E58A59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5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5E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5E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5E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E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5E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5E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5E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5E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5E50"/>
    <w:rPr>
      <w:rFonts w:eastAsiaTheme="majorEastAsia" w:cstheme="majorBidi"/>
      <w:color w:val="272727" w:themeColor="text1" w:themeTint="D8"/>
    </w:rPr>
  </w:style>
  <w:style w:type="paragraph" w:styleId="Title">
    <w:name w:val="Title"/>
    <w:basedOn w:val="Normal"/>
    <w:next w:val="Normal"/>
    <w:link w:val="TitleChar"/>
    <w:uiPriority w:val="10"/>
    <w:qFormat/>
    <w:rsid w:val="0038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5E50"/>
    <w:pPr>
      <w:spacing w:before="160"/>
      <w:jc w:val="center"/>
    </w:pPr>
    <w:rPr>
      <w:i/>
      <w:iCs/>
      <w:color w:val="404040" w:themeColor="text1" w:themeTint="BF"/>
    </w:rPr>
  </w:style>
  <w:style w:type="character" w:customStyle="1" w:styleId="QuoteChar">
    <w:name w:val="Quote Char"/>
    <w:basedOn w:val="DefaultParagraphFont"/>
    <w:link w:val="Quote"/>
    <w:uiPriority w:val="29"/>
    <w:rsid w:val="00385E50"/>
    <w:rPr>
      <w:i/>
      <w:iCs/>
      <w:color w:val="404040" w:themeColor="text1" w:themeTint="BF"/>
    </w:rPr>
  </w:style>
  <w:style w:type="paragraph" w:styleId="ListParagraph">
    <w:name w:val="List Paragraph"/>
    <w:basedOn w:val="Normal"/>
    <w:uiPriority w:val="34"/>
    <w:qFormat/>
    <w:rsid w:val="00385E50"/>
    <w:pPr>
      <w:ind w:left="720"/>
      <w:contextualSpacing/>
    </w:pPr>
  </w:style>
  <w:style w:type="character" w:styleId="IntenseEmphasis">
    <w:name w:val="Intense Emphasis"/>
    <w:basedOn w:val="DefaultParagraphFont"/>
    <w:uiPriority w:val="21"/>
    <w:qFormat/>
    <w:rsid w:val="00385E50"/>
    <w:rPr>
      <w:i/>
      <w:iCs/>
      <w:color w:val="2F5496" w:themeColor="accent1" w:themeShade="BF"/>
    </w:rPr>
  </w:style>
  <w:style w:type="paragraph" w:styleId="IntenseQuote">
    <w:name w:val="Intense Quote"/>
    <w:basedOn w:val="Normal"/>
    <w:next w:val="Normal"/>
    <w:link w:val="IntenseQuoteChar"/>
    <w:uiPriority w:val="30"/>
    <w:qFormat/>
    <w:rsid w:val="00385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5E50"/>
    <w:rPr>
      <w:i/>
      <w:iCs/>
      <w:color w:val="2F5496" w:themeColor="accent1" w:themeShade="BF"/>
    </w:rPr>
  </w:style>
  <w:style w:type="character" w:styleId="IntenseReference">
    <w:name w:val="Intense Reference"/>
    <w:basedOn w:val="DefaultParagraphFont"/>
    <w:uiPriority w:val="32"/>
    <w:qFormat/>
    <w:rsid w:val="00385E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758</Words>
  <Characters>4321</Characters>
  <Application>Microsoft Office Word</Application>
  <DocSecurity>0</DocSecurity>
  <Lines>36</Lines>
  <Paragraphs>10</Paragraphs>
  <ScaleCrop>false</ScaleCrop>
  <Company/>
  <LinksUpToDate>false</LinksUpToDate>
  <CharactersWithSpaces>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3</cp:revision>
  <dcterms:created xsi:type="dcterms:W3CDTF">2026-04-02T14:27:00Z</dcterms:created>
  <dcterms:modified xsi:type="dcterms:W3CDTF">2026-04-02T16:46:00Z</dcterms:modified>
</cp:coreProperties>
</file>