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B0C9" w14:textId="77777777" w:rsidR="00777E0D" w:rsidRDefault="00000000">
      <w:pPr>
        <w:pStyle w:val="Heading1"/>
      </w:pPr>
      <w:r>
        <w:t>Revenue Capture &amp; Price Discipline System</w:t>
      </w:r>
    </w:p>
    <w:p w14:paraId="711BEDBA" w14:textId="77777777" w:rsidR="00777E0D" w:rsidRDefault="00000000">
      <w:r>
        <w:t>A Performance-Based Pricing Optimization Framework for Veterinary Clinics</w:t>
      </w:r>
      <w:r>
        <w:br/>
      </w:r>
      <w:r>
        <w:br/>
        <w:t>EXECUTIVE SUMMARY</w:t>
      </w:r>
      <w:r>
        <w:br/>
        <w:t>Every veterinary clinic experiences revenue leakage — not from poor medicine or missed clients, but from gradual price drift that accumulates over time.</w:t>
      </w:r>
      <w:r>
        <w:br/>
      </w:r>
      <w:r>
        <w:br/>
        <w:t>This proposal introduces a controlled pricing optimization and enforcement system designed to capture revenue already embedded in your existing operations, standardize pricing logic across thousands of SKUs, and prevent future erosion caused by manual edits and overrides.</w:t>
      </w:r>
      <w:r>
        <w:br/>
      </w:r>
      <w:r>
        <w:br/>
        <w:t>Using the clinic’s actual historical invoice data, multiple pricing normalization strategies were modeled to quantify real, measurable revenue impact before any changes are made.</w:t>
      </w:r>
      <w:r>
        <w:br/>
      </w:r>
      <w:r>
        <w:br/>
        <w:t>Baseline Result:</w:t>
      </w:r>
      <w:r>
        <w:br/>
        <w:t>Had a standardized pricing strategy been in place over the past 12 months, the clinic would have generated approximately $25,449 in additional annual revenue — without adding clients, services, or workflow changes.</w:t>
      </w:r>
      <w:r>
        <w:br/>
      </w:r>
      <w:r>
        <w:br/>
        <w:t>This system is conservative by design, fully measurable, reversible, and implemented under a performance-based model so value is delivered before fees are paid.</w:t>
      </w:r>
      <w:r>
        <w:br/>
      </w:r>
    </w:p>
    <w:sectPr w:rsidR="00777E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12777">
    <w:abstractNumId w:val="8"/>
  </w:num>
  <w:num w:numId="2" w16cid:durableId="521091547">
    <w:abstractNumId w:val="6"/>
  </w:num>
  <w:num w:numId="3" w16cid:durableId="1167942833">
    <w:abstractNumId w:val="5"/>
  </w:num>
  <w:num w:numId="4" w16cid:durableId="378549642">
    <w:abstractNumId w:val="4"/>
  </w:num>
  <w:num w:numId="5" w16cid:durableId="1461268387">
    <w:abstractNumId w:val="7"/>
  </w:num>
  <w:num w:numId="6" w16cid:durableId="678190880">
    <w:abstractNumId w:val="3"/>
  </w:num>
  <w:num w:numId="7" w16cid:durableId="1160462997">
    <w:abstractNumId w:val="2"/>
  </w:num>
  <w:num w:numId="8" w16cid:durableId="1296906446">
    <w:abstractNumId w:val="1"/>
  </w:num>
  <w:num w:numId="9" w16cid:durableId="1595281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7E0D"/>
    <w:rsid w:val="00A53FE7"/>
    <w:rsid w:val="00AA1D8D"/>
    <w:rsid w:val="00B47730"/>
    <w:rsid w:val="00C16E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B072E"/>
  <w14:defaultImageDpi w14:val="300"/>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Wilde</cp:lastModifiedBy>
  <cp:revision>2</cp:revision>
  <dcterms:created xsi:type="dcterms:W3CDTF">2026-03-03T19:31:00Z</dcterms:created>
  <dcterms:modified xsi:type="dcterms:W3CDTF">2026-03-03T19:31:00Z</dcterms:modified>
  <cp:category/>
</cp:coreProperties>
</file>