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54"/>
          <w:sz-cs w:val="54"/>
          <w:spacing w:val="0"/>
          <w:color w:val="0E0E0E"/>
        </w:rPr>
        <w:t xml:space="preserve">Core Thinking Notes</w:t>
      </w:r>
      <w:r>
        <w:rPr>
          <w:rFonts w:ascii="Arial" w:hAnsi="Arial" w:cs="Arial"/>
          <w:sz w:val="54"/>
          <w:sz-cs w:val="54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30"/>
          <w:sz-cs w:val="30"/>
          <w:spacing w:val="0"/>
          <w:color w:val="262626"/>
        </w:rPr>
        <w:t xml:space="preserve">Pricing discipline framework for sustainable revenue capture and margin protection.</w:t>
      </w:r>
      <w:r>
        <w:rPr>
          <w:rFonts w:ascii="Arial" w:hAnsi="Arial" w:cs="Arial"/>
          <w:sz w:val="30"/>
          <w:sz-cs w:val="30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  <w:color w:val="878787"/>
        </w:rPr>
        <w:t xml:space="preserve">Editable template. Open in Word or browser, then edit title/subtitle text.</w:t>
      </w:r>
      <w:r>
        <w:rPr>
          <w:rFonts w:ascii="Arial" w:hAnsi="Arial" w:cs="Arial"/>
          <w:sz w:val="20"/>
          <w:sz-cs w:val="20"/>
          <w:spacing w:val="0"/>
          <w:color w:val="878787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