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232C39"/>
        </w:rPr>
        <w:t xml:space="preserve"/>
      </w:r>
      <w:r>
        <w:rPr>
          <w:rFonts w:ascii="Arial" w:hAnsi="Arial" w:cs="Arial"/>
          <w:sz w:val="24"/>
          <w:sz-cs w:val="24"/>
          <w:spacing w:val="0"/>
          <w:color w:val="232C39"/>
        </w:rPr>
        <w:t xml:space="preserve"/>
      </w:r>
    </w:p>
    <w:p>
      <w:pPr>
        <w:jc w:val="center"/>
      </w:pPr>
      <w:r>
        <w:rPr>
          <w:rFonts w:ascii="Arial" w:hAnsi="Arial" w:cs="Arial"/>
          <w:sz w:val="17"/>
          <w:sz-cs w:val="17"/>
          <w:b/>
          <w:spacing w:val="0"/>
          <w:color w:val="5F6979"/>
        </w:rPr>
        <w:t xml:space="preserve">FEATURE GUIDE</w:t>
      </w:r>
      <w:r>
        <w:rPr>
          <w:rFonts w:ascii="Arial" w:hAnsi="Arial" w:cs="Arial"/>
          <w:sz w:val="17"/>
          <w:sz-cs w:val="17"/>
          <w:b/>
          <w:spacing w:val="0"/>
          <w:color w:val="5F6979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spacing w:val="0"/>
          <w:color w:val="232C39"/>
        </w:rPr>
        <w:t xml:space="preserve"/>
      </w:r>
    </w:p>
    <w:p>
      <w:pPr>
        <w:jc w:val="center"/>
      </w:pPr>
      <w:r>
        <w:rPr>
          <w:rFonts w:ascii="Arial" w:hAnsi="Arial" w:cs="Arial"/>
          <w:sz w:val="62"/>
          <w:sz-cs w:val="62"/>
          <w:b/>
          <w:spacing w:val="0"/>
          <w:color w:val="252C3A"/>
        </w:rPr>
        <w:t xml:space="preserve">Dashboard v1.3</w:t>
      </w:r>
      <w:r>
        <w:rPr>
          <w:rFonts w:ascii="Arial" w:hAnsi="Arial" w:cs="Arial"/>
          <w:sz w:val="62"/>
          <w:sz-cs w:val="62"/>
          <w:b/>
          <w:spacing w:val="0"/>
          <w:color w:val="252C3A"/>
        </w:rPr>
        <w:t xml:space="preserve"/>
      </w:r>
    </w:p>
    <w:p>
      <w:pPr>
        <w:jc w:val="center"/>
      </w:pPr>
      <w:r>
        <w:rPr>
          <w:rFonts w:ascii="Arial" w:hAnsi="Arial" w:cs="Arial"/>
          <w:sz w:val="30"/>
          <w:sz-cs w:val="30"/>
          <w:b/>
          <w:spacing w:val="0"/>
          <w:color w:val="3B4350"/>
        </w:rPr>
        <w:t xml:space="preserve">Complete Platform Directory</w:t>
      </w:r>
      <w:r>
        <w:rPr>
          <w:rFonts w:ascii="Arial" w:hAnsi="Arial" w:cs="Arial"/>
          <w:sz w:val="30"/>
          <w:sz-cs w:val="30"/>
          <w:b/>
          <w:spacing w:val="0"/>
          <w:color w:val="3B4350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spacing w:val="0"/>
          <w:color w:val="5E6775"/>
        </w:rPr>
        <w:t xml:space="preserve">A visual walkthrough of every feature in the Vet INC Business Dashboard. From real-time revenue tracking to AI-powered pricing recommendations.</w:t>
      </w:r>
      <w:r>
        <w:rPr>
          <w:rFonts w:ascii="Arial" w:hAnsi="Arial" w:cs="Arial"/>
          <w:sz w:val="21"/>
          <w:sz-cs w:val="21"/>
          <w:spacing w:val="0"/>
          <w:color w:val="5E6775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spacing w:val="0"/>
          <w:color w:val="77808F"/>
        </w:rPr>
        <w:t xml:space="preserve">April 2026</w:t>
      </w:r>
      <w:r>
        <w:rPr>
          <w:rFonts w:ascii="Arial" w:hAnsi="Arial" w:cs="Arial"/>
          <w:sz w:val="18"/>
          <w:sz-cs w:val="18"/>
          <w:spacing w:val="0"/>
          <w:color w:val="77808F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spacing w:val="0"/>
          <w:color w:val="77808F"/>
        </w:rPr>
        <w:t xml:space="preserve">Vet INC</w:t>
      </w:r>
      <w:r>
        <w:rPr>
          <w:rFonts w:ascii="Arial" w:hAnsi="Arial" w:cs="Arial"/>
          <w:sz w:val="18"/>
          <w:sz-cs w:val="18"/>
          <w:spacing w:val="0"/>
          <w:color w:val="77808F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