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4"/>
          <w:sz-cs w:val="24"/>
          <w:spacing w:val="0"/>
          <w:color w:val="4D5665"/>
        </w:rPr>
        <w:t xml:space="preserve"/>
      </w:r>
    </w:p>
    <w:p>
      <w:pPr/>
      <w:r>
        <w:rPr>
          <w:rFonts w:ascii="Arial" w:hAnsi="Arial" w:cs="Arial"/>
          <w:sz w:val="60"/>
          <w:sz-cs w:val="60"/>
          <w:b/>
          <w:spacing w:val="0"/>
          <w:color w:val="235294"/>
        </w:rPr>
        <w:t xml:space="preserve">VET </w:t>
      </w:r>
      <w:r>
        <w:rPr>
          <w:rFonts w:ascii="Arial" w:hAnsi="Arial" w:cs="Arial"/>
          <w:sz w:val="60"/>
          <w:sz-cs w:val="60"/>
          <w:b/>
          <w:spacing w:val="0"/>
          <w:color w:val="4C7EBB"/>
        </w:rPr>
        <w:t xml:space="preserve">INC.</w:t>
      </w:r>
      <w:r>
        <w:rPr>
          <w:rFonts w:ascii="Arial" w:hAnsi="Arial" w:cs="Arial"/>
          <w:sz w:val="60"/>
          <w:sz-cs w:val="60"/>
          <w:b/>
          <w:spacing w:val="0"/>
          <w:color w:val="235294"/>
        </w:rPr>
        <w:t xml:space="preserve"/>
      </w:r>
    </w:p>
    <w:p>
      <w:pPr>
        <w:jc w:val="center"/>
      </w:pPr>
      <w:r>
        <w:rPr>
          <w:rFonts w:ascii="Arial" w:hAnsi="Arial" w:cs="Arial"/>
          <w:sz w:val="56"/>
          <w:sz-cs w:val="56"/>
          <w:spacing w:val="0"/>
          <w:color w:val="535D6F"/>
        </w:rPr>
        <w:t xml:space="preserve">Core Thinking Notes</w:t>
      </w:r>
      <w:r>
        <w:rPr>
          <w:rFonts w:ascii="Arial" w:hAnsi="Arial" w:cs="Arial"/>
          <w:sz w:val="56"/>
          <w:sz-cs w:val="56"/>
          <w:spacing w:val="0"/>
          <w:color w:val="535D6F"/>
        </w:rPr>
        <w:t xml:space="preserve"/>
      </w:r>
    </w:p>
    <w:p>
      <w:pPr>
        <w:jc w:val="center"/>
      </w:pPr>
      <w:r>
        <w:rPr>
          <w:rFonts w:ascii="Arial" w:hAnsi="Arial" w:cs="Arial"/>
          <w:sz w:val="30"/>
          <w:sz-cs w:val="30"/>
          <w:spacing w:val="0"/>
          <w:color w:val="67707E"/>
        </w:rPr>
        <w:t xml:space="preserve">Pricing discipline framework for sustainable revenue capture and margin protection.</w:t>
      </w:r>
      <w:r>
        <w:rPr>
          <w:rFonts w:ascii="Arial" w:hAnsi="Arial" w:cs="Arial"/>
          <w:sz w:val="30"/>
          <w:sz-cs w:val="30"/>
          <w:spacing w:val="0"/>
          <w:color w:val="67707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67707E"/>
        </w:rPr>
        <w:t xml:space="preserve">A visual walkthrough of every feature in the Vet INC Business Dashboard. From real-time revenue tracking to AI-powered pricing recommendations.</w:t>
      </w:r>
      <w:r>
        <w:rPr>
          <w:rFonts w:ascii="Arial" w:hAnsi="Arial" w:cs="Arial"/>
          <w:sz w:val="28"/>
          <w:sz-cs w:val="28"/>
          <w:spacing w:val="0"/>
          <w:color w:val="67707E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777F8F"/>
        </w:rPr>
        <w:t xml:space="preserve">April 2026</w:t>
      </w:r>
      <w:r>
        <w:rPr>
          <w:rFonts w:ascii="Arial" w:hAnsi="Arial" w:cs="Arial"/>
          <w:sz w:val="22"/>
          <w:sz-cs w:val="22"/>
          <w:spacing w:val="0"/>
          <w:color w:val="777F8F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777F8F"/>
        </w:rPr>
        <w:t xml:space="preserve">Vet INC</w:t>
      </w:r>
      <w:r>
        <w:rPr>
          <w:rFonts w:ascii="Arial" w:hAnsi="Arial" w:cs="Arial"/>
          <w:sz w:val="22"/>
          <w:sz-cs w:val="22"/>
          <w:spacing w:val="0"/>
          <w:color w:val="777F8F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