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5D1B8" w14:textId="77777777" w:rsidR="00EB4FFA" w:rsidRDefault="00EB4FFA" w:rsidP="00EB4FFA">
      <w:pPr>
        <w:pStyle w:val="Heading2"/>
        <w:rPr>
          <w:rFonts w:eastAsia="Times New Roman"/>
        </w:rPr>
      </w:pPr>
      <w:r>
        <w:rPr>
          <w:rFonts w:eastAsia="Times New Roman"/>
        </w:rPr>
        <w:t>Alberta Employment Law: Your Obligations for an Employee Returning from Extended Medical Leave</w:t>
      </w:r>
    </w:p>
    <w:p w14:paraId="436B2F59" w14:textId="77777777" w:rsidR="00EB4FFA" w:rsidRDefault="00EB4FFA" w:rsidP="00EB4FFA">
      <w:pPr>
        <w:pStyle w:val="my-2"/>
      </w:pPr>
      <w:r>
        <w:t>Based on Kelly Gagnon's situation, this is a complex matter that requires careful legal consideration. Here's what you need to know about your obligations and options under Alberta employment law.</w:t>
      </w:r>
    </w:p>
    <w:p w14:paraId="02044952" w14:textId="77777777" w:rsidR="00EB4FFA" w:rsidRDefault="00EB4FFA" w:rsidP="00EB4FFA">
      <w:pPr>
        <w:pStyle w:val="Heading2"/>
        <w:rPr>
          <w:rFonts w:eastAsia="Times New Roman"/>
        </w:rPr>
      </w:pPr>
      <w:r>
        <w:rPr>
          <w:rFonts w:eastAsia="Times New Roman"/>
        </w:rPr>
        <w:t>The Legal Framework: Job-Protected Leave Periods</w:t>
      </w:r>
    </w:p>
    <w:p w14:paraId="797D760C" w14:textId="77777777" w:rsidR="00EB4FFA" w:rsidRDefault="00EB4FFA" w:rsidP="00EB4FFA">
      <w:pPr>
        <w:pStyle w:val="my-2"/>
      </w:pPr>
      <w:r>
        <w:t>Under Alberta's Employment Standards Code, employees are entitled to </w:t>
      </w:r>
      <w:r>
        <w:rPr>
          <w:rStyle w:val="Strong"/>
        </w:rPr>
        <w:t>job-protected long-term illness and injury leave</w:t>
      </w:r>
      <w:r>
        <w:t>. As of January 1, 2026, this protection was extended from 16 weeks to </w:t>
      </w:r>
      <w:r>
        <w:rPr>
          <w:rStyle w:val="Strong"/>
        </w:rPr>
        <w:t xml:space="preserve">27 weeks per calendar </w:t>
      </w:r>
      <w:proofErr w:type="gramStart"/>
      <w:r>
        <w:rPr>
          <w:rStyle w:val="Strong"/>
        </w:rPr>
        <w:t>year</w:t>
      </w:r>
      <w:r>
        <w:t>.</w:t>
      </w:r>
      <w:r>
        <w:rPr>
          <w:rStyle w:val="relative"/>
        </w:rPr>
        <w:t>alberta</w:t>
      </w:r>
      <w:proofErr w:type="gramEnd"/>
      <w:r>
        <w:rPr>
          <w:rStyle w:val="opacity-50"/>
        </w:rPr>
        <w:t>+4</w:t>
      </w:r>
      <w:r>
        <w:rPr>
          <w:rStyle w:val="inline-flex"/>
          <w:rFonts w:ascii="Arial" w:hAnsi="Arial" w:cs="Arial"/>
        </w:rPr>
        <w:t>​</w:t>
      </w:r>
    </w:p>
    <w:p w14:paraId="5D26B175" w14:textId="77777777" w:rsidR="00EB4FFA" w:rsidRDefault="00EB4FFA" w:rsidP="00EB4FFA">
      <w:pPr>
        <w:pStyle w:val="my-2"/>
      </w:pPr>
      <w:r>
        <w:t>Since Kelly left in June 2025 and is planning to return April 1, 2026, you need to calculate whether she remains within the protected leave period:</w:t>
      </w:r>
    </w:p>
    <w:p w14:paraId="3072B317" w14:textId="77777777" w:rsidR="00EB4FFA" w:rsidRDefault="00EB4FFA" w:rsidP="00EB4FFA">
      <w:pPr>
        <w:pStyle w:val="my-2"/>
        <w:numPr>
          <w:ilvl w:val="0"/>
          <w:numId w:val="1"/>
        </w:numPr>
      </w:pPr>
      <w:r>
        <w:t>Her leave from June 2025 would have entitled her to 16 weeks of job protection for calendar year 2025</w:t>
      </w:r>
    </w:p>
    <w:p w14:paraId="3B4D4E2D" w14:textId="77777777" w:rsidR="00EB4FFA" w:rsidRDefault="00EB4FFA" w:rsidP="00EB4FFA">
      <w:pPr>
        <w:pStyle w:val="my-2"/>
        <w:numPr>
          <w:ilvl w:val="0"/>
          <w:numId w:val="1"/>
        </w:numPr>
      </w:pPr>
      <w:r>
        <w:t>On January 1, 2026, she became eligible for an additional 27 weeks of job protection for calendar year 2026</w:t>
      </w:r>
      <w:r>
        <w:rPr>
          <w:rStyle w:val="relative"/>
        </w:rPr>
        <w:t>bennettjones</w:t>
      </w:r>
      <w:r>
        <w:rPr>
          <w:rStyle w:val="opacity-50"/>
        </w:rPr>
        <w:t>+2</w:t>
      </w:r>
      <w:r>
        <w:rPr>
          <w:rStyle w:val="inline-flex"/>
          <w:rFonts w:ascii="Arial" w:hAnsi="Arial" w:cs="Arial"/>
        </w:rPr>
        <w:t>​</w:t>
      </w:r>
    </w:p>
    <w:p w14:paraId="1FBCDF81" w14:textId="77777777" w:rsidR="00EB4FFA" w:rsidRDefault="00EB4FFA" w:rsidP="00EB4FFA">
      <w:pPr>
        <w:pStyle w:val="my-2"/>
        <w:numPr>
          <w:ilvl w:val="0"/>
          <w:numId w:val="1"/>
        </w:numPr>
      </w:pPr>
      <w:r>
        <w:t>If she started leave in June 2025 and returns April 1, 2026, this spans approximately 10 months</w:t>
      </w:r>
    </w:p>
    <w:p w14:paraId="2BD71275" w14:textId="77777777" w:rsidR="00EB4FFA" w:rsidRDefault="00EB4FFA" w:rsidP="00EB4FFA">
      <w:pPr>
        <w:pStyle w:val="my-2"/>
      </w:pPr>
      <w:r>
        <w:rPr>
          <w:rStyle w:val="Strong"/>
        </w:rPr>
        <w:t>Critical point</w:t>
      </w:r>
      <w:r>
        <w:t xml:space="preserve">: The 27-week periods reset each calendar year. Kelly's continuous absence from June 2025 through April 2026 would use her 2025 entitlement and extend into her 2026 </w:t>
      </w:r>
      <w:proofErr w:type="gramStart"/>
      <w:r>
        <w:t>entitlement.</w:t>
      </w:r>
      <w:r>
        <w:rPr>
          <w:rStyle w:val="relative"/>
        </w:rPr>
        <w:t>mathewsdinsdale</w:t>
      </w:r>
      <w:proofErr w:type="gramEnd"/>
      <w:r>
        <w:rPr>
          <w:rStyle w:val="opacity-50"/>
        </w:rPr>
        <w:t>+1</w:t>
      </w:r>
      <w:r>
        <w:rPr>
          <w:rStyle w:val="inline-flex"/>
          <w:rFonts w:ascii="Arial" w:hAnsi="Arial" w:cs="Arial"/>
        </w:rPr>
        <w:t>​</w:t>
      </w:r>
    </w:p>
    <w:p w14:paraId="74EBEDFD" w14:textId="77777777" w:rsidR="00EB4FFA" w:rsidRDefault="00EB4FFA" w:rsidP="00EB4FFA">
      <w:pPr>
        <w:pStyle w:val="Heading2"/>
        <w:rPr>
          <w:rFonts w:eastAsia="Times New Roman"/>
        </w:rPr>
      </w:pPr>
      <w:r>
        <w:rPr>
          <w:rFonts w:eastAsia="Times New Roman"/>
        </w:rPr>
        <w:t>What You Are NOT Obligated to Do</w:t>
      </w:r>
    </w:p>
    <w:p w14:paraId="1A15FACC" w14:textId="77777777" w:rsidR="00EB4FFA" w:rsidRDefault="00EB4FFA" w:rsidP="00EB4FFA">
      <w:pPr>
        <w:pStyle w:val="my-2"/>
      </w:pPr>
      <w:r>
        <w:t>You are </w:t>
      </w:r>
      <w:r>
        <w:rPr>
          <w:rStyle w:val="Strong"/>
        </w:rPr>
        <w:t>not automatically required to rehire Kelly</w:t>
      </w:r>
      <w:r>
        <w:t> if:</w:t>
      </w:r>
    </w:p>
    <w:p w14:paraId="58432F90" w14:textId="77777777" w:rsidR="00EB4FFA" w:rsidRDefault="00EB4FFA" w:rsidP="00EB4FFA">
      <w:pPr>
        <w:pStyle w:val="my-2"/>
        <w:numPr>
          <w:ilvl w:val="0"/>
          <w:numId w:val="2"/>
        </w:numPr>
      </w:pPr>
      <w:r>
        <w:rPr>
          <w:rStyle w:val="Strong"/>
        </w:rPr>
        <w:t>Her job-protected leave period has expired</w:t>
      </w:r>
      <w:r>
        <w:t xml:space="preserve">: Once the statutory protection periods end, employers are not obligated under the Employment Standards Code to hold the position </w:t>
      </w:r>
      <w:proofErr w:type="gramStart"/>
      <w:r>
        <w:t>indefinitely.</w:t>
      </w:r>
      <w:r>
        <w:rPr>
          <w:rStyle w:val="relative"/>
        </w:rPr>
        <w:t>tjworkplacelaw</w:t>
      </w:r>
      <w:proofErr w:type="gramEnd"/>
      <w:r>
        <w:rPr>
          <w:rStyle w:val="opacity-50"/>
        </w:rPr>
        <w:t>+1</w:t>
      </w:r>
      <w:r>
        <w:rPr>
          <w:rStyle w:val="inline-flex"/>
          <w:rFonts w:ascii="Arial" w:hAnsi="Arial" w:cs="Arial"/>
        </w:rPr>
        <w:t>​</w:t>
      </w:r>
    </w:p>
    <w:p w14:paraId="24847DC8" w14:textId="77777777" w:rsidR="00EB4FFA" w:rsidRDefault="00EB4FFA" w:rsidP="00EB4FFA">
      <w:pPr>
        <w:pStyle w:val="my-2"/>
        <w:numPr>
          <w:ilvl w:val="0"/>
          <w:numId w:val="2"/>
        </w:numPr>
      </w:pPr>
      <w:r>
        <w:rPr>
          <w:rStyle w:val="Strong"/>
        </w:rPr>
        <w:t>The position no longer exists</w:t>
      </w:r>
      <w:r>
        <w:t xml:space="preserve">: If legitimate business restructuring has eliminated her specific position, you may not have an obligation to reinstate her, provided this was not done to avoid accommodating her medical </w:t>
      </w:r>
      <w:proofErr w:type="spellStart"/>
      <w:r>
        <w:t>needs.</w:t>
      </w:r>
      <w:hyperlink r:id="rId5" w:tgtFrame="_blank" w:history="1">
        <w:r>
          <w:rPr>
            <w:rStyle w:val="relative"/>
            <w:color w:val="0000FF"/>
            <w:u w:val="single"/>
          </w:rPr>
          <w:t>monkhouselaw</w:t>
        </w:r>
        <w:proofErr w:type="spellEnd"/>
      </w:hyperlink>
      <w:r>
        <w:rPr>
          <w:rStyle w:val="inline-flex"/>
          <w:rFonts w:ascii="Arial" w:hAnsi="Arial" w:cs="Arial"/>
        </w:rPr>
        <w:t>​</w:t>
      </w:r>
    </w:p>
    <w:p w14:paraId="09DA2CAA" w14:textId="77777777" w:rsidR="00EB4FFA" w:rsidRDefault="00EB4FFA" w:rsidP="00EB4FFA">
      <w:pPr>
        <w:pStyle w:val="my-2"/>
        <w:numPr>
          <w:ilvl w:val="0"/>
          <w:numId w:val="2"/>
        </w:numPr>
      </w:pPr>
      <w:r>
        <w:rPr>
          <w:rStyle w:val="Strong"/>
        </w:rPr>
        <w:t>She formally resigned or the contract was frustrated</w:t>
      </w:r>
      <w:r>
        <w:t xml:space="preserve">: However, based on your description, neither of these appears to apply—she simply continued providing medical </w:t>
      </w:r>
      <w:proofErr w:type="gramStart"/>
      <w:r>
        <w:t>notes.</w:t>
      </w:r>
      <w:r>
        <w:rPr>
          <w:rStyle w:val="relative"/>
        </w:rPr>
        <w:t>osujismith</w:t>
      </w:r>
      <w:proofErr w:type="gramEnd"/>
      <w:r>
        <w:rPr>
          <w:rStyle w:val="opacity-50"/>
        </w:rPr>
        <w:t>+1</w:t>
      </w:r>
      <w:r>
        <w:rPr>
          <w:rStyle w:val="inline-flex"/>
          <w:rFonts w:ascii="Arial" w:hAnsi="Arial" w:cs="Arial"/>
        </w:rPr>
        <w:t>​</w:t>
      </w:r>
    </w:p>
    <w:p w14:paraId="11F0226B" w14:textId="77777777" w:rsidR="00EB4FFA" w:rsidRDefault="00EB4FFA" w:rsidP="00EB4FFA">
      <w:pPr>
        <w:pStyle w:val="Heading2"/>
        <w:rPr>
          <w:rFonts w:eastAsia="Times New Roman"/>
        </w:rPr>
      </w:pPr>
      <w:r>
        <w:rPr>
          <w:rFonts w:eastAsia="Times New Roman"/>
        </w:rPr>
        <w:lastRenderedPageBreak/>
        <w:t>What You ARE Obligated to Consider: Human Rights Law</w:t>
      </w:r>
    </w:p>
    <w:p w14:paraId="4465203D" w14:textId="77777777" w:rsidR="00EB4FFA" w:rsidRDefault="00EB4FFA" w:rsidP="00EB4FFA">
      <w:pPr>
        <w:pStyle w:val="my-2"/>
      </w:pPr>
      <w:r>
        <w:rPr>
          <w:rStyle w:val="Strong"/>
        </w:rPr>
        <w:t>This is where your situation becomes more complex</w:t>
      </w:r>
      <w:r>
        <w:t xml:space="preserve">. Alberta Human Rights law extends beyond Employment Standards </w:t>
      </w:r>
      <w:proofErr w:type="gramStart"/>
      <w:r>
        <w:t>protections.</w:t>
      </w:r>
      <w:r>
        <w:rPr>
          <w:rStyle w:val="relative"/>
        </w:rPr>
        <w:t>albertahumanrights</w:t>
      </w:r>
      <w:proofErr w:type="gramEnd"/>
      <w:r>
        <w:rPr>
          <w:rStyle w:val="opacity-50"/>
        </w:rPr>
        <w:t>+2</w:t>
      </w:r>
      <w:r>
        <w:rPr>
          <w:rStyle w:val="inline-flex"/>
          <w:rFonts w:ascii="Arial" w:hAnsi="Arial" w:cs="Arial"/>
        </w:rPr>
        <w:t>​</w:t>
      </w:r>
    </w:p>
    <w:p w14:paraId="769294EE" w14:textId="77777777" w:rsidR="00EB4FFA" w:rsidRDefault="00EB4FFA" w:rsidP="00EB4FFA">
      <w:pPr>
        <w:pStyle w:val="my-2"/>
      </w:pPr>
      <w:r>
        <w:t>Under the Alberta Human Rights Act, if Kelly's medical condition constitutes a </w:t>
      </w:r>
      <w:r>
        <w:rPr>
          <w:rStyle w:val="Strong"/>
        </w:rPr>
        <w:t>disability</w:t>
      </w:r>
      <w:r>
        <w:t>, you have a </w:t>
      </w:r>
      <w:r>
        <w:rPr>
          <w:rStyle w:val="Strong"/>
        </w:rPr>
        <w:t>duty to accommodate her to the point of undue hardship</w:t>
      </w:r>
      <w:r>
        <w:t xml:space="preserve">, which may require holding her position beyond the statutory 27 </w:t>
      </w:r>
      <w:proofErr w:type="gramStart"/>
      <w:r>
        <w:t>weeks.</w:t>
      </w:r>
      <w:r>
        <w:rPr>
          <w:rStyle w:val="relative"/>
        </w:rPr>
        <w:t>stlawyers</w:t>
      </w:r>
      <w:proofErr w:type="gramEnd"/>
      <w:r>
        <w:rPr>
          <w:rStyle w:val="opacity-50"/>
        </w:rPr>
        <w:t>+3</w:t>
      </w:r>
      <w:r>
        <w:rPr>
          <w:rStyle w:val="inline-flex"/>
          <w:rFonts w:ascii="Arial" w:hAnsi="Arial" w:cs="Arial"/>
        </w:rPr>
        <w:t>​</w:t>
      </w:r>
    </w:p>
    <w:p w14:paraId="70686751" w14:textId="77777777" w:rsidR="00EB4FFA" w:rsidRDefault="00EB4FFA" w:rsidP="00EB4FFA">
      <w:pPr>
        <w:pStyle w:val="my-2"/>
      </w:pPr>
      <w:r>
        <w:t>Key considerations include:</w:t>
      </w:r>
    </w:p>
    <w:p w14:paraId="70508E2D" w14:textId="77777777" w:rsidR="00EB4FFA" w:rsidRDefault="00EB4FFA" w:rsidP="00EB4FFA">
      <w:pPr>
        <w:pStyle w:val="my-2"/>
        <w:numPr>
          <w:ilvl w:val="0"/>
          <w:numId w:val="3"/>
        </w:numPr>
      </w:pPr>
      <w:r>
        <w:rPr>
          <w:rStyle w:val="Strong"/>
        </w:rPr>
        <w:t>Undue hardship has a high legal threshold</w:t>
      </w:r>
      <w:r>
        <w:t>: Minor inconvenience, operational preferences, or staffing challenges typically don't meet this standard</w:t>
      </w:r>
      <w:r>
        <w:rPr>
          <w:rStyle w:val="relative"/>
        </w:rPr>
        <w:t>stlawyers</w:t>
      </w:r>
      <w:r>
        <w:rPr>
          <w:rStyle w:val="opacity-50"/>
        </w:rPr>
        <w:t>+2</w:t>
      </w:r>
      <w:r>
        <w:rPr>
          <w:rStyle w:val="inline-flex"/>
          <w:rFonts w:ascii="Arial" w:hAnsi="Arial" w:cs="Arial"/>
        </w:rPr>
        <w:t>​</w:t>
      </w:r>
    </w:p>
    <w:p w14:paraId="5D6B4902" w14:textId="77777777" w:rsidR="00EB4FFA" w:rsidRDefault="00EB4FFA" w:rsidP="00EB4FFA">
      <w:pPr>
        <w:pStyle w:val="my-2"/>
        <w:numPr>
          <w:ilvl w:val="0"/>
          <w:numId w:val="3"/>
        </w:numPr>
      </w:pPr>
      <w:r>
        <w:rPr>
          <w:rStyle w:val="Strong"/>
        </w:rPr>
        <w:t>You must demonstrate genuine accommodation efforts</w:t>
      </w:r>
      <w:r>
        <w:t>: This includes exploring modified duties, different positions, flexible arrangements, or other reasonable options</w:t>
      </w:r>
      <w:r>
        <w:rPr>
          <w:rStyle w:val="relative"/>
        </w:rPr>
        <w:t>cashionlegal</w:t>
      </w:r>
      <w:r>
        <w:rPr>
          <w:rStyle w:val="opacity-50"/>
        </w:rPr>
        <w:t>+1</w:t>
      </w:r>
      <w:r>
        <w:rPr>
          <w:rStyle w:val="inline-flex"/>
          <w:rFonts w:ascii="Arial" w:hAnsi="Arial" w:cs="Arial"/>
        </w:rPr>
        <w:t>​</w:t>
      </w:r>
    </w:p>
    <w:p w14:paraId="77DCCAE2" w14:textId="77777777" w:rsidR="00EB4FFA" w:rsidRDefault="00EB4FFA" w:rsidP="00EB4FFA">
      <w:pPr>
        <w:pStyle w:val="my-2"/>
        <w:numPr>
          <w:ilvl w:val="0"/>
          <w:numId w:val="3"/>
        </w:numPr>
      </w:pPr>
      <w:r>
        <w:rPr>
          <w:rStyle w:val="Strong"/>
        </w:rPr>
        <w:t>Medical evidence is critical</w:t>
      </w:r>
      <w:r>
        <w:t>: You have the right to request updated medical information about her functional limitations and ability to return to work</w:t>
      </w:r>
      <w:r>
        <w:rPr>
          <w:rStyle w:val="relative"/>
        </w:rPr>
        <w:t>tjworkplacelaw</w:t>
      </w:r>
      <w:r>
        <w:rPr>
          <w:rStyle w:val="opacity-50"/>
        </w:rPr>
        <w:t>+2</w:t>
      </w:r>
      <w:r>
        <w:rPr>
          <w:rStyle w:val="inline-flex"/>
          <w:rFonts w:ascii="Arial" w:hAnsi="Arial" w:cs="Arial"/>
        </w:rPr>
        <w:t>​</w:t>
      </w:r>
    </w:p>
    <w:p w14:paraId="6C603549" w14:textId="77777777" w:rsidR="00EB4FFA" w:rsidRDefault="00EB4FFA" w:rsidP="00EB4FFA">
      <w:pPr>
        <w:pStyle w:val="Heading2"/>
        <w:rPr>
          <w:rFonts w:eastAsia="Times New Roman"/>
        </w:rPr>
      </w:pPr>
      <w:r>
        <w:rPr>
          <w:rFonts w:eastAsia="Times New Roman"/>
        </w:rPr>
        <w:t>The ROE Issue</w:t>
      </w:r>
    </w:p>
    <w:p w14:paraId="41E93505" w14:textId="77777777" w:rsidR="00EB4FFA" w:rsidRDefault="00EB4FFA" w:rsidP="00EB4FFA">
      <w:pPr>
        <w:pStyle w:val="my-2"/>
      </w:pPr>
      <w:r>
        <w:t>The fact that Kelly likely received an ROE to collect EI benefits does </w:t>
      </w:r>
      <w:r>
        <w:rPr>
          <w:rStyle w:val="Strong"/>
        </w:rPr>
        <w:t>not terminate the employment relationship</w:t>
      </w:r>
      <w:r>
        <w:t xml:space="preserve">. An ROE must be issued whenever there's an interruption of earnings, including unpaid medical leave. Employees can receive an ROE and still be considered </w:t>
      </w:r>
      <w:proofErr w:type="gramStart"/>
      <w:r>
        <w:t>employed.</w:t>
      </w:r>
      <w:r>
        <w:rPr>
          <w:rStyle w:val="relative"/>
        </w:rPr>
        <w:t>stlawyers</w:t>
      </w:r>
      <w:proofErr w:type="gramEnd"/>
      <w:r>
        <w:rPr>
          <w:rStyle w:val="opacity-50"/>
        </w:rPr>
        <w:t>+4</w:t>
      </w:r>
      <w:r>
        <w:rPr>
          <w:rStyle w:val="inline-flex"/>
          <w:rFonts w:ascii="Arial" w:hAnsi="Arial" w:cs="Arial"/>
        </w:rPr>
        <w:t>​</w:t>
      </w:r>
    </w:p>
    <w:p w14:paraId="2AA3D244" w14:textId="77777777" w:rsidR="00EB4FFA" w:rsidRDefault="00EB4FFA" w:rsidP="00EB4FFA">
      <w:pPr>
        <w:pStyle w:val="Heading2"/>
        <w:rPr>
          <w:rFonts w:eastAsia="Times New Roman"/>
        </w:rPr>
      </w:pPr>
      <w:r>
        <w:rPr>
          <w:rFonts w:eastAsia="Times New Roman"/>
        </w:rPr>
        <w:t>Practical Options and Risks</w:t>
      </w:r>
    </w:p>
    <w:p w14:paraId="69C63F2F" w14:textId="77777777" w:rsidR="00EB4FFA" w:rsidRDefault="00EB4FFA" w:rsidP="00EB4FFA">
      <w:pPr>
        <w:pStyle w:val="my-2"/>
      </w:pPr>
      <w:r>
        <w:rPr>
          <w:rStyle w:val="Strong"/>
        </w:rPr>
        <w:t>Option 1: Refuse reinstatement (Higher Risk)</w:t>
      </w:r>
    </w:p>
    <w:p w14:paraId="7572EF06" w14:textId="77777777" w:rsidR="00EB4FFA" w:rsidRDefault="00EB4FFA" w:rsidP="00EB4FFA">
      <w:pPr>
        <w:pStyle w:val="my-2"/>
      </w:pPr>
      <w:r>
        <w:t>If you simply refuse to rehire her, you face significant legal risks:</w:t>
      </w:r>
    </w:p>
    <w:p w14:paraId="5548AA2C" w14:textId="77777777" w:rsidR="00EB4FFA" w:rsidRDefault="00EB4FFA" w:rsidP="00EB4FFA">
      <w:pPr>
        <w:pStyle w:val="my-2"/>
        <w:numPr>
          <w:ilvl w:val="0"/>
          <w:numId w:val="4"/>
        </w:numPr>
      </w:pPr>
      <w:r>
        <w:rPr>
          <w:rStyle w:val="Strong"/>
        </w:rPr>
        <w:t>Human rights complaint</w:t>
      </w:r>
      <w:r>
        <w:t>: She could file a complaint alleging discrimination based on disability</w:t>
      </w:r>
      <w:r>
        <w:rPr>
          <w:rStyle w:val="relative"/>
        </w:rPr>
        <w:t>lypkielaw</w:t>
      </w:r>
      <w:r>
        <w:rPr>
          <w:rStyle w:val="opacity-50"/>
        </w:rPr>
        <w:t>+2</w:t>
      </w:r>
      <w:r>
        <w:rPr>
          <w:rStyle w:val="inline-flex"/>
          <w:rFonts w:ascii="Arial" w:hAnsi="Arial" w:cs="Arial"/>
        </w:rPr>
        <w:t>​</w:t>
      </w:r>
    </w:p>
    <w:p w14:paraId="5FB53086" w14:textId="77777777" w:rsidR="00EB4FFA" w:rsidRDefault="00EB4FFA" w:rsidP="00EB4FFA">
      <w:pPr>
        <w:pStyle w:val="my-2"/>
        <w:numPr>
          <w:ilvl w:val="0"/>
          <w:numId w:val="4"/>
        </w:numPr>
      </w:pPr>
      <w:r>
        <w:rPr>
          <w:rStyle w:val="Strong"/>
        </w:rPr>
        <w:t>Wrongful dismissal claim</w:t>
      </w:r>
      <w:r>
        <w:t>: If her leave was protected or accommodation was owed, she could pursue substantial damages</w:t>
      </w:r>
      <w:r>
        <w:rPr>
          <w:rStyle w:val="relative"/>
        </w:rPr>
        <w:t>dbblaw</w:t>
      </w:r>
      <w:r>
        <w:rPr>
          <w:rStyle w:val="opacity-50"/>
        </w:rPr>
        <w:t>+2</w:t>
      </w:r>
      <w:r>
        <w:rPr>
          <w:rStyle w:val="inline-flex"/>
          <w:rFonts w:ascii="Arial" w:hAnsi="Arial" w:cs="Arial"/>
        </w:rPr>
        <w:t>​</w:t>
      </w:r>
    </w:p>
    <w:p w14:paraId="45137D04" w14:textId="77777777" w:rsidR="00EB4FFA" w:rsidRDefault="00EB4FFA" w:rsidP="00EB4FFA">
      <w:pPr>
        <w:pStyle w:val="my-2"/>
        <w:numPr>
          <w:ilvl w:val="0"/>
          <w:numId w:val="4"/>
        </w:numPr>
      </w:pPr>
      <w:r>
        <w:rPr>
          <w:rStyle w:val="Strong"/>
        </w:rPr>
        <w:t>Timing creates inference</w:t>
      </w:r>
      <w:r>
        <w:t xml:space="preserve">: Refusing to reinstate someone immediately after medical leave creates a strong inference of </w:t>
      </w:r>
      <w:proofErr w:type="spellStart"/>
      <w:r>
        <w:t>discrimination</w:t>
      </w:r>
      <w:hyperlink r:id="rId6" w:tgtFrame="_blank" w:history="1">
        <w:r>
          <w:rPr>
            <w:rStyle w:val="relative"/>
            <w:color w:val="0000FF"/>
            <w:u w:val="single"/>
          </w:rPr>
          <w:t>employmentandlabour</w:t>
        </w:r>
        <w:proofErr w:type="spellEnd"/>
      </w:hyperlink>
      <w:r>
        <w:rPr>
          <w:rStyle w:val="inline-flex"/>
          <w:rFonts w:ascii="Arial" w:hAnsi="Arial" w:cs="Arial"/>
        </w:rPr>
        <w:t>​</w:t>
      </w:r>
    </w:p>
    <w:p w14:paraId="17AFD15B" w14:textId="77777777" w:rsidR="00EB4FFA" w:rsidRDefault="00EB4FFA" w:rsidP="00EB4FFA">
      <w:pPr>
        <w:pStyle w:val="my-2"/>
      </w:pPr>
      <w:r>
        <w:rPr>
          <w:rStyle w:val="Strong"/>
        </w:rPr>
        <w:t>Option 2: Claim frustration of contract (Moderate Risk)</w:t>
      </w:r>
    </w:p>
    <w:p w14:paraId="4EFF4DCD" w14:textId="77777777" w:rsidR="00EB4FFA" w:rsidRDefault="00EB4FFA" w:rsidP="00EB4FFA">
      <w:pPr>
        <w:pStyle w:val="my-2"/>
      </w:pPr>
      <w:r>
        <w:lastRenderedPageBreak/>
        <w:t xml:space="preserve">You could argue the employment contract was "frustrated" because she cannot return within a reasonable timeframe. </w:t>
      </w:r>
      <w:proofErr w:type="gramStart"/>
      <w:r>
        <w:t>However:</w:t>
      </w:r>
      <w:r>
        <w:rPr>
          <w:rStyle w:val="relative"/>
        </w:rPr>
        <w:t>stlawyers</w:t>
      </w:r>
      <w:proofErr w:type="gramEnd"/>
      <w:r>
        <w:rPr>
          <w:rStyle w:val="opacity-50"/>
        </w:rPr>
        <w:t>+3</w:t>
      </w:r>
      <w:r>
        <w:rPr>
          <w:rStyle w:val="inline-flex"/>
          <w:rFonts w:ascii="Arial" w:hAnsi="Arial" w:cs="Arial"/>
        </w:rPr>
        <w:t>​</w:t>
      </w:r>
    </w:p>
    <w:p w14:paraId="33587EBA" w14:textId="77777777" w:rsidR="00EB4FFA" w:rsidRDefault="00EB4FFA" w:rsidP="00EB4FFA">
      <w:pPr>
        <w:pStyle w:val="my-2"/>
        <w:numPr>
          <w:ilvl w:val="0"/>
          <w:numId w:val="5"/>
        </w:numPr>
      </w:pPr>
      <w:r>
        <w:t>This requires </w:t>
      </w:r>
      <w:r>
        <w:rPr>
          <w:rStyle w:val="Strong"/>
        </w:rPr>
        <w:t>medical evidence</w:t>
      </w:r>
      <w:r>
        <w:t> showing she cannot return to work in the foreseeable future or can only return in a capacity radically different from her original role</w:t>
      </w:r>
      <w:r>
        <w:rPr>
          <w:rStyle w:val="relative"/>
        </w:rPr>
        <w:t>williamshrlaw</w:t>
      </w:r>
      <w:r>
        <w:rPr>
          <w:rStyle w:val="opacity-50"/>
        </w:rPr>
        <w:t>+2</w:t>
      </w:r>
      <w:r>
        <w:rPr>
          <w:rStyle w:val="inline-flex"/>
          <w:rFonts w:ascii="Arial" w:hAnsi="Arial" w:cs="Arial"/>
        </w:rPr>
        <w:t>​</w:t>
      </w:r>
    </w:p>
    <w:p w14:paraId="65026376" w14:textId="77777777" w:rsidR="00EB4FFA" w:rsidRDefault="00EB4FFA" w:rsidP="00EB4FFA">
      <w:pPr>
        <w:pStyle w:val="my-2"/>
        <w:numPr>
          <w:ilvl w:val="0"/>
          <w:numId w:val="5"/>
        </w:numPr>
      </w:pPr>
      <w:r>
        <w:t xml:space="preserve">Since she now has a doctor's note clearing her to return April 1, 2026, this argument would be very difficult to </w:t>
      </w:r>
      <w:proofErr w:type="spellStart"/>
      <w:r>
        <w:t>sustain</w:t>
      </w:r>
      <w:hyperlink r:id="rId7" w:tgtFrame="_blank" w:history="1">
        <w:r>
          <w:rPr>
            <w:rStyle w:val="relative"/>
            <w:color w:val="0000FF"/>
            <w:u w:val="single"/>
          </w:rPr>
          <w:t>rudnerlaw</w:t>
        </w:r>
        <w:proofErr w:type="spellEnd"/>
      </w:hyperlink>
      <w:r>
        <w:rPr>
          <w:rStyle w:val="inline-flex"/>
          <w:rFonts w:ascii="Arial" w:hAnsi="Arial" w:cs="Arial"/>
        </w:rPr>
        <w:t>​</w:t>
      </w:r>
    </w:p>
    <w:p w14:paraId="27AE810F" w14:textId="77777777" w:rsidR="00EB4FFA" w:rsidRDefault="00EB4FFA" w:rsidP="00EB4FFA">
      <w:pPr>
        <w:pStyle w:val="my-2"/>
        <w:numPr>
          <w:ilvl w:val="0"/>
          <w:numId w:val="5"/>
        </w:numPr>
      </w:pPr>
      <w:r>
        <w:t>You would still owe her </w:t>
      </w:r>
      <w:r>
        <w:rPr>
          <w:rStyle w:val="Strong"/>
        </w:rPr>
        <w:t>statutory termination pay</w:t>
      </w:r>
      <w:r>
        <w:t xml:space="preserve"> based on her length of </w:t>
      </w:r>
      <w:proofErr w:type="spellStart"/>
      <w:r>
        <w:t>service</w:t>
      </w:r>
      <w:hyperlink r:id="rId8" w:tgtFrame="_blank" w:history="1">
        <w:r>
          <w:rPr>
            <w:rStyle w:val="relative"/>
            <w:color w:val="0000FF"/>
            <w:u w:val="single"/>
          </w:rPr>
          <w:t>williamshrlaw</w:t>
        </w:r>
        <w:proofErr w:type="spellEnd"/>
      </w:hyperlink>
      <w:r>
        <w:rPr>
          <w:rStyle w:val="inline-flex"/>
          <w:rFonts w:ascii="Arial" w:hAnsi="Arial" w:cs="Arial"/>
        </w:rPr>
        <w:t>​</w:t>
      </w:r>
    </w:p>
    <w:p w14:paraId="6C99D218" w14:textId="77777777" w:rsidR="00EB4FFA" w:rsidRDefault="00EB4FFA" w:rsidP="00EB4FFA">
      <w:pPr>
        <w:pStyle w:val="my-2"/>
      </w:pPr>
      <w:r>
        <w:rPr>
          <w:rStyle w:val="Strong"/>
        </w:rPr>
        <w:t>Option 3: Offer reinstatement to same or comparable position (Lower Risk)</w:t>
      </w:r>
    </w:p>
    <w:p w14:paraId="641DE504" w14:textId="77777777" w:rsidR="00EB4FFA" w:rsidRDefault="00EB4FFA" w:rsidP="00EB4FFA">
      <w:pPr>
        <w:pStyle w:val="my-2"/>
      </w:pPr>
      <w:r>
        <w:t>This is your safest legal option:</w:t>
      </w:r>
    </w:p>
    <w:p w14:paraId="69E7C5DC" w14:textId="77777777" w:rsidR="00EB4FFA" w:rsidRDefault="00EB4FFA" w:rsidP="00EB4FFA">
      <w:pPr>
        <w:pStyle w:val="my-2"/>
        <w:numPr>
          <w:ilvl w:val="0"/>
          <w:numId w:val="6"/>
        </w:numPr>
      </w:pPr>
      <w:r>
        <w:t>Offer her the same position she held before leave, or a comparable position with similar pay and responsibilities</w:t>
      </w:r>
      <w:r>
        <w:rPr>
          <w:rStyle w:val="relative"/>
        </w:rPr>
        <w:t>stlawyers</w:t>
      </w:r>
      <w:r>
        <w:rPr>
          <w:rStyle w:val="opacity-50"/>
        </w:rPr>
        <w:t>+4</w:t>
      </w:r>
      <w:r>
        <w:rPr>
          <w:rStyle w:val="inline-flex"/>
          <w:rFonts w:ascii="Arial" w:hAnsi="Arial" w:cs="Arial"/>
        </w:rPr>
        <w:t>​</w:t>
      </w:r>
    </w:p>
    <w:p w14:paraId="7B9E68FA" w14:textId="77777777" w:rsidR="00EB4FFA" w:rsidRDefault="00EB4FFA" w:rsidP="00EB4FFA">
      <w:pPr>
        <w:pStyle w:val="my-2"/>
        <w:numPr>
          <w:ilvl w:val="0"/>
          <w:numId w:val="6"/>
        </w:numPr>
      </w:pPr>
      <w:r>
        <w:t xml:space="preserve">If her original position no longer exists due to legitimate business reasons, offer a comparable </w:t>
      </w:r>
      <w:proofErr w:type="spellStart"/>
      <w:r>
        <w:t>alternative</w:t>
      </w:r>
      <w:hyperlink r:id="rId9" w:tgtFrame="_blank" w:history="1">
        <w:r>
          <w:rPr>
            <w:rStyle w:val="relative"/>
            <w:color w:val="0000FF"/>
            <w:u w:val="single"/>
          </w:rPr>
          <w:t>monkhouselaw</w:t>
        </w:r>
        <w:proofErr w:type="spellEnd"/>
      </w:hyperlink>
      <w:r>
        <w:rPr>
          <w:rStyle w:val="inline-flex"/>
          <w:rFonts w:ascii="Arial" w:hAnsi="Arial" w:cs="Arial"/>
        </w:rPr>
        <w:t>​</w:t>
      </w:r>
    </w:p>
    <w:p w14:paraId="072E39C8" w14:textId="77777777" w:rsidR="00EB4FFA" w:rsidRDefault="00EB4FFA" w:rsidP="00EB4FFA">
      <w:pPr>
        <w:pStyle w:val="my-2"/>
        <w:numPr>
          <w:ilvl w:val="0"/>
          <w:numId w:val="6"/>
        </w:numPr>
      </w:pPr>
      <w:r>
        <w:t>Document all decisions and ensure they're based on legitimate business needs, not her medical absence</w:t>
      </w:r>
      <w:r>
        <w:rPr>
          <w:rStyle w:val="relative"/>
        </w:rPr>
        <w:t>osujismith</w:t>
      </w:r>
      <w:r>
        <w:rPr>
          <w:rStyle w:val="opacity-50"/>
        </w:rPr>
        <w:t>+1</w:t>
      </w:r>
      <w:r>
        <w:rPr>
          <w:rStyle w:val="inline-flex"/>
          <w:rFonts w:ascii="Arial" w:hAnsi="Arial" w:cs="Arial"/>
        </w:rPr>
        <w:t>​</w:t>
      </w:r>
    </w:p>
    <w:p w14:paraId="136B63FB" w14:textId="77777777" w:rsidR="00EB4FFA" w:rsidRDefault="00EB4FFA" w:rsidP="00EB4FFA">
      <w:pPr>
        <w:pStyle w:val="my-2"/>
      </w:pPr>
      <w:r>
        <w:rPr>
          <w:rStyle w:val="Strong"/>
        </w:rPr>
        <w:t>Option 4: Terminate with proper severance after return (Moderate Risk)</w:t>
      </w:r>
    </w:p>
    <w:p w14:paraId="19E7621D" w14:textId="77777777" w:rsidR="00EB4FFA" w:rsidRDefault="00EB4FFA" w:rsidP="00EB4FFA">
      <w:pPr>
        <w:pStyle w:val="my-2"/>
      </w:pPr>
      <w:r>
        <w:t xml:space="preserve">You can terminate her employment after she returns, but you </w:t>
      </w:r>
      <w:proofErr w:type="gramStart"/>
      <w:r>
        <w:t>must:</w:t>
      </w:r>
      <w:r>
        <w:rPr>
          <w:rStyle w:val="relative"/>
        </w:rPr>
        <w:t>hrinsider</w:t>
      </w:r>
      <w:proofErr w:type="gramEnd"/>
      <w:r>
        <w:rPr>
          <w:rStyle w:val="opacity-50"/>
        </w:rPr>
        <w:t>+3</w:t>
      </w:r>
      <w:r>
        <w:rPr>
          <w:rStyle w:val="inline-flex"/>
          <w:rFonts w:ascii="Arial" w:hAnsi="Arial" w:cs="Arial"/>
        </w:rPr>
        <w:t>​</w:t>
      </w:r>
    </w:p>
    <w:p w14:paraId="5CABA26A" w14:textId="77777777" w:rsidR="00EB4FFA" w:rsidRDefault="00EB4FFA" w:rsidP="00EB4FFA">
      <w:pPr>
        <w:pStyle w:val="my-2"/>
        <w:numPr>
          <w:ilvl w:val="0"/>
          <w:numId w:val="7"/>
        </w:numPr>
      </w:pPr>
      <w:r>
        <w:t>Provide </w:t>
      </w:r>
      <w:r>
        <w:rPr>
          <w:rStyle w:val="Strong"/>
        </w:rPr>
        <w:t>full severance pay</w:t>
      </w:r>
      <w:r>
        <w:t> as required by common law (not just Employment Standards minimums), which could be substantial given her age, position, and length of service</w:t>
      </w:r>
    </w:p>
    <w:p w14:paraId="3F8298F8" w14:textId="77777777" w:rsidR="00EB4FFA" w:rsidRDefault="00EB4FFA" w:rsidP="00EB4FFA">
      <w:pPr>
        <w:pStyle w:val="my-2"/>
        <w:numPr>
          <w:ilvl w:val="0"/>
          <w:numId w:val="7"/>
        </w:numPr>
      </w:pPr>
      <w:r>
        <w:t>Ensure the decision is based on </w:t>
      </w:r>
      <w:r>
        <w:rPr>
          <w:rStyle w:val="Strong"/>
        </w:rPr>
        <w:t>legitimate, non-discriminatory reasons</w:t>
      </w:r>
      <w:r>
        <w:t> completely unrelated to her medical condition</w:t>
      </w:r>
      <w:r>
        <w:rPr>
          <w:rStyle w:val="relative"/>
        </w:rPr>
        <w:t>hrinsider</w:t>
      </w:r>
      <w:r>
        <w:rPr>
          <w:rStyle w:val="opacity-50"/>
        </w:rPr>
        <w:t>+2</w:t>
      </w:r>
      <w:r>
        <w:rPr>
          <w:rStyle w:val="inline-flex"/>
          <w:rFonts w:ascii="Arial" w:hAnsi="Arial" w:cs="Arial"/>
        </w:rPr>
        <w:t>​</w:t>
      </w:r>
    </w:p>
    <w:p w14:paraId="1033417B" w14:textId="77777777" w:rsidR="00EB4FFA" w:rsidRDefault="00EB4FFA" w:rsidP="00EB4FFA">
      <w:pPr>
        <w:pStyle w:val="my-2"/>
        <w:numPr>
          <w:ilvl w:val="0"/>
          <w:numId w:val="7"/>
        </w:numPr>
      </w:pPr>
      <w:r>
        <w:t xml:space="preserve">Be prepared for scrutiny—timing of termination after medical leave creates inference of </w:t>
      </w:r>
      <w:proofErr w:type="spellStart"/>
      <w:r>
        <w:t>discrimination</w:t>
      </w:r>
      <w:hyperlink r:id="rId10" w:tgtFrame="_blank" w:history="1">
        <w:r>
          <w:rPr>
            <w:rStyle w:val="relative"/>
            <w:color w:val="0000FF"/>
            <w:u w:val="single"/>
          </w:rPr>
          <w:t>employmentandlabour</w:t>
        </w:r>
        <w:proofErr w:type="spellEnd"/>
      </w:hyperlink>
      <w:r>
        <w:rPr>
          <w:rStyle w:val="inline-flex"/>
          <w:rFonts w:ascii="Arial" w:hAnsi="Arial" w:cs="Arial"/>
        </w:rPr>
        <w:t>​</w:t>
      </w:r>
    </w:p>
    <w:p w14:paraId="1963C7EE" w14:textId="77777777" w:rsidR="00EB4FFA" w:rsidRDefault="00EB4FFA" w:rsidP="00EB4FFA">
      <w:pPr>
        <w:pStyle w:val="Heading2"/>
        <w:rPr>
          <w:rFonts w:eastAsia="Times New Roman"/>
        </w:rPr>
      </w:pPr>
      <w:r>
        <w:rPr>
          <w:rFonts w:eastAsia="Times New Roman"/>
        </w:rPr>
        <w:t>Immediate Recommended Actions</w:t>
      </w:r>
    </w:p>
    <w:p w14:paraId="23F9AA70" w14:textId="77777777" w:rsidR="00EB4FFA" w:rsidRDefault="00EB4FFA" w:rsidP="00EB4FFA">
      <w:pPr>
        <w:pStyle w:val="my-2"/>
        <w:numPr>
          <w:ilvl w:val="0"/>
          <w:numId w:val="8"/>
        </w:numPr>
      </w:pPr>
      <w:r>
        <w:rPr>
          <w:rStyle w:val="Strong"/>
        </w:rPr>
        <w:t>Obtain updated medical information</w:t>
      </w:r>
      <w:r>
        <w:t>: You have the right to request documentation about her functional abilities, any ongoing restrictions, and whether accommodation is needed</w:t>
      </w:r>
      <w:r>
        <w:rPr>
          <w:rStyle w:val="relative"/>
        </w:rPr>
        <w:t>stlawyers</w:t>
      </w:r>
      <w:r>
        <w:rPr>
          <w:rStyle w:val="opacity-50"/>
        </w:rPr>
        <w:t>+3</w:t>
      </w:r>
      <w:r>
        <w:rPr>
          <w:rStyle w:val="inline-flex"/>
          <w:rFonts w:ascii="Arial" w:hAnsi="Arial" w:cs="Arial"/>
        </w:rPr>
        <w:t>​</w:t>
      </w:r>
    </w:p>
    <w:p w14:paraId="3C0C4E46" w14:textId="77777777" w:rsidR="00EB4FFA" w:rsidRDefault="00EB4FFA" w:rsidP="00EB4FFA">
      <w:pPr>
        <w:pStyle w:val="my-2"/>
        <w:numPr>
          <w:ilvl w:val="0"/>
          <w:numId w:val="8"/>
        </w:numPr>
      </w:pPr>
      <w:r>
        <w:rPr>
          <w:rStyle w:val="Strong"/>
        </w:rPr>
        <w:t>Calculate exact leave periods</w:t>
      </w:r>
      <w:r>
        <w:t>: Determine precisely how many weeks she used in 2025 and how many she's using in 2026 to understand if statutory protections still apply</w:t>
      </w:r>
      <w:r>
        <w:rPr>
          <w:rStyle w:val="relative"/>
        </w:rPr>
        <w:t>alberta</w:t>
      </w:r>
      <w:r>
        <w:rPr>
          <w:rStyle w:val="opacity-50"/>
        </w:rPr>
        <w:t>+1</w:t>
      </w:r>
      <w:r>
        <w:rPr>
          <w:rStyle w:val="inline-flex"/>
          <w:rFonts w:ascii="Arial" w:hAnsi="Arial" w:cs="Arial"/>
        </w:rPr>
        <w:t>​</w:t>
      </w:r>
    </w:p>
    <w:p w14:paraId="3F23A720" w14:textId="77777777" w:rsidR="00EB4FFA" w:rsidRDefault="00EB4FFA" w:rsidP="00EB4FFA">
      <w:pPr>
        <w:pStyle w:val="my-2"/>
        <w:numPr>
          <w:ilvl w:val="0"/>
          <w:numId w:val="8"/>
        </w:numPr>
      </w:pPr>
      <w:r>
        <w:rPr>
          <w:rStyle w:val="Strong"/>
        </w:rPr>
        <w:lastRenderedPageBreak/>
        <w:t>Assess accommodation options</w:t>
      </w:r>
      <w:r>
        <w:t>: Before making any decisions, genuinely explore whether you can accommodate her return through modified duties, different positions, or other arrangements</w:t>
      </w:r>
      <w:r>
        <w:rPr>
          <w:rStyle w:val="relative"/>
        </w:rPr>
        <w:t>stlawyers</w:t>
      </w:r>
      <w:r>
        <w:rPr>
          <w:rStyle w:val="opacity-50"/>
        </w:rPr>
        <w:t>+2</w:t>
      </w:r>
      <w:r>
        <w:rPr>
          <w:rStyle w:val="inline-flex"/>
          <w:rFonts w:ascii="Arial" w:hAnsi="Arial" w:cs="Arial"/>
        </w:rPr>
        <w:t>​</w:t>
      </w:r>
    </w:p>
    <w:p w14:paraId="55CF4C58" w14:textId="77777777" w:rsidR="00EB4FFA" w:rsidRDefault="00EB4FFA" w:rsidP="00EB4FFA">
      <w:pPr>
        <w:pStyle w:val="my-2"/>
        <w:numPr>
          <w:ilvl w:val="0"/>
          <w:numId w:val="8"/>
        </w:numPr>
      </w:pPr>
      <w:r>
        <w:rPr>
          <w:rStyle w:val="Strong"/>
        </w:rPr>
        <w:t>Document everything</w:t>
      </w:r>
      <w:r>
        <w:t>: Maintain clear records of business decisions, staffing needs, and communications</w:t>
      </w:r>
      <w:r>
        <w:rPr>
          <w:rStyle w:val="relative"/>
        </w:rPr>
        <w:t>osujismith</w:t>
      </w:r>
      <w:r>
        <w:rPr>
          <w:rStyle w:val="opacity-50"/>
        </w:rPr>
        <w:t>+1</w:t>
      </w:r>
      <w:r>
        <w:rPr>
          <w:rStyle w:val="inline-flex"/>
          <w:rFonts w:ascii="Arial" w:hAnsi="Arial" w:cs="Arial"/>
        </w:rPr>
        <w:t>​</w:t>
      </w:r>
    </w:p>
    <w:p w14:paraId="0CB09E05" w14:textId="77777777" w:rsidR="00EB4FFA" w:rsidRDefault="00EB4FFA" w:rsidP="00EB4FFA">
      <w:pPr>
        <w:pStyle w:val="my-2"/>
        <w:numPr>
          <w:ilvl w:val="0"/>
          <w:numId w:val="8"/>
        </w:numPr>
      </w:pPr>
      <w:r>
        <w:rPr>
          <w:rStyle w:val="Strong"/>
        </w:rPr>
        <w:t>Consult employment counsel immediately</w:t>
      </w:r>
      <w:r>
        <w:t>: Given the significant legal and financial risks involved—including potential human rights complaints, wrongful dismissal claims, and aggravated damages—you should obtain specific legal advice before responding to her request</w:t>
      </w:r>
      <w:r>
        <w:rPr>
          <w:rStyle w:val="relative"/>
        </w:rPr>
        <w:t>tjworkplacelaw</w:t>
      </w:r>
      <w:r>
        <w:rPr>
          <w:rStyle w:val="opacity-50"/>
        </w:rPr>
        <w:t>+3</w:t>
      </w:r>
      <w:r>
        <w:rPr>
          <w:rStyle w:val="inline-flex"/>
          <w:rFonts w:ascii="Arial" w:hAnsi="Arial" w:cs="Arial"/>
        </w:rPr>
        <w:t>​</w:t>
      </w:r>
    </w:p>
    <w:p w14:paraId="6EAAD552" w14:textId="77777777" w:rsidR="00EB4FFA" w:rsidRDefault="00EB4FFA" w:rsidP="00EB4FFA">
      <w:pPr>
        <w:pStyle w:val="Heading2"/>
        <w:rPr>
          <w:rFonts w:eastAsia="Times New Roman"/>
        </w:rPr>
      </w:pPr>
      <w:r>
        <w:rPr>
          <w:rFonts w:eastAsia="Times New Roman"/>
        </w:rPr>
        <w:t>The Bottom Line</w:t>
      </w:r>
    </w:p>
    <w:p w14:paraId="2AC68AC6" w14:textId="77777777" w:rsidR="00EB4FFA" w:rsidRDefault="00EB4FFA" w:rsidP="00EB4FFA">
      <w:pPr>
        <w:pStyle w:val="my-2"/>
      </w:pPr>
      <w:r>
        <w:t>While you may prefer not to have Kelly return, Alberta law provides substantial protections for employees with medical conditions. You cannot simply refuse to rehire her without significant legal risk. Your safest approach is to engage in the accommodation process in good faith, obtain appropriate medical information, and seek legal counsel before making final decisions. The costs of defending a human rights complaint or wrongful dismissal lawsuit would likely far exceed the costs of properly managing her return or providing appropriate severance</w:t>
      </w:r>
    </w:p>
    <w:p w14:paraId="39D6B675" w14:textId="77777777" w:rsidR="006A4D46" w:rsidRDefault="006A4D46"/>
    <w:sectPr w:rsidR="006A4D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4053"/>
    <w:multiLevelType w:val="multilevel"/>
    <w:tmpl w:val="C68EE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83650"/>
    <w:multiLevelType w:val="multilevel"/>
    <w:tmpl w:val="D402F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B5031"/>
    <w:multiLevelType w:val="multilevel"/>
    <w:tmpl w:val="7D6864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6FD73A6"/>
    <w:multiLevelType w:val="multilevel"/>
    <w:tmpl w:val="0F8479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CA27E50"/>
    <w:multiLevelType w:val="multilevel"/>
    <w:tmpl w:val="45729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D5A92"/>
    <w:multiLevelType w:val="multilevel"/>
    <w:tmpl w:val="B60C6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42286"/>
    <w:multiLevelType w:val="multilevel"/>
    <w:tmpl w:val="60AC0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2951C8"/>
    <w:multiLevelType w:val="multilevel"/>
    <w:tmpl w:val="5CD24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49589507">
    <w:abstractNumId w:val="1"/>
  </w:num>
  <w:num w:numId="2" w16cid:durableId="8427447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775356">
    <w:abstractNumId w:val="7"/>
  </w:num>
  <w:num w:numId="4" w16cid:durableId="1780833499">
    <w:abstractNumId w:val="5"/>
  </w:num>
  <w:num w:numId="5" w16cid:durableId="107554331">
    <w:abstractNumId w:val="4"/>
  </w:num>
  <w:num w:numId="6" w16cid:durableId="1017343561">
    <w:abstractNumId w:val="6"/>
  </w:num>
  <w:num w:numId="7" w16cid:durableId="1892109099">
    <w:abstractNumId w:val="0"/>
  </w:num>
  <w:num w:numId="8" w16cid:durableId="2131436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FFA"/>
    <w:rsid w:val="000E18E7"/>
    <w:rsid w:val="00417B05"/>
    <w:rsid w:val="006A4D46"/>
    <w:rsid w:val="006C3810"/>
    <w:rsid w:val="00C80793"/>
    <w:rsid w:val="00D36222"/>
    <w:rsid w:val="00DE0E4A"/>
    <w:rsid w:val="00EB4F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0F5C3"/>
  <w15:chartTrackingRefBased/>
  <w15:docId w15:val="{F2FD0EA9-3038-4033-A4B4-F804A3434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FFA"/>
    <w:rPr>
      <w:rFonts w:eastAsiaTheme="majorEastAsia" w:cstheme="majorBidi"/>
      <w:color w:val="272727" w:themeColor="text1" w:themeTint="D8"/>
    </w:rPr>
  </w:style>
  <w:style w:type="paragraph" w:styleId="Title">
    <w:name w:val="Title"/>
    <w:basedOn w:val="Normal"/>
    <w:next w:val="Normal"/>
    <w:link w:val="TitleChar"/>
    <w:uiPriority w:val="10"/>
    <w:qFormat/>
    <w:rsid w:val="00EB4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FFA"/>
    <w:pPr>
      <w:spacing w:before="160"/>
      <w:jc w:val="center"/>
    </w:pPr>
    <w:rPr>
      <w:i/>
      <w:iCs/>
      <w:color w:val="404040" w:themeColor="text1" w:themeTint="BF"/>
    </w:rPr>
  </w:style>
  <w:style w:type="character" w:customStyle="1" w:styleId="QuoteChar">
    <w:name w:val="Quote Char"/>
    <w:basedOn w:val="DefaultParagraphFont"/>
    <w:link w:val="Quote"/>
    <w:uiPriority w:val="29"/>
    <w:rsid w:val="00EB4FFA"/>
    <w:rPr>
      <w:i/>
      <w:iCs/>
      <w:color w:val="404040" w:themeColor="text1" w:themeTint="BF"/>
    </w:rPr>
  </w:style>
  <w:style w:type="paragraph" w:styleId="ListParagraph">
    <w:name w:val="List Paragraph"/>
    <w:basedOn w:val="Normal"/>
    <w:uiPriority w:val="34"/>
    <w:qFormat/>
    <w:rsid w:val="00EB4FFA"/>
    <w:pPr>
      <w:ind w:left="720"/>
      <w:contextualSpacing/>
    </w:pPr>
  </w:style>
  <w:style w:type="character" w:styleId="IntenseEmphasis">
    <w:name w:val="Intense Emphasis"/>
    <w:basedOn w:val="DefaultParagraphFont"/>
    <w:uiPriority w:val="21"/>
    <w:qFormat/>
    <w:rsid w:val="00EB4FFA"/>
    <w:rPr>
      <w:i/>
      <w:iCs/>
      <w:color w:val="0F4761" w:themeColor="accent1" w:themeShade="BF"/>
    </w:rPr>
  </w:style>
  <w:style w:type="paragraph" w:styleId="IntenseQuote">
    <w:name w:val="Intense Quote"/>
    <w:basedOn w:val="Normal"/>
    <w:next w:val="Normal"/>
    <w:link w:val="IntenseQuoteChar"/>
    <w:uiPriority w:val="30"/>
    <w:qFormat/>
    <w:rsid w:val="00EB4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FFA"/>
    <w:rPr>
      <w:i/>
      <w:iCs/>
      <w:color w:val="0F4761" w:themeColor="accent1" w:themeShade="BF"/>
    </w:rPr>
  </w:style>
  <w:style w:type="character" w:styleId="IntenseReference">
    <w:name w:val="Intense Reference"/>
    <w:basedOn w:val="DefaultParagraphFont"/>
    <w:uiPriority w:val="32"/>
    <w:qFormat/>
    <w:rsid w:val="00EB4FFA"/>
    <w:rPr>
      <w:b/>
      <w:bCs/>
      <w:smallCaps/>
      <w:color w:val="0F4761" w:themeColor="accent1" w:themeShade="BF"/>
      <w:spacing w:val="5"/>
    </w:rPr>
  </w:style>
  <w:style w:type="paragraph" w:customStyle="1" w:styleId="my-2">
    <w:name w:val="my-2"/>
    <w:basedOn w:val="Normal"/>
    <w:rsid w:val="00EB4FFA"/>
    <w:pPr>
      <w:spacing w:before="100" w:beforeAutospacing="1" w:after="100" w:afterAutospacing="1" w:line="240" w:lineRule="auto"/>
    </w:pPr>
    <w:rPr>
      <w:rFonts w:ascii="Aptos" w:hAnsi="Aptos" w:cs="Aptos"/>
      <w:kern w:val="0"/>
      <w:lang w:eastAsia="en-CA"/>
      <w14:ligatures w14:val="none"/>
    </w:rPr>
  </w:style>
  <w:style w:type="character" w:customStyle="1" w:styleId="inline-flex">
    <w:name w:val="inline-flex"/>
    <w:basedOn w:val="DefaultParagraphFont"/>
    <w:rsid w:val="00EB4FFA"/>
  </w:style>
  <w:style w:type="character" w:customStyle="1" w:styleId="citation">
    <w:name w:val="citation"/>
    <w:basedOn w:val="DefaultParagraphFont"/>
    <w:rsid w:val="00EB4FFA"/>
  </w:style>
  <w:style w:type="character" w:customStyle="1" w:styleId="relative">
    <w:name w:val="relative"/>
    <w:basedOn w:val="DefaultParagraphFont"/>
    <w:rsid w:val="00EB4FFA"/>
  </w:style>
  <w:style w:type="character" w:customStyle="1" w:styleId="opacity-50">
    <w:name w:val="opacity-50"/>
    <w:basedOn w:val="DefaultParagraphFont"/>
    <w:rsid w:val="00EB4FFA"/>
  </w:style>
  <w:style w:type="character" w:styleId="Strong">
    <w:name w:val="Strong"/>
    <w:basedOn w:val="DefaultParagraphFont"/>
    <w:uiPriority w:val="22"/>
    <w:qFormat/>
    <w:rsid w:val="00EB4F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lliamshrlaw.com/2019/04/12/frustration-of-contract-may-be-claimed-by-employees-triggering-statutory-payments/" TargetMode="External"/><Relationship Id="rId3" Type="http://schemas.openxmlformats.org/officeDocument/2006/relationships/settings" Target="settings.xml"/><Relationship Id="rId7" Type="http://schemas.openxmlformats.org/officeDocument/2006/relationships/hyperlink" Target="https://www.rudnerlaw.ca/frustration-contrac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mploymentandlabour.com/alberta-human-rights-commission-found-termination-of-employee-upon-their-return-from-medical-leave-was-not-discriminatory/" TargetMode="External"/><Relationship Id="rId11" Type="http://schemas.openxmlformats.org/officeDocument/2006/relationships/fontTable" Target="fontTable.xml"/><Relationship Id="rId5" Type="http://schemas.openxmlformats.org/officeDocument/2006/relationships/hyperlink" Target="https://www.monkhouselaw.com/employee-rights-during-statutory-leaves-toronto-employment-lawyer/" TargetMode="External"/><Relationship Id="rId10" Type="http://schemas.openxmlformats.org/officeDocument/2006/relationships/hyperlink" Target="https://www.employmentandlabour.com/alberta-human-rights-commission-found-termination-of-employee-upon-their-return-from-medical-leave-was-not-discriminatory/" TargetMode="External"/><Relationship Id="rId4" Type="http://schemas.openxmlformats.org/officeDocument/2006/relationships/webSettings" Target="webSettings.xml"/><Relationship Id="rId9" Type="http://schemas.openxmlformats.org/officeDocument/2006/relationships/hyperlink" Target="https://www.monkhouselaw.com/employee-rights-during-statutory-leaves-toronto-employment-lawy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1164</Words>
  <Characters>6635</Characters>
  <Application>Microsoft Office Word</Application>
  <DocSecurity>0</DocSecurity>
  <Lines>55</Lines>
  <Paragraphs>15</Paragraphs>
  <ScaleCrop>false</ScaleCrop>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365 Pro Plus</dc:creator>
  <cp:keywords/>
  <dc:description/>
  <cp:lastModifiedBy>Scott Wilde</cp:lastModifiedBy>
  <cp:revision>2</cp:revision>
  <dcterms:created xsi:type="dcterms:W3CDTF">2026-01-22T18:51:00Z</dcterms:created>
  <dcterms:modified xsi:type="dcterms:W3CDTF">2026-01-22T18:51:00Z</dcterms:modified>
</cp:coreProperties>
</file>