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PingFang SC" w:hAnsi="PingFang SC" w:eastAsia="PingFang SC"/>
          <w:b/>
          <w:color w:val="1F4F78"/>
          <w:sz w:val="44"/>
        </w:rPr>
        <w:t>强弱电点位必要确认</w:t>
      </w:r>
    </w:p>
    <w:p>
      <w:pPr>
        <w:spacing w:after="120"/>
        <w:jc w:val="center"/>
      </w:pPr>
      <w:r>
        <w:rPr>
          <w:rFonts w:ascii="PingFang SC" w:hAnsi="PingFang SC" w:eastAsia="PingFang SC"/>
          <w:b w:val="0"/>
          <w:color w:val="5A5A5A"/>
          <w:sz w:val="21"/>
        </w:rPr>
        <w:t>发送对象：设计师 / 装修队 / 电工    日期：2026-07-07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9360000" cy="4008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强弱电点位图_施工队简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00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PingFang SC" w:hAnsi="PingFang SC" w:eastAsia="PingFang SC"/>
          <w:b w:val="0"/>
          <w:color w:val="5A5A5A"/>
          <w:sz w:val="19"/>
        </w:rPr>
        <w:t>请以图中编号为准；位置为示意，正式落图由设计师按梁位、吊顶、柜体、家具和规范微调。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color w:val="1F4F78"/>
          <w:sz w:val="30"/>
        </w:rPr>
        <w:t>今天只需要确认这些</w:t>
      </w:r>
    </w:p>
    <w:p>
      <w:pPr>
        <w:spacing w:after="120"/>
      </w:pPr>
      <w:r>
        <w:rPr>
          <w:rFonts w:ascii="PingFang SC" w:hAnsi="PingFang SC" w:eastAsia="PingFang SC"/>
          <w:b w:val="0"/>
          <w:sz w:val="21"/>
        </w:rPr>
        <w:t>请不要把旧版大包作为今天施工交底依据；本文件只补充设计师当前强弱电图中需要业主额外确认的点。</w:t>
      </w:r>
    </w:p>
    <w:p>
      <w:pPr>
        <w:pStyle w:val="ListNumber"/>
        <w:spacing w:after="40"/>
      </w:pPr>
      <w:r>
        <w:rPr>
          <w:rFonts w:ascii="PingFang SC" w:hAnsi="PingFang SC" w:eastAsia="PingFang SC"/>
          <w:b w:val="0"/>
          <w:sz w:val="19"/>
        </w:rPr>
        <w:t>M1 衣帽间机柜：强电插座 + 弱电汇聚。</w:t>
      </w:r>
    </w:p>
    <w:p>
      <w:pPr>
        <w:pStyle w:val="ListNumber"/>
        <w:spacing w:after="40"/>
      </w:pPr>
      <w:r>
        <w:rPr>
          <w:rFonts w:ascii="PingFang SC" w:hAnsi="PingFang SC" w:eastAsia="PingFang SC"/>
          <w:b w:val="0"/>
          <w:sz w:val="19"/>
        </w:rPr>
        <w:t>M2 P2S：独立插座；不接 UPS；不留墙面网口。</w:t>
      </w:r>
    </w:p>
    <w:p>
      <w:pPr>
        <w:pStyle w:val="ListNumber"/>
        <w:spacing w:after="40"/>
      </w:pPr>
      <w:r>
        <w:rPr>
          <w:rFonts w:ascii="PingFang SC" w:hAnsi="PingFang SC" w:eastAsia="PingFang SC"/>
          <w:b w:val="0"/>
          <w:sz w:val="19"/>
        </w:rPr>
        <w:t>M3 AP1/AP2：各 1 根 PoE 网线回衣帽间。</w:t>
      </w:r>
    </w:p>
    <w:p>
      <w:pPr>
        <w:pStyle w:val="ListNumber"/>
        <w:spacing w:after="40"/>
      </w:pPr>
      <w:r>
        <w:rPr>
          <w:rFonts w:ascii="PingFang SC" w:hAnsi="PingFang SC" w:eastAsia="PingFang SC"/>
          <w:b w:val="0"/>
          <w:sz w:val="19"/>
        </w:rPr>
        <w:t>M4 PoE Zigbee：中央高位 1 根网线。</w:t>
      </w:r>
    </w:p>
    <w:p>
      <w:pPr>
        <w:pStyle w:val="ListNumber"/>
        <w:spacing w:after="40"/>
      </w:pPr>
      <w:r>
        <w:rPr>
          <w:rFonts w:ascii="PingFang SC" w:hAnsi="PingFang SC" w:eastAsia="PingFang SC"/>
          <w:b w:val="0"/>
          <w:sz w:val="19"/>
        </w:rPr>
        <w:t>M5 书房桌位：2 网口 + 大容量插座。</w:t>
      </w:r>
    </w:p>
    <w:p>
      <w:pPr>
        <w:pStyle w:val="ListNumber"/>
        <w:spacing w:after="40"/>
      </w:pPr>
      <w:r>
        <w:rPr>
          <w:rFonts w:ascii="PingFang SC" w:hAnsi="PingFang SC" w:eastAsia="PingFang SC"/>
          <w:b w:val="0"/>
          <w:sz w:val="19"/>
        </w:rPr>
        <w:t>M6 次卧/儿童房：2 网口 + 插座。</w:t>
      </w:r>
    </w:p>
    <w:p>
      <w:pPr>
        <w:pStyle w:val="ListNumber"/>
        <w:spacing w:after="40"/>
      </w:pPr>
      <w:r>
        <w:rPr>
          <w:rFonts w:ascii="PingFang SC" w:hAnsi="PingFang SC" w:eastAsia="PingFang SC"/>
          <w:b w:val="0"/>
          <w:sz w:val="19"/>
        </w:rPr>
        <w:t>M7 主卧阳台：至少 1 网口 + 插座。</w:t>
      </w:r>
    </w:p>
    <w:p>
      <w:pPr>
        <w:pStyle w:val="ListNumber"/>
        <w:spacing w:after="40"/>
      </w:pPr>
      <w:r>
        <w:rPr>
          <w:rFonts w:ascii="PingFang SC" w:hAnsi="PingFang SC" w:eastAsia="PingFang SC"/>
          <w:b w:val="0"/>
          <w:sz w:val="19"/>
        </w:rPr>
        <w:t>M8 影音柜：1 网口 + 多位插座。</w:t>
      </w:r>
    </w:p>
    <w:p>
      <w:pPr>
        <w:pStyle w:val="ListNumber"/>
        <w:spacing w:after="40"/>
      </w:pPr>
      <w:r>
        <w:rPr>
          <w:rFonts w:ascii="PingFang SC" w:hAnsi="PingFang SC" w:eastAsia="PingFang SC"/>
          <w:b w:val="0"/>
          <w:sz w:val="19"/>
        </w:rPr>
        <w:t>M9 短焦投影/幕布：不留顶面投影电源；影音柜和幕布盒预留电源/管线。</w:t>
      </w:r>
    </w:p>
    <w:p>
      <w:pPr>
        <w:pStyle w:val="ListNumber"/>
        <w:spacing w:after="40"/>
      </w:pPr>
      <w:r>
        <w:rPr>
          <w:rFonts w:ascii="PingFang SC" w:hAnsi="PingFang SC" w:eastAsia="PingFang SC"/>
          <w:b w:val="0"/>
          <w:sz w:val="19"/>
        </w:rPr>
        <w:t>M10 RS-485：从衣帽间机柜预留到空调/加湿接入点；图中仅示意两端，不代表实际走线。</w:t>
      </w:r>
    </w:p>
    <w:p>
      <w:pPr>
        <w:pStyle w:val="ListNumber"/>
        <w:spacing w:after="40"/>
      </w:pPr>
      <w:r>
        <w:rPr>
          <w:rFonts w:ascii="PingFang SC" w:hAnsi="PingFang SC" w:eastAsia="PingFang SC"/>
          <w:b w:val="0"/>
          <w:sz w:val="19"/>
        </w:rPr>
        <w:t>M11A/M11B：次卫洗衣 + 厨下/总水阀，水电可检修。</w:t>
      </w:r>
    </w:p>
    <w:p>
      <w:pPr>
        <w:pStyle w:val="ListNumber"/>
        <w:spacing w:after="40"/>
      </w:pPr>
      <w:r>
        <w:rPr>
          <w:rFonts w:ascii="PingFang SC" w:hAnsi="PingFang SC" w:eastAsia="PingFang SC"/>
          <w:b w:val="0"/>
          <w:sz w:val="19"/>
        </w:rPr>
        <w:t>M12 窗帘盒：每组电机侧 220V 常电。</w:t>
      </w:r>
    </w:p>
    <w:p>
      <w:pPr>
        <w:pStyle w:val="Heading2"/>
      </w:pPr>
      <w:r>
        <w:rPr>
          <w:rFonts w:ascii="PingFang SC" w:hAnsi="PingFang SC" w:eastAsia="PingFang SC"/>
          <w:b/>
          <w:color w:val="1F4F78"/>
          <w:sz w:val="25"/>
        </w:rPr>
        <w:t>线材和管线要求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19"/>
        </w:rPr>
        <w:t>新增网络点、AP、PoE Zigbee、影音柜、书房、次卧/儿童房、主卧阳台：统一用 Cat6A 网线，不要求七类线。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19"/>
        </w:rPr>
        <w:t>书房和次卧/儿童房的 2 个网口：按同一桌位、同一双口面板施工，2 根 Cat6A 分别直回衣帽间，避免后期桌下再加小交换机。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19"/>
        </w:rPr>
        <w:t>AP1/AP2、PoE Zigbee：每个点 1 根 Cat6A 直回衣帽间机柜/交换机侧，中途不要接驳。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19"/>
        </w:rPr>
        <w:t>RS-485：日立空调、中央加湿各自独立管线回衣帽间；可用 Cat6A 或屏蔽双绞线作为 485 线，A/B 使用同一对双绞线。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19"/>
        </w:rPr>
        <w:t>强电 220V 与网线/RS-485 必须分管分槽；如需交叉，尽量 90 度交叉。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19"/>
        </w:rPr>
        <w:t>所有暗管预留穿线绳；线缆两端贴标签；封槽、封吊顶、封柜前拍照留档。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19"/>
        </w:rPr>
        <w:t>管径和弯头要保证后续可抽换，重点是 AP、PoE Zigbee、影音柜和衣帽间机柜回线。</w:t>
      </w:r>
    </w:p>
    <w:p>
      <w:pPr>
        <w:pStyle w:val="Heading2"/>
      </w:pPr>
      <w:r>
        <w:rPr>
          <w:rFonts w:ascii="PingFang SC" w:hAnsi="PingFang SC" w:eastAsia="PingFang SC"/>
          <w:b/>
          <w:color w:val="1F4F78"/>
          <w:sz w:val="25"/>
        </w:rPr>
        <w:t>本轮明确不要施工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19"/>
        </w:rPr>
        <w:t>入户高位摄像头 / 低位门铃。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19"/>
        </w:rPr>
        <w:t>P2S 墙面网口。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19"/>
        </w:rPr>
        <w:t>AP-R / 第 3 个 AP。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19"/>
        </w:rPr>
        <w:t>CO2、门磁、水浸等电池传感器逐点拉线。</w:t>
      </w:r>
    </w:p>
    <w:p>
      <w:pPr>
        <w:pStyle w:val="ListBullet"/>
        <w:spacing w:after="40"/>
      </w:pPr>
      <w:r>
        <w:rPr>
          <w:rFonts w:ascii="PingFang SC" w:hAnsi="PingFang SC" w:eastAsia="PingFang SC"/>
          <w:b w:val="0"/>
          <w:sz w:val="19"/>
        </w:rPr>
        <w:t>短焦投影仪顶面吊装电源。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color w:val="1F4F78"/>
          <w:sz w:val="30"/>
        </w:rPr>
        <w:t>建议今天发送的材料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2268"/>
            <w:shd w:fill="E8EEF5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sz w:val="20"/>
              </w:rPr>
              <w:t>必须发送</w:t>
            </w:r>
          </w:p>
        </w:tc>
        <w:tc>
          <w:tcPr>
            <w:tcW w:type="dxa" w:w="11339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本 DOCX + 13_强弱电点位图_施工队简版.png</w:t>
            </w:r>
          </w:p>
        </w:tc>
      </w:tr>
      <w:tr>
        <w:tc>
          <w:tcPr>
            <w:tcW w:type="dxa" w:w="2268"/>
            <w:shd w:fill="E8EEF5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sz w:val="20"/>
              </w:rPr>
              <w:t>可选发送</w:t>
            </w:r>
          </w:p>
        </w:tc>
        <w:tc>
          <w:tcPr>
            <w:tcW w:type="dxa" w:w="11339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12_强弱电点位图_业主必要标注.png，只有设计师需要看箭头解释时再发</w:t>
            </w:r>
          </w:p>
        </w:tc>
      </w:tr>
      <w:tr>
        <w:tc>
          <w:tcPr>
            <w:tcW w:type="dxa" w:w="2268"/>
            <w:shd w:fill="E8EEF5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sz w:val="20"/>
              </w:rPr>
              <w:t>不要发送</w:t>
            </w:r>
          </w:p>
        </w:tc>
        <w:tc>
          <w:tcPr>
            <w:tcW w:type="dxa" w:w="11339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7 月 5 日大包和长篇架构文档，除非对方主动要求背景材料</w:t>
            </w:r>
          </w:p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4F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F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/>
      <w:b w:val="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ingFang SC" w:hAnsi="PingFang SC" w:eastAsia="PingFang SC"/>
      <w:b w:val="0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