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pPr>
      <w:r>
        <w:rPr>
          <w:rFonts w:ascii="Aptos Display" w:hAnsi="Aptos Display"/>
          <w:b/>
          <w:color w:val="00D4FF"/>
          <w:sz w:val="132"/>
        </w:rPr>
        <w:t>QRX</w:t>
      </w:r>
    </w:p>
    <w:p>
      <w:r>
        <w:rPr>
          <w:rFonts w:ascii="Aptos Display" w:hAnsi="Aptos Display"/>
          <w:b/>
          <w:color w:val="07111F"/>
          <w:sz w:val="132"/>
        </w:rPr>
        <w:t>CHAIN</w:t>
      </w:r>
    </w:p>
    <w:p>
      <w:pPr>
        <w:spacing w:after="120"/>
        <w:pBdr>
          <w:bottom w:val="single" w:sz="38" w:space="1" w:color="00D4FF"/>
        </w:pBdr>
      </w:pPr>
    </w:p>
    <w:p>
      <w:r>
        <w:rPr>
          <w:b/>
          <w:color w:val="2D7FF9"/>
          <w:sz w:val="34"/>
        </w:rPr>
        <w:t>WHITE PAPER</w:t>
      </w:r>
    </w:p>
    <w:p>
      <w:r>
        <w:rPr>
          <w:b/>
          <w:color w:val="07111F"/>
          <w:sz w:val="40"/>
        </w:rPr>
        <w:t>From Genesis Foundation to Distributed AI Compute</w:t>
      </w:r>
    </w:p>
    <w:p>
      <w:r>
        <w:rPr>
          <w:color w:val="8EA3B8"/>
          <w:sz w:val="22"/>
        </w:rPr>
        <w:t>Architecture • Cryptography • Consensus • AI Agents • Storage • Compute</w:t>
      </w:r>
    </w:p>
    <w:p/>
    <w:tbl>
      <w:tblPr>
        <w:tblW w:type="auto" w:w="0"/>
        <w:jc w:val="center"/>
        <w:tblLook w:firstColumn="1" w:firstRow="1" w:lastColumn="0" w:lastRow="0" w:noHBand="0" w:noVBand="1" w:val="04A0"/>
      </w:tblPr>
      <w:tblGrid>
        <w:gridCol w:w="2520"/>
        <w:gridCol w:w="2520"/>
        <w:gridCol w:w="2520"/>
        <w:gridCol w:w="2520"/>
      </w:tblGrid>
      <w:tr>
        <w:tc>
          <w:tcPr>
            <w:tcW w:type="dxa" w:w="2520"/>
            <w:shd w:fill="0B1C2E"/>
            <w:vAlign w:val="center"/>
            <w:tcBorders>
              <w:top w:val="single" w:sz="4" w:color="17324D"/>
              <w:left w:val="single" w:sz="4" w:color="17324D"/>
              <w:bottom w:val="single" w:sz="4" w:color="17324D"/>
              <w:right w:val="single" w:sz="4" w:color="17324D"/>
            </w:tcBorders>
          </w:tcPr>
          <w:p>
            <w:pPr>
              <w:jc w:val="center"/>
            </w:pPr>
            <w:r>
              <w:rPr>
                <w:b/>
                <w:color w:val="00D4FF"/>
                <w:sz w:val="36"/>
              </w:rPr>
              <w:t>QUB</w:t>
              <w:br/>
            </w:r>
            <w:r>
              <w:rPr>
                <w:color w:val="E8EEF5"/>
                <w:sz w:val="15"/>
              </w:rPr>
              <w:t>Native economic unit</w:t>
            </w:r>
          </w:p>
        </w:tc>
        <w:tc>
          <w:tcPr>
            <w:tcW w:type="dxa" w:w="2520"/>
            <w:shd w:fill="0B1C2E"/>
            <w:vAlign w:val="center"/>
            <w:tcBorders>
              <w:top w:val="single" w:sz="4" w:color="17324D"/>
              <w:left w:val="single" w:sz="4" w:color="17324D"/>
              <w:bottom w:val="single" w:sz="4" w:color="17324D"/>
              <w:right w:val="single" w:sz="4" w:color="17324D"/>
            </w:tcBorders>
          </w:tcPr>
          <w:p>
            <w:pPr>
              <w:jc w:val="center"/>
            </w:pPr>
            <w:r>
              <w:rPr>
                <w:b/>
                <w:color w:val="00D4FF"/>
                <w:sz w:val="36"/>
              </w:rPr>
              <w:t>Hybrid PQ</w:t>
              <w:br/>
            </w:r>
            <w:r>
              <w:rPr>
                <w:color w:val="E8EEF5"/>
                <w:sz w:val="15"/>
              </w:rPr>
              <w:t>Ed25519 + ML-DSA-65</w:t>
            </w:r>
          </w:p>
        </w:tc>
        <w:tc>
          <w:tcPr>
            <w:tcW w:type="dxa" w:w="2520"/>
            <w:shd w:fill="0B1C2E"/>
            <w:vAlign w:val="center"/>
            <w:tcBorders>
              <w:top w:val="single" w:sz="4" w:color="17324D"/>
              <w:left w:val="single" w:sz="4" w:color="17324D"/>
              <w:bottom w:val="single" w:sz="4" w:color="17324D"/>
              <w:right w:val="single" w:sz="4" w:color="17324D"/>
            </w:tcBorders>
          </w:tcPr>
          <w:p>
            <w:pPr>
              <w:jc w:val="center"/>
            </w:pPr>
            <w:r>
              <w:rPr>
                <w:b/>
                <w:color w:val="00D4FF"/>
                <w:sz w:val="36"/>
              </w:rPr>
              <w:t>BFT / PoS</w:t>
              <w:br/>
            </w:r>
            <w:r>
              <w:rPr>
                <w:color w:val="E8EEF5"/>
                <w:sz w:val="15"/>
              </w:rPr>
              <w:t>Validator-led consensus</w:t>
            </w:r>
          </w:p>
        </w:tc>
        <w:tc>
          <w:tcPr>
            <w:tcW w:type="dxa" w:w="2520"/>
            <w:shd w:fill="0B1C2E"/>
            <w:vAlign w:val="center"/>
            <w:tcBorders>
              <w:top w:val="single" w:sz="4" w:color="17324D"/>
              <w:left w:val="single" w:sz="4" w:color="17324D"/>
              <w:bottom w:val="single" w:sz="4" w:color="17324D"/>
              <w:right w:val="single" w:sz="4" w:color="17324D"/>
            </w:tcBorders>
          </w:tcPr>
          <w:p>
            <w:pPr>
              <w:jc w:val="center"/>
            </w:pPr>
            <w:r>
              <w:rPr>
                <w:b/>
                <w:color w:val="00D4FF"/>
                <w:sz w:val="36"/>
              </w:rPr>
              <w:t>0.0.9</w:t>
              <w:br/>
            </w:r>
            <w:r>
              <w:rPr>
                <w:color w:val="E8EEF5"/>
                <w:sz w:val="15"/>
              </w:rPr>
              <w:t>AI Compute Fabric</w:t>
            </w:r>
          </w:p>
        </w:tc>
      </w:tr>
    </w:tbl>
    <w:p>
      <w:pPr>
        <w:spacing w:after="0"/>
      </w:pPr>
    </w:p>
    <w:p>
      <w:pPr>
        <w:spacing w:before="480"/>
      </w:pPr>
      <w:r>
        <w:rPr>
          <w:b/>
          <w:color w:val="8057FF"/>
          <w:sz w:val="18"/>
        </w:rPr>
        <w:t>PRE-GENESIS / TECHNICAL VISION PAPER</w:t>
      </w:r>
    </w:p>
    <w:p>
      <w:r>
        <w:rPr>
          <w:sz w:val="18"/>
        </w:rPr>
        <w:t>Version 1.0 • 31 August 2026</w:t>
      </w:r>
    </w:p>
    <w:p>
      <w:hyperlink r:id="rId10">
        <w:r>
          <w:rPr>
            <w:color w:val="00D4FF"/>
          </w:rPr>
          <w:t>qrxchain.org</w:t>
        </w:r>
      </w:hyperlink>
      <w:r>
        <w:t xml:space="preserve">   •   </w:t>
      </w:r>
      <w:hyperlink r:id="rId11">
        <w:r>
          <w:rPr>
            <w:color w:val="00D4FF"/>
          </w:rPr>
          <w:t>qrxscan.com</w:t>
        </w:r>
      </w:hyperlink>
    </w:p>
    <w:p>
      <w:r>
        <w:br w:type="page"/>
      </w:r>
    </w:p>
    <w:p>
      <w:pPr>
        <w:pStyle w:val="Heading1"/>
      </w:pPr>
      <w:r>
        <w:t>Executive Summary</w:t>
      </w:r>
    </w:p>
    <w:p>
      <w:pPr>
        <w:pStyle w:val="BodyText"/>
      </w:pPr>
      <w:r>
        <w:t>QRX is an experimental, from-scratch blockchain and execution network designed around long-term adaptability rather than compatibility with legacy chain assumptions. QRX is the network and ecosystem brand; QubitCoin (QUB) is the planned native economic unit.</w:t>
      </w:r>
    </w:p>
    <w:p>
      <w:pPr>
        <w:pStyle w:val="BodyText"/>
      </w:pPr>
      <w:r>
        <w:t>Its design trajectory combines a validator-led BFT/staking model, hybrid classical/post-quantum transaction signatures, a native blockchain database, atomic cross-chain settlement, AI-agent execution primitives, decentralized storage and—by version 0.0.9—a heterogeneous distributed AI compute fabric.</w:t>
      </w:r>
    </w:p>
    <w:tbl>
      <w:tblPr>
        <w:tblW w:type="auto" w:w="0"/>
        <w:jc w:val="center"/>
        <w:tblLayout w:type="fixed"/>
        <w:tblLook w:firstColumn="1" w:firstRow="1" w:lastColumn="0" w:lastRow="0" w:noHBand="0" w:noVBand="1" w:val="04A0"/>
      </w:tblPr>
      <w:tblGrid>
        <w:gridCol w:w="115"/>
        <w:gridCol w:w="9144"/>
      </w:tblGrid>
      <w:tr>
        <w:tc>
          <w:tcPr>
            <w:tcW w:type="dxa" w:w="5040"/>
            <w:shd w:fill="00D4FF"/>
            <w:tcBorders>
              <w:top w:val="nil"/>
              <w:left w:val="nil"/>
              <w:bottom w:val="nil"/>
              <w:right w:val="nil"/>
            </w:tcBorders>
          </w:tcPr>
          <w:p>
            <w:r/>
          </w:p>
        </w:tc>
        <w:tc>
          <w:tcPr>
            <w:tcW w:type="dxa" w:w="5040"/>
            <w:shd w:fill="F3F7FB"/>
            <w:tcBorders>
              <w:top w:val="nil"/>
              <w:left w:val="nil"/>
              <w:bottom w:val="nil"/>
              <w:right w:val="nil"/>
            </w:tcBorders>
          </w:tcPr>
          <w:p>
            <w:r>
              <w:rPr>
                <w:b/>
                <w:color w:val="00D4FF"/>
                <w:sz w:val="18"/>
              </w:rPr>
              <w:t>CORE THESIS</w:t>
              <w:br/>
            </w:r>
            <w:r>
              <w:rPr>
                <w:color w:val="101828"/>
                <w:sz w:val="20"/>
              </w:rPr>
              <w:t>QRX is not positioned as “another payment coin.” Its differentiator is the convergence of trust, autonomous execution, persistent storage and heterogeneous compute in one protocol ecosystem.</w:t>
            </w:r>
          </w:p>
        </w:tc>
      </w:tr>
    </w:tbl>
    <w:p>
      <w:pPr>
        <w:spacing w:after="0"/>
      </w:pPr>
    </w:p>
    <w:p>
      <w:pPr>
        <w:pStyle w:val="Heading2"/>
      </w:pPr>
      <w:r>
        <w:t>Design principles</w:t>
      </w:r>
    </w:p>
    <w:p>
      <w:pPr>
        <w:pStyle w:val="ListBullet"/>
      </w:pPr>
      <w:r>
        <w:t>Built from scratch: no Bitcoin fork and no Ethereum client codebase.</w:t>
      </w:r>
    </w:p>
    <w:p>
      <w:pPr>
        <w:pStyle w:val="ListBullet"/>
      </w:pPr>
      <w:r>
        <w:t>Quantum-aware from the protocol design stage, with hybrid Ed25519 + ML-DSA-65 transaction signatures.</w:t>
      </w:r>
    </w:p>
    <w:p>
      <w:pPr>
        <w:pStyle w:val="ListBullet"/>
      </w:pPr>
      <w:r>
        <w:t>Low-energy validator participation rather than Proof-of-Work mining.</w:t>
      </w:r>
    </w:p>
    <w:p>
      <w:pPr>
        <w:pStyle w:val="ListBullet"/>
      </w:pPr>
      <w:r>
        <w:t>Deterministic consensus behavior, slashing and replay-resistant transaction processing.</w:t>
      </w:r>
    </w:p>
    <w:p>
      <w:pPr>
        <w:pStyle w:val="ListBullet"/>
      </w:pPr>
      <w:r>
        <w:t>AI-native execution: identities, permissions, transaction schemas and verifiable workflows for autonomous agents.</w:t>
      </w:r>
    </w:p>
    <w:p>
      <w:pPr>
        <w:pStyle w:val="ListBullet"/>
      </w:pPr>
      <w:r>
        <w:t>Storage-native evolution: cryptographic storage verification and QRX Drive integration.</w:t>
      </w:r>
    </w:p>
    <w:p>
      <w:pPr>
        <w:pStyle w:val="ListBullet"/>
      </w:pPr>
      <w:r>
        <w:t>Compute-native evolution: cross-platform CPU-first distributed inference, later extensible to GPU and NPU backends.</w:t>
      </w:r>
    </w:p>
    <w:p>
      <w:pPr>
        <w:pStyle w:val="Heading2"/>
      </w:pPr>
      <w:r>
        <w:t>Status and scope</w:t>
      </w:r>
    </w:p>
    <w:p>
      <w:pPr>
        <w:pStyle w:val="BodyText"/>
      </w:pPr>
      <w:r>
        <w:t>QRX remains pre-genesis / experimental software. Parameters, economics and activation details may change following testing, audits and community feedback. This paper distinguishes current foundations from planned roadmap capabilities and should not be read as an investment promise.</w:t>
      </w:r>
    </w:p>
    <w:p>
      <w:r>
        <w:br w:type="page"/>
      </w:r>
    </w:p>
    <w:p>
      <w:pPr>
        <w:pStyle w:val="Heading1"/>
      </w:pPr>
      <w:r>
        <w:t>1. Why QRX Exists</w:t>
      </w:r>
    </w:p>
    <w:p>
      <w:pPr>
        <w:pStyle w:val="BodyText"/>
      </w:pPr>
      <w:r>
        <w:t>Most first-generation chains were optimized around one dominant primitive: digital cash, programmable contracts, or tokenized assets. QRX starts from a different question: what should a trust network look like when AI agents, post-quantum migration, decentralized storage and distributed compute are first-class design constraints?</w:t>
      </w:r>
    </w:p>
    <w:p>
      <w:pPr>
        <w:pStyle w:val="Heading2"/>
      </w:pPr>
      <w:r>
        <w:t>1.1 The convergence thesis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0B1C2E"/>
          </w:tcPr>
          <w:p>
            <w:r>
              <w:rPr>
                <w:b/>
                <w:color w:val="F7FAFC"/>
              </w:rPr>
              <w:t>Capability</w:t>
            </w:r>
          </w:p>
        </w:tc>
        <w:tc>
          <w:tcPr>
            <w:tcW w:type="dxa" w:w="3360"/>
            <w:shd w:fill="0B1C2E"/>
          </w:tcPr>
          <w:p>
            <w:r>
              <w:rPr>
                <w:b/>
                <w:color w:val="F7FAFC"/>
              </w:rPr>
              <w:t>QRX direction</w:t>
            </w:r>
          </w:p>
        </w:tc>
        <w:tc>
          <w:tcPr>
            <w:tcW w:type="dxa" w:w="3360"/>
            <w:shd w:fill="0B1C2E"/>
          </w:tcPr>
          <w:p>
            <w:r>
              <w:rPr>
                <w:b/>
                <w:color w:val="F7FAFC"/>
              </w:rPr>
              <w:t>Why it matters</w:t>
            </w:r>
          </w:p>
        </w:tc>
      </w:tr>
      <w:tr>
        <w:tc>
          <w:tcPr>
            <w:tcW w:type="dxa" w:w="3360"/>
            <w:shd w:fill="F5F8FB"/>
            <w:vAlign w:val="top"/>
          </w:tcPr>
          <w:p>
            <w:r>
              <w:t>Trust</w:t>
            </w:r>
          </w:p>
        </w:tc>
        <w:tc>
          <w:tcPr>
            <w:tcW w:type="dxa" w:w="3360"/>
            <w:shd w:fill="F5F8FB"/>
            <w:vAlign w:val="top"/>
          </w:tcPr>
          <w:p>
            <w:r>
              <w:t>BFT-style finality, validator staking, slashing and deterministic protocol rules</w:t>
            </w:r>
          </w:p>
        </w:tc>
        <w:tc>
          <w:tcPr>
            <w:tcW w:type="dxa" w:w="3360"/>
            <w:shd w:fill="F5F8FB"/>
            <w:vAlign w:val="top"/>
          </w:tcPr>
          <w:p>
            <w:r>
              <w:t>Provides a shared settlement and accountability layer.</w:t>
            </w:r>
          </w:p>
        </w:tc>
      </w:tr>
      <w:tr>
        <w:tc>
          <w:tcPr>
            <w:tcW w:type="dxa" w:w="3360"/>
            <w:vAlign w:val="top"/>
          </w:tcPr>
          <w:p>
            <w:r>
              <w:t>Cryptography</w:t>
            </w:r>
          </w:p>
        </w:tc>
        <w:tc>
          <w:tcPr>
            <w:tcW w:type="dxa" w:w="3360"/>
            <w:vAlign w:val="top"/>
          </w:tcPr>
          <w:p>
            <w:r>
              <w:t>Hybrid Ed25519 + ML-DSA-65 path with SHA-3-oriented evolution</w:t>
            </w:r>
          </w:p>
        </w:tc>
        <w:tc>
          <w:tcPr>
            <w:tcW w:type="dxa" w:w="3360"/>
            <w:vAlign w:val="top"/>
          </w:tcPr>
          <w:p>
            <w:r>
              <w:t>Reduces dependence on a classical-only signature future.</w:t>
            </w:r>
          </w:p>
        </w:tc>
      </w:tr>
      <w:tr>
        <w:tc>
          <w:tcPr>
            <w:tcW w:type="dxa" w:w="3360"/>
            <w:shd w:fill="F5F8FB"/>
            <w:vAlign w:val="top"/>
          </w:tcPr>
          <w:p>
            <w:r>
              <w:t>Execution</w:t>
            </w:r>
          </w:p>
        </w:tc>
        <w:tc>
          <w:tcPr>
            <w:tcW w:type="dxa" w:w="3360"/>
            <w:shd w:fill="F5F8FB"/>
            <w:vAlign w:val="top"/>
          </w:tcPr>
          <w:p>
            <w:r>
              <w:t>Versioned transaction schemas, nonce lanes, expiry heights and agent permissions</w:t>
            </w:r>
          </w:p>
        </w:tc>
        <w:tc>
          <w:tcPr>
            <w:tcW w:type="dxa" w:w="3360"/>
            <w:shd w:fill="F5F8FB"/>
            <w:vAlign w:val="top"/>
          </w:tcPr>
          <w:p>
            <w:r>
              <w:t>Lets software agents execute constrained, auditable operations.</w:t>
            </w:r>
          </w:p>
        </w:tc>
      </w:tr>
      <w:tr>
        <w:tc>
          <w:tcPr>
            <w:tcW w:type="dxa" w:w="3360"/>
            <w:vAlign w:val="top"/>
          </w:tcPr>
          <w:p>
            <w:r>
              <w:t>Storage</w:t>
            </w:r>
          </w:p>
        </w:tc>
        <w:tc>
          <w:tcPr>
            <w:tcW w:type="dxa" w:w="3360"/>
            <w:vAlign w:val="top"/>
          </w:tcPr>
          <w:p>
            <w:r>
              <w:t>QRXDB plus planned Proof of Storage and QRX Drive integration</w:t>
            </w:r>
          </w:p>
        </w:tc>
        <w:tc>
          <w:tcPr>
            <w:tcW w:type="dxa" w:w="3360"/>
            <w:vAlign w:val="top"/>
          </w:tcPr>
          <w:p>
            <w:r>
              <w:t>Connects consensus to durable data and artifacts.</w:t>
            </w:r>
          </w:p>
        </w:tc>
      </w:tr>
      <w:tr>
        <w:tc>
          <w:tcPr>
            <w:tcW w:type="dxa" w:w="3360"/>
            <w:shd w:fill="F5F8FB"/>
            <w:vAlign w:val="top"/>
          </w:tcPr>
          <w:p>
            <w:r>
              <w:t>Compute</w:t>
            </w:r>
          </w:p>
        </w:tc>
        <w:tc>
          <w:tcPr>
            <w:tcW w:type="dxa" w:w="3360"/>
            <w:shd w:fill="F5F8FB"/>
            <w:vAlign w:val="top"/>
          </w:tcPr>
          <w:p>
            <w:r>
              <w:t>Planned heterogeneous distributed AI compute fabric</w:t>
            </w:r>
          </w:p>
        </w:tc>
        <w:tc>
          <w:tcPr>
            <w:tcW w:type="dxa" w:w="3360"/>
            <w:shd w:fill="F5F8FB"/>
            <w:vAlign w:val="top"/>
          </w:tcPr>
          <w:p>
            <w:r>
              <w:t>Turns participating hardware into schedulable AI infrastructure.</w:t>
            </w:r>
          </w:p>
        </w:tc>
      </w:tr>
    </w:tbl>
    <w:p>
      <w:pPr>
        <w:spacing w:after="0"/>
      </w:pPr>
    </w:p>
    <w:p>
      <w:pPr>
        <w:pStyle w:val="Heading2"/>
      </w:pPr>
      <w:r>
        <w:t>1.2 What QRX is not</w:t>
      </w:r>
    </w:p>
    <w:p>
      <w:pPr>
        <w:pStyle w:val="ListBullet"/>
      </w:pPr>
      <w:r>
        <w:t>Not a claim to replace Bitcoin.</w:t>
      </w:r>
    </w:p>
    <w:p>
      <w:pPr>
        <w:pStyle w:val="ListBullet"/>
      </w:pPr>
      <w:r>
        <w:t>Not a classical chain with a post-quantum label added later.</w:t>
      </w:r>
    </w:p>
    <w:p>
      <w:pPr>
        <w:pStyle w:val="ListBullet"/>
      </w:pPr>
      <w:r>
        <w:t>Not a blockchain that puts tensors, model weights or every AI operation on-chain.</w:t>
      </w:r>
    </w:p>
    <w:p>
      <w:pPr>
        <w:pStyle w:val="ListBullet"/>
      </w:pPr>
      <w:r>
        <w:t>Not dependent on a single CPU vendor, operating system or accelerator architecture.</w:t>
      </w:r>
    </w:p>
    <w:tbl>
      <w:tblPr>
        <w:tblW w:type="auto" w:w="0"/>
        <w:jc w:val="center"/>
        <w:tblLayout w:type="fixed"/>
        <w:tblLook w:firstColumn="1" w:firstRow="1" w:lastColumn="0" w:lastRow="0" w:noHBand="0" w:noVBand="1" w:val="04A0"/>
      </w:tblPr>
      <w:tblGrid>
        <w:gridCol w:w="115"/>
        <w:gridCol w:w="9144"/>
      </w:tblGrid>
      <w:tr>
        <w:tc>
          <w:tcPr>
            <w:tcW w:type="dxa" w:w="5040"/>
            <w:shd w:fill="00D4FF"/>
            <w:tcBorders>
              <w:top w:val="nil"/>
              <w:left w:val="nil"/>
              <w:bottom w:val="nil"/>
              <w:right w:val="nil"/>
            </w:tcBorders>
          </w:tcPr>
          <w:p>
            <w:r/>
          </w:p>
        </w:tc>
        <w:tc>
          <w:tcPr>
            <w:tcW w:type="dxa" w:w="5040"/>
            <w:shd w:fill="F3F7FB"/>
            <w:tcBorders>
              <w:top w:val="nil"/>
              <w:left w:val="nil"/>
              <w:bottom w:val="nil"/>
              <w:right w:val="nil"/>
            </w:tcBorders>
          </w:tcPr>
          <w:p>
            <w:r>
              <w:rPr>
                <w:b/>
                <w:color w:val="00D4FF"/>
                <w:sz w:val="18"/>
              </w:rPr>
              <w:t>SEPARATION OF CONCERNS</w:t>
              <w:br/>
            </w:r>
            <w:r>
              <w:rPr>
                <w:color w:val="101828"/>
                <w:sz w:val="20"/>
              </w:rPr>
              <w:t>Consensus records identity, rights, proofs, accounting and settlement. High-bandwidth AI execution and model traffic remain off-chain between compute nodes.</w:t>
            </w:r>
          </w:p>
        </w:tc>
      </w:tr>
    </w:tbl>
    <w:p>
      <w:pPr>
        <w:spacing w:after="0"/>
      </w:pPr>
    </w:p>
    <w:p>
      <w:r>
        <w:br w:type="page"/>
      </w:r>
    </w:p>
    <w:p>
      <w:pPr>
        <w:pStyle w:val="Heading1"/>
      </w:pPr>
      <w:r>
        <w:t>2. QRX Novelties &amp; Unique Selling Proposition</w:t>
      </w:r>
    </w:p>
    <w:p>
      <w:pPr>
        <w:pStyle w:val="BodyText"/>
      </w:pPr>
      <w:r>
        <w:t>No single feature below is claimed to be globally unique in isolation. The intended novelty is the integrated architecture and the way the components reinforce one another. QRX's USP is therefore a system-level proposition, not a claim that no other project has ever implemented staking, post-quantum signatures, storage proofs or distributed inference.</w:t>
      </w:r>
    </w:p>
    <w:p>
      <w:pPr>
        <w:pStyle w:val="Heading2"/>
      </w:pPr>
      <w:r>
        <w:t>2.1 System-level differentiators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0B1C2E"/>
          </w:tcPr>
          <w:p>
            <w:r>
              <w:rPr>
                <w:b/>
                <w:color w:val="F7FAFC"/>
              </w:rPr>
              <w:t>Capability</w:t>
            </w:r>
          </w:p>
        </w:tc>
        <w:tc>
          <w:tcPr>
            <w:tcW w:type="dxa" w:w="3360"/>
            <w:shd w:fill="0B1C2E"/>
          </w:tcPr>
          <w:p>
            <w:r>
              <w:rPr>
                <w:b/>
                <w:color w:val="F7FAFC"/>
              </w:rPr>
              <w:t>QRX direction</w:t>
            </w:r>
          </w:p>
        </w:tc>
        <w:tc>
          <w:tcPr>
            <w:tcW w:type="dxa" w:w="3360"/>
            <w:shd w:fill="0B1C2E"/>
          </w:tcPr>
          <w:p>
            <w:r>
              <w:rPr>
                <w:b/>
                <w:color w:val="F7FAFC"/>
              </w:rPr>
              <w:t>Why it matters</w:t>
            </w:r>
          </w:p>
        </w:tc>
      </w:tr>
      <w:tr>
        <w:tc>
          <w:tcPr>
            <w:tcW w:type="dxa" w:w="3360"/>
            <w:shd w:fill="F5F8FB"/>
            <w:vAlign w:val="top"/>
          </w:tcPr>
          <w:p>
            <w:r>
              <w:t>Hybrid transaction cryptography</w:t>
            </w:r>
          </w:p>
        </w:tc>
        <w:tc>
          <w:tcPr>
            <w:tcW w:type="dxa" w:w="3360"/>
            <w:shd w:fill="F5F8FB"/>
            <w:vAlign w:val="top"/>
          </w:tcPr>
          <w:p>
            <w:r>
              <w:t>Classical Ed25519 and ML-DSA-65 in the transaction-signature path</w:t>
            </w:r>
          </w:p>
        </w:tc>
        <w:tc>
          <w:tcPr>
            <w:tcW w:type="dxa" w:w="3360"/>
            <w:shd w:fill="F5F8FB"/>
            <w:vAlign w:val="top"/>
          </w:tcPr>
          <w:p>
            <w:r>
              <w:t>Migration safety without forcing an immediate classical-to-PQ cliff.</w:t>
            </w:r>
          </w:p>
        </w:tc>
      </w:tr>
      <w:tr>
        <w:tc>
          <w:tcPr>
            <w:tcW w:type="dxa" w:w="3360"/>
            <w:vAlign w:val="top"/>
          </w:tcPr>
          <w:p>
            <w:r>
              <w:t>QRXDB</w:t>
            </w:r>
          </w:p>
        </w:tc>
        <w:tc>
          <w:tcPr>
            <w:tcW w:type="dxa" w:w="3360"/>
            <w:vAlign w:val="top"/>
          </w:tcPr>
          <w:p>
            <w:r>
              <w:t>mmap-native, append-oriented database with WAL recovery, MVCC generations, zero-copy reads and snapshots</w:t>
            </w:r>
          </w:p>
        </w:tc>
        <w:tc>
          <w:tcPr>
            <w:tcW w:type="dxa" w:w="3360"/>
            <w:vAlign w:val="top"/>
          </w:tcPr>
          <w:p>
            <w:r>
              <w:t>Blockchain storage is treated as a protocol-specific subsystem rather than a generic afterthought.</w:t>
            </w:r>
          </w:p>
        </w:tc>
      </w:tr>
      <w:tr>
        <w:tc>
          <w:tcPr>
            <w:tcW w:type="dxa" w:w="3360"/>
            <w:shd w:fill="F5F8FB"/>
            <w:vAlign w:val="top"/>
          </w:tcPr>
          <w:p>
            <w:r>
              <w:t>Validator economics</w:t>
            </w:r>
          </w:p>
        </w:tc>
        <w:tc>
          <w:tcPr>
            <w:tcW w:type="dxa" w:w="3360"/>
            <w:shd w:fill="F5F8FB"/>
            <w:vAlign w:val="top"/>
          </w:tcPr>
          <w:p>
            <w:r>
              <w:t>Stake/delegation, slashing, jail/tombstone behavior and penalty redistribution</w:t>
            </w:r>
          </w:p>
        </w:tc>
        <w:tc>
          <w:tcPr>
            <w:tcW w:type="dxa" w:w="3360"/>
            <w:shd w:fill="F5F8FB"/>
            <w:vAlign w:val="top"/>
          </w:tcPr>
          <w:p>
            <w:r>
              <w:t>Security incentives are explicit protocol mechanics.</w:t>
            </w:r>
          </w:p>
        </w:tc>
      </w:tr>
      <w:tr>
        <w:tc>
          <w:tcPr>
            <w:tcW w:type="dxa" w:w="3360"/>
            <w:vAlign w:val="top"/>
          </w:tcPr>
          <w:p>
            <w:r>
              <w:t>Quantum Swaps</w:t>
            </w:r>
          </w:p>
        </w:tc>
        <w:tc>
          <w:tcPr>
            <w:tcW w:type="dxa" w:w="3360"/>
            <w:vAlign w:val="top"/>
          </w:tcPr>
          <w:p>
            <w:r>
              <w:t>HTLC/atomic-swap direction between QRX and Bitcoin</w:t>
            </w:r>
          </w:p>
        </w:tc>
        <w:tc>
          <w:tcPr>
            <w:tcW w:type="dxa" w:w="3360"/>
            <w:vAlign w:val="top"/>
          </w:tcPr>
          <w:p>
            <w:r>
              <w:t>Cross-chain exchange without making a centralized custodian the protocol primitive.</w:t>
            </w:r>
          </w:p>
        </w:tc>
      </w:tr>
      <w:tr>
        <w:tc>
          <w:tcPr>
            <w:tcW w:type="dxa" w:w="3360"/>
            <w:shd w:fill="F5F8FB"/>
            <w:vAlign w:val="top"/>
          </w:tcPr>
          <w:p>
            <w:r>
              <w:t>VELOCITY</w:t>
            </w:r>
          </w:p>
        </w:tc>
        <w:tc>
          <w:tcPr>
            <w:tcW w:type="dxa" w:w="3360"/>
            <w:shd w:fill="F5F8FB"/>
            <w:vAlign w:val="top"/>
          </w:tcPr>
          <w:p>
            <w:r>
              <w:t>Fast-transfer and order-execution transaction path with nonce lanes and deterministic expiry</w:t>
            </w:r>
          </w:p>
        </w:tc>
        <w:tc>
          <w:tcPr>
            <w:tcW w:type="dxa" w:w="3360"/>
            <w:shd w:fill="F5F8FB"/>
            <w:vAlign w:val="top"/>
          </w:tcPr>
          <w:p>
            <w:r>
              <w:t>A transaction architecture aimed at autonomous execution and trading workloads.</w:t>
            </w:r>
          </w:p>
        </w:tc>
      </w:tr>
      <w:tr>
        <w:tc>
          <w:tcPr>
            <w:tcW w:type="dxa" w:w="3360"/>
            <w:vAlign w:val="top"/>
          </w:tcPr>
          <w:p>
            <w:r>
              <w:t>AI Agent Foundation</w:t>
            </w:r>
          </w:p>
        </w:tc>
        <w:tc>
          <w:tcPr>
            <w:tcW w:type="dxa" w:w="3360"/>
            <w:vAlign w:val="top"/>
          </w:tcPr>
          <w:p>
            <w:r>
              <w:t>Agent identities, permissions, expiry/revocation, market allowlists and no access to owner private keys</w:t>
            </w:r>
          </w:p>
        </w:tc>
        <w:tc>
          <w:tcPr>
            <w:tcW w:type="dxa" w:w="3360"/>
            <w:vAlign w:val="top"/>
          </w:tcPr>
          <w:p>
            <w:r>
              <w:t>Agents become constrained protocol actors instead of wallet-key holders.</w:t>
            </w:r>
          </w:p>
        </w:tc>
      </w:tr>
      <w:tr>
        <w:tc>
          <w:tcPr>
            <w:tcW w:type="dxa" w:w="3360"/>
            <w:shd w:fill="F5F8FB"/>
            <w:vAlign w:val="top"/>
          </w:tcPr>
          <w:p>
            <w:r>
              <w:t>Proof of Storage</w:t>
            </w:r>
          </w:p>
        </w:tc>
        <w:tc>
          <w:tcPr>
            <w:tcW w:type="dxa" w:w="3360"/>
            <w:shd w:fill="F5F8FB"/>
            <w:vAlign w:val="top"/>
          </w:tcPr>
          <w:p>
            <w:r>
              <w:t>Planned provider contracts and cryptographic storage verification</w:t>
            </w:r>
          </w:p>
        </w:tc>
        <w:tc>
          <w:tcPr>
            <w:tcW w:type="dxa" w:w="3360"/>
            <w:shd w:fill="F5F8FB"/>
            <w:vAlign w:val="top"/>
          </w:tcPr>
          <w:p>
            <w:r>
              <w:t>Makes persistent data an economic network resource.</w:t>
            </w:r>
          </w:p>
        </w:tc>
      </w:tr>
      <w:tr>
        <w:tc>
          <w:tcPr>
            <w:tcW w:type="dxa" w:w="3360"/>
            <w:vAlign w:val="top"/>
          </w:tcPr>
          <w:p>
            <w:r>
              <w:t>Distributed AI Compute</w:t>
            </w:r>
          </w:p>
        </w:tc>
        <w:tc>
          <w:tcPr>
            <w:tcW w:type="dxa" w:w="3360"/>
            <w:vAlign w:val="top"/>
          </w:tcPr>
          <w:p>
            <w:r>
              <w:t>Planned cross-platform x86-64/ARM64 runtime with hardware-adaptive kernels and MoE scheduling</w:t>
            </w:r>
          </w:p>
        </w:tc>
        <w:tc>
          <w:tcPr>
            <w:tcW w:type="dxa" w:w="3360"/>
            <w:vAlign w:val="top"/>
          </w:tcPr>
          <w:p>
            <w:r>
              <w:t>Extends the network from settlement/storage into AI infrastructure.</w:t>
            </w:r>
          </w:p>
        </w:tc>
      </w:tr>
    </w:tbl>
    <w:p>
      <w:pPr>
        <w:spacing w:after="0"/>
      </w:pPr>
    </w:p>
    <w:p>
      <w:r>
        <w:br w:type="page"/>
      </w:r>
    </w:p>
    <w:p>
      <w:pPr>
        <w:pStyle w:val="Heading1"/>
      </w:pPr>
      <w:r>
        <w:t>2.2 The QRX stack</w:t>
      </w:r>
    </w:p>
    <w:tbl>
      <w:tblPr>
        <w:tblW w:type="auto" w:w="0"/>
        <w:jc w:val="center"/>
        <w:tblLook w:firstColumn="1" w:firstRow="1" w:lastColumn="0" w:lastRow="0" w:noHBand="0" w:noVBand="1" w:val="04A0"/>
      </w:tblPr>
      <w:tblGrid>
        <w:gridCol w:w="2520"/>
        <w:gridCol w:w="2520"/>
        <w:gridCol w:w="2520"/>
        <w:gridCol w:w="2520"/>
      </w:tblGrid>
      <w:tr>
        <w:tc>
          <w:tcPr>
            <w:tcW w:type="dxa" w:w="2520"/>
            <w:shd w:fill="0B1C2E"/>
            <w:vAlign w:val="center"/>
            <w:tcBorders>
              <w:top w:val="single" w:sz="4" w:color="17324D"/>
              <w:left w:val="single" w:sz="4" w:color="17324D"/>
              <w:bottom w:val="single" w:sz="4" w:color="17324D"/>
              <w:right w:val="single" w:sz="4" w:color="17324D"/>
            </w:tcBorders>
          </w:tcPr>
          <w:p>
            <w:pPr>
              <w:jc w:val="center"/>
            </w:pPr>
            <w:r>
              <w:rPr>
                <w:b/>
                <w:color w:val="00D4FF"/>
                <w:sz w:val="36"/>
              </w:rPr>
              <w:t>L1</w:t>
              <w:br/>
            </w:r>
            <w:r>
              <w:rPr>
                <w:color w:val="E8EEF5"/>
                <w:sz w:val="15"/>
              </w:rPr>
              <w:t>Consensus &amp; settlement</w:t>
            </w:r>
          </w:p>
        </w:tc>
        <w:tc>
          <w:tcPr>
            <w:tcW w:type="dxa" w:w="2520"/>
            <w:shd w:fill="0B1C2E"/>
            <w:vAlign w:val="center"/>
            <w:tcBorders>
              <w:top w:val="single" w:sz="4" w:color="17324D"/>
              <w:left w:val="single" w:sz="4" w:color="17324D"/>
              <w:bottom w:val="single" w:sz="4" w:color="17324D"/>
              <w:right w:val="single" w:sz="4" w:color="17324D"/>
            </w:tcBorders>
          </w:tcPr>
          <w:p>
            <w:pPr>
              <w:jc w:val="center"/>
            </w:pPr>
            <w:r>
              <w:rPr>
                <w:b/>
                <w:color w:val="00D4FF"/>
                <w:sz w:val="36"/>
              </w:rPr>
              <w:t>Agents</w:t>
              <w:br/>
            </w:r>
            <w:r>
              <w:rPr>
                <w:color w:val="E8EEF5"/>
                <w:sz w:val="15"/>
              </w:rPr>
              <w:t>Autonomous execution</w:t>
            </w:r>
          </w:p>
        </w:tc>
        <w:tc>
          <w:tcPr>
            <w:tcW w:type="dxa" w:w="2520"/>
            <w:shd w:fill="0B1C2E"/>
            <w:vAlign w:val="center"/>
            <w:tcBorders>
              <w:top w:val="single" w:sz="4" w:color="17324D"/>
              <w:left w:val="single" w:sz="4" w:color="17324D"/>
              <w:bottom w:val="single" w:sz="4" w:color="17324D"/>
              <w:right w:val="single" w:sz="4" w:color="17324D"/>
            </w:tcBorders>
          </w:tcPr>
          <w:p>
            <w:pPr>
              <w:jc w:val="center"/>
            </w:pPr>
            <w:r>
              <w:rPr>
                <w:b/>
                <w:color w:val="00D4FF"/>
                <w:sz w:val="36"/>
              </w:rPr>
              <w:t>Drive</w:t>
              <w:br/>
            </w:r>
            <w:r>
              <w:rPr>
                <w:color w:val="E8EEF5"/>
                <w:sz w:val="15"/>
              </w:rPr>
              <w:t>Persistent artifacts</w:t>
            </w:r>
          </w:p>
        </w:tc>
        <w:tc>
          <w:tcPr>
            <w:tcW w:type="dxa" w:w="2520"/>
            <w:shd w:fill="0B1C2E"/>
            <w:vAlign w:val="center"/>
            <w:tcBorders>
              <w:top w:val="single" w:sz="4" w:color="17324D"/>
              <w:left w:val="single" w:sz="4" w:color="17324D"/>
              <w:bottom w:val="single" w:sz="4" w:color="17324D"/>
              <w:right w:val="single" w:sz="4" w:color="17324D"/>
            </w:tcBorders>
          </w:tcPr>
          <w:p>
            <w:pPr>
              <w:jc w:val="center"/>
            </w:pPr>
            <w:r>
              <w:rPr>
                <w:b/>
                <w:color w:val="00D4FF"/>
                <w:sz w:val="36"/>
              </w:rPr>
              <w:t>Compute</w:t>
              <w:br/>
            </w:r>
            <w:r>
              <w:rPr>
                <w:color w:val="E8EEF5"/>
                <w:sz w:val="15"/>
              </w:rPr>
              <w:t>Distributed inference</w:t>
            </w:r>
          </w:p>
        </w:tc>
      </w:tr>
    </w:tbl>
    <w:p>
      <w:pPr>
        <w:spacing w:after="0"/>
      </w:pPr>
    </w:p>
    <w:p>
      <w:pPr>
        <w:pStyle w:val="BodyText"/>
      </w:pPr>
      <w:r>
        <w:t>The long-term architecture is intentionally layered. QRX Chain provides decentralized trust and settlement. QRX Drive provides persistence. The AI Agent layer provides constrained autonomous action. QRX Compute supplies schedulable execution capacity. QRX OS One can sit above these layers as an end-user workspace without being required for the chain itself.</w:t>
      </w:r>
    </w:p>
    <w:p>
      <w:pPr>
        <w:pStyle w:val="Heading2"/>
      </w:pPr>
      <w:r>
        <w:t>Protocol / execution boundary</w:t>
      </w:r>
    </w:p>
    <w:tbl>
      <w:tblPr>
        <w:tblW w:type="auto" w:w="0"/>
        <w:jc w:val="center"/>
        <w:tblLook w:firstColumn="1" w:firstRow="1" w:lastColumn="0" w:lastRow="0" w:noHBand="0" w:noVBand="1" w:val="04A0"/>
      </w:tblPr>
      <w:tblGrid>
        <w:gridCol w:w="5040"/>
        <w:gridCol w:w="5040"/>
      </w:tblGrid>
      <w:tr>
        <w:tc>
          <w:tcPr>
            <w:tcW w:type="dxa" w:w="5040"/>
            <w:shd w:fill="0B1C2E"/>
          </w:tcPr>
          <w:p>
            <w:r>
              <w:rPr>
                <w:b/>
                <w:color w:val="00D4FF"/>
              </w:rPr>
              <w:t>ON-CHAIN</w:t>
            </w:r>
          </w:p>
        </w:tc>
        <w:tc>
          <w:tcPr>
            <w:tcW w:type="dxa" w:w="5040"/>
            <w:shd w:fill="F5F8FB"/>
          </w:tcPr>
          <w:p>
            <w:r>
              <w:t>Node registration • validator state • agent identity • permissions • storage contracts • proofs • job accounting • QUB settlement • reputation/slashing</w:t>
            </w:r>
          </w:p>
        </w:tc>
      </w:tr>
      <w:tr>
        <w:tc>
          <w:tcPr>
            <w:tcW w:type="dxa" w:w="5040"/>
            <w:shd w:fill="0B1C2E"/>
          </w:tcPr>
          <w:p>
            <w:r>
              <w:rPr>
                <w:b/>
                <w:color w:val="00D4FF"/>
              </w:rPr>
              <w:t>OFF-CHAIN</w:t>
            </w:r>
          </w:p>
        </w:tc>
        <w:tc>
          <w:tcPr>
            <w:tcW w:type="dxa" w:w="5040"/>
          </w:tcPr>
          <w:p>
            <w:r>
              <w:t>Model shards • activations • expert RPC • AI payloads • document transfer • high-bandwidth compute traffic</w:t>
            </w:r>
          </w:p>
        </w:tc>
      </w:tr>
      <w:tr>
        <w:tc>
          <w:tcPr>
            <w:tcW w:type="dxa" w:w="5040"/>
            <w:shd w:fill="0B1C2E"/>
          </w:tcPr>
          <w:p>
            <w:r>
              <w:rPr>
                <w:b/>
                <w:color w:val="00D4FF"/>
              </w:rPr>
              <w:t>LOCAL NODE</w:t>
            </w:r>
          </w:p>
        </w:tc>
        <w:tc>
          <w:tcPr>
            <w:tcW w:type="dxa" w:w="5040"/>
            <w:shd w:fill="F5F8FB"/>
          </w:tcPr>
          <w:p>
            <w:r>
              <w:t>Private keys • local signing • NVMe model cache • optimized kernels • hardware benchmarks</w:t>
            </w:r>
          </w:p>
        </w:tc>
      </w:tr>
      <w:tr>
        <w:tc>
          <w:tcPr>
            <w:tcW w:type="dxa" w:w="5040"/>
            <w:shd w:fill="0B1C2E"/>
          </w:tcPr>
          <w:p>
            <w:r>
              <w:rPr>
                <w:b/>
                <w:color w:val="00D4FF"/>
              </w:rPr>
              <w:t>DISTRIBUTED</w:t>
            </w:r>
          </w:p>
        </w:tc>
        <w:tc>
          <w:tcPr>
            <w:tcW w:type="dxa" w:w="5040"/>
          </w:tcPr>
          <w:p>
            <w:r>
              <w:t>Peer network • storage replication • expert placement • task scheduling • failover</w:t>
            </w:r>
          </w:p>
        </w:tc>
      </w:tr>
      <w:tr>
        <w:tc>
          <w:tcPr>
            <w:tcW w:type="dxa" w:w="5040"/>
            <w:shd w:fill="0B1C2E"/>
          </w:tcPr>
          <w:p>
            <w:r>
              <w:rPr>
                <w:b/>
                <w:color w:val="00D4FF"/>
              </w:rPr>
              <w:t>USER LAYER</w:t>
            </w:r>
          </w:p>
        </w:tc>
        <w:tc>
          <w:tcPr>
            <w:tcW w:type="dxa" w:w="5040"/>
            <w:shd w:fill="F5F8FB"/>
          </w:tcPr>
          <w:p>
            <w:r>
              <w:t>Wallet • Explorer • QRX OS One • AURA • developer APIs</w:t>
            </w:r>
          </w:p>
        </w:tc>
      </w:tr>
    </w:tbl>
    <w:p>
      <w:r>
        <w:br w:type="page"/>
      </w:r>
    </w:p>
    <w:p>
      <w:pPr>
        <w:pStyle w:val="Heading1"/>
      </w:pPr>
      <w:r>
        <w:t>3. Core Architecture</w:t>
      </w:r>
    </w:p>
    <w:p>
      <w:pPr>
        <w:pStyle w:val="Heading2"/>
      </w:pPr>
      <w:r>
        <w:t>3.1 Consensus and validator model</w:t>
      </w:r>
    </w:p>
    <w:p>
      <w:pPr>
        <w:pStyle w:val="BodyText"/>
      </w:pPr>
      <w:r>
        <w:t>QRX follows a validator-focused, BFT-style direction with staking and delegation. The pre-genesis parameter set published during development used a 10-second block target, a 0.25 QUB initial block reward, a roughly four-year halving interval, a 30% validator / 70% delegator reward split, 10% default validator commission and a 100 QUB minimum validator self-stake.</w:t>
      </w:r>
    </w:p>
    <w:p>
      <w:pPr>
        <w:pStyle w:val="BodyText"/>
      </w:pPr>
      <w:r>
        <w:t>Slashing is intended to distinguish safety violations from liveness failures. Double-sign behavior is treated as a severe offense with large power reduction and tombstoning/long-term jail, while prolonged offline behavior uses a smaller slash and temporary jail.</w:t>
      </w:r>
    </w:p>
    <w:tbl>
      <w:tblPr>
        <w:tblW w:type="auto" w:w="0"/>
        <w:jc w:val="center"/>
        <w:tblLayout w:type="fixed"/>
        <w:tblLook w:firstColumn="1" w:firstRow="1" w:lastColumn="0" w:lastRow="0" w:noHBand="0" w:noVBand="1" w:val="04A0"/>
      </w:tblPr>
      <w:tblGrid>
        <w:gridCol w:w="115"/>
        <w:gridCol w:w="9144"/>
      </w:tblGrid>
      <w:tr>
        <w:tc>
          <w:tcPr>
            <w:tcW w:type="dxa" w:w="5040"/>
            <w:shd w:fill="00D4FF"/>
            <w:tcBorders>
              <w:top w:val="nil"/>
              <w:left w:val="nil"/>
              <w:bottom w:val="nil"/>
              <w:right w:val="nil"/>
            </w:tcBorders>
          </w:tcPr>
          <w:p>
            <w:r/>
          </w:p>
        </w:tc>
        <w:tc>
          <w:tcPr>
            <w:tcW w:type="dxa" w:w="5040"/>
            <w:shd w:fill="F3F7FB"/>
            <w:tcBorders>
              <w:top w:val="nil"/>
              <w:left w:val="nil"/>
              <w:bottom w:val="nil"/>
              <w:right w:val="nil"/>
            </w:tcBorders>
          </w:tcPr>
          <w:p>
            <w:r>
              <w:rPr>
                <w:b/>
                <w:color w:val="00D4FF"/>
                <w:sz w:val="18"/>
              </w:rPr>
              <w:t>IMPORTANT</w:t>
              <w:br/>
            </w:r>
            <w:r>
              <w:rPr>
                <w:color w:val="101828"/>
                <w:sz w:val="20"/>
              </w:rPr>
              <w:t>These are pre-genesis parameters and remain subject to finalization before public genesis.</w:t>
            </w:r>
          </w:p>
        </w:tc>
      </w:tr>
    </w:tbl>
    <w:p>
      <w:pPr>
        <w:spacing w:after="0"/>
      </w:pPr>
    </w:p>
    <w:p>
      <w:pPr>
        <w:pStyle w:val="Heading2"/>
      </w:pPr>
      <w:r>
        <w:t>3.2 Determinism and hardening</w:t>
      </w:r>
    </w:p>
    <w:p>
      <w:pPr>
        <w:pStyle w:val="ListBullet"/>
      </w:pPr>
      <w:r>
        <w:t>chain_id separation and protocol versioning</w:t>
      </w:r>
    </w:p>
    <w:p>
      <w:pPr>
        <w:pStyle w:val="ListBullet"/>
      </w:pPr>
      <w:r>
        <w:t>snapshot versioning</w:t>
      </w:r>
    </w:p>
    <w:p>
      <w:pPr>
        <w:pStyle w:val="ListBullet"/>
      </w:pPr>
      <w:r>
        <w:t>timestamp consensus validation / median-time direction</w:t>
      </w:r>
    </w:p>
    <w:p>
      <w:pPr>
        <w:pStyle w:val="ListBullet"/>
      </w:pPr>
      <w:r>
        <w:t>nonce enforcement and replay-protection groundwork</w:t>
      </w:r>
    </w:p>
    <w:p>
      <w:pPr>
        <w:pStyle w:val="ListBullet"/>
      </w:pPr>
      <w:r>
        <w:t>height/round locking and double-sign evidence handling</w:t>
      </w:r>
    </w:p>
    <w:p>
      <w:pPr>
        <w:pStyle w:val="ListBullet"/>
      </w:pPr>
      <w:r>
        <w:t>graceful SIGINT/SIGTERM shutdown and validator-safe restart direction</w:t>
      </w:r>
    </w:p>
    <w:p>
      <w:pPr>
        <w:pStyle w:val="Heading2"/>
      </w:pPr>
      <w:r>
        <w:t>3.3 QRXDB</w:t>
      </w:r>
    </w:p>
    <w:p>
      <w:pPr>
        <w:pStyle w:val="BodyText"/>
      </w:pPr>
      <w:r>
        <w:t>QRXDB is the custom blockchain-oriented storage engine developed for QRX. Its design direction includes mmap access, append-oriented persistence, WAL recovery, MVCC generations, zero-copy reads, Merkle-state groundwork and snapshot support.</w:t>
      </w:r>
    </w:p>
    <w:p>
      <w:r>
        <w:br w:type="page"/>
      </w:r>
    </w:p>
    <w:p>
      <w:pPr>
        <w:pStyle w:val="Heading1"/>
      </w:pPr>
      <w:r>
        <w:t>4. Cryptography &amp; Long-Term Security</w:t>
      </w:r>
    </w:p>
    <w:p>
      <w:pPr>
        <w:pStyle w:val="Heading2"/>
      </w:pPr>
      <w:r>
        <w:t>4.1 Hybrid signatures</w:t>
      </w:r>
    </w:p>
    <w:p>
      <w:pPr>
        <w:pStyle w:val="BodyText"/>
      </w:pPr>
      <w:r>
        <w:t>QRX's central cryptographic differentiator is a hybrid transaction-signature path combining Ed25519 with ML-DSA-65. The objective is defense in depth: retain a mature classical signature while introducing a standardized post-quantum signature path rather than waiting for a future emergency migration.</w:t>
      </w:r>
    </w:p>
    <w:p>
      <w:pPr>
        <w:pStyle w:val="Heading2"/>
      </w:pPr>
      <w:r>
        <w:t>4.2 Quantum-aware, not quantum-proof</w:t>
      </w:r>
    </w:p>
    <w:p>
      <w:pPr>
        <w:pStyle w:val="BodyText"/>
      </w:pPr>
      <w:r>
        <w:t>The project deliberately uses the language “quantum-aware” and “post-quantum trajectory.” Cryptographic safety depends on implementations, parameters, key handling, libraries, audits and future cryptanalysis. No responsible blockchain can guarantee permanent immunity from unknown future attacks.</w:t>
      </w:r>
    </w:p>
    <w:p>
      <w:pPr>
        <w:pStyle w:val="Heading2"/>
      </w:pPr>
      <w:r>
        <w:t>4.3 Hashing and migration</w:t>
      </w:r>
    </w:p>
    <w:p>
      <w:pPr>
        <w:pStyle w:val="BodyText"/>
      </w:pPr>
      <w:r>
        <w:t>QRX development has incorporated SHA3-512 hashing and maintains a SHA-3-oriented evolution path. Protocol versioning and fork-based upgrades are intended to preserve the ability to change cryptographic components as standards and threat models evolve.</w:t>
      </w:r>
    </w:p>
    <w:p>
      <w:pPr>
        <w:pStyle w:val="Heading2"/>
      </w:pPr>
      <w:r>
        <w:t>4.4 Non-custodial principle</w:t>
      </w:r>
    </w:p>
    <w:tbl>
      <w:tblPr>
        <w:tblW w:type="auto" w:w="0"/>
        <w:jc w:val="center"/>
        <w:tblLayout w:type="fixed"/>
        <w:tblLook w:firstColumn="1" w:firstRow="1" w:lastColumn="0" w:lastRow="0" w:noHBand="0" w:noVBand="1" w:val="04A0"/>
      </w:tblPr>
      <w:tblGrid>
        <w:gridCol w:w="115"/>
        <w:gridCol w:w="9144"/>
      </w:tblGrid>
      <w:tr>
        <w:tc>
          <w:tcPr>
            <w:tcW w:type="dxa" w:w="5040"/>
            <w:shd w:fill="00D4FF"/>
            <w:tcBorders>
              <w:top w:val="nil"/>
              <w:left w:val="nil"/>
              <w:bottom w:val="nil"/>
              <w:right w:val="nil"/>
            </w:tcBorders>
          </w:tcPr>
          <w:p>
            <w:r/>
          </w:p>
        </w:tc>
        <w:tc>
          <w:tcPr>
            <w:tcW w:type="dxa" w:w="5040"/>
            <w:shd w:fill="F3F7FB"/>
            <w:tcBorders>
              <w:top w:val="nil"/>
              <w:left w:val="nil"/>
              <w:bottom w:val="nil"/>
              <w:right w:val="nil"/>
            </w:tcBorders>
          </w:tcPr>
          <w:p>
            <w:r>
              <w:rPr>
                <w:b/>
                <w:color w:val="00D4FF"/>
                <w:sz w:val="18"/>
              </w:rPr>
              <w:t>WALLET SECURITY MODEL</w:t>
              <w:br/>
            </w:r>
            <w:r>
              <w:rPr>
                <w:color w:val="101828"/>
                <w:sz w:val="20"/>
              </w:rPr>
              <w:t>Create transaction → sign locally → broadcast. Private keys should not need to leave the user's device, and AI agents should not receive the owner's private wallet key.</w:t>
            </w:r>
          </w:p>
        </w:tc>
      </w:tr>
    </w:tbl>
    <w:p>
      <w:pPr>
        <w:spacing w:after="0"/>
      </w:pPr>
    </w:p>
    <w:p>
      <w:r>
        <w:br w:type="page"/>
      </w:r>
    </w:p>
    <w:p>
      <w:pPr>
        <w:pStyle w:val="Heading1"/>
      </w:pPr>
      <w:r>
        <w:t>5. Execution Beyond Payments</w:t>
      </w:r>
    </w:p>
    <w:p>
      <w:pPr>
        <w:pStyle w:val="Heading2"/>
      </w:pPr>
      <w:r>
        <w:t>5.1 Quantum Swaps</w:t>
      </w:r>
    </w:p>
    <w:p>
      <w:pPr>
        <w:pStyle w:val="BodyText"/>
      </w:pPr>
      <w:r>
        <w:t>The Quantum Swaps direction introduces HTLC-based atomic swaps between QRX/QUB and Bitcoin. The strategic value is interoperability without making a centralized exchange the mandatory settlement layer.</w:t>
      </w:r>
    </w:p>
    <w:p>
      <w:pPr>
        <w:pStyle w:val="Heading2"/>
      </w:pPr>
      <w:r>
        <w:t>5.2 VELOCITY</w:t>
      </w:r>
    </w:p>
    <w:p>
      <w:pPr>
        <w:pStyle w:val="BodyText"/>
      </w:pPr>
      <w:r>
        <w:t>VELOCITY is the execution-focused protocol direction introduced after the Genesis foundation. Its purpose is to reduce friction for fast transfers, order execution and autonomous systems through explicit transaction semantics rather than ad-hoc wallet automation.</w:t>
      </w:r>
    </w:p>
    <w:p>
      <w:pPr>
        <w:pStyle w:val="ListBullet"/>
      </w:pPr>
      <w:r>
        <w:t>Transaction Version 3 direction</w:t>
      </w:r>
    </w:p>
    <w:p>
      <w:pPr>
        <w:pStyle w:val="ListBullet"/>
      </w:pPr>
      <w:r>
        <w:t>nonce lanes for parallel transaction streams</w:t>
      </w:r>
    </w:p>
    <w:p>
      <w:pPr>
        <w:pStyle w:val="ListBullet"/>
      </w:pPr>
      <w:r>
        <w:t>deterministic expiry heights</w:t>
      </w:r>
    </w:p>
    <w:p>
      <w:pPr>
        <w:pStyle w:val="ListBullet"/>
      </w:pPr>
      <w:r>
        <w:t>TRANSFER_FAST path</w:t>
      </w:r>
    </w:p>
    <w:p>
      <w:pPr>
        <w:pStyle w:val="ListBullet"/>
      </w:pPr>
      <w:r>
        <w:t>raw transaction support</w:t>
      </w:r>
    </w:p>
    <w:p>
      <w:pPr>
        <w:pStyle w:val="ListBullet"/>
      </w:pPr>
      <w:r>
        <w:t>AI-agent transaction schemas</w:t>
      </w:r>
    </w:p>
    <w:p>
      <w:pPr>
        <w:pStyle w:val="ListBullet"/>
      </w:pPr>
      <w:r>
        <w:t>trading transaction schemas</w:t>
      </w:r>
    </w:p>
    <w:p>
      <w:pPr>
        <w:pStyle w:val="ListBullet"/>
      </w:pPr>
      <w:r>
        <w:t>native market / deterministic matching direction</w:t>
      </w:r>
    </w:p>
    <w:p>
      <w:pPr>
        <w:pStyle w:val="ListBullet"/>
      </w:pPr>
      <w:r>
        <w:t>external exchange execution intents and execution reports</w:t>
      </w:r>
    </w:p>
    <w:p>
      <w:pPr>
        <w:pStyle w:val="Heading2"/>
      </w:pPr>
      <w:r>
        <w:t>5.3 AI agents as constrained actors</w:t>
      </w:r>
    </w:p>
    <w:p>
      <w:pPr>
        <w:pStyle w:val="BodyText"/>
      </w:pPr>
      <w:r>
        <w:t>QRX's AI-agent model is designed around authorization boundaries. Agents can be registered, granted scoped permissions, limited to approved markets, given expiry/revocation conditions and prevented from accessing the owner's private key.</w:t>
      </w:r>
    </w:p>
    <w:tbl>
      <w:tblPr>
        <w:tblW w:type="auto" w:w="0"/>
        <w:jc w:val="center"/>
        <w:tblLayout w:type="fixed"/>
        <w:tblLook w:firstColumn="1" w:firstRow="1" w:lastColumn="0" w:lastRow="0" w:noHBand="0" w:noVBand="1" w:val="04A0"/>
      </w:tblPr>
      <w:tblGrid>
        <w:gridCol w:w="115"/>
        <w:gridCol w:w="9144"/>
      </w:tblGrid>
      <w:tr>
        <w:tc>
          <w:tcPr>
            <w:tcW w:type="dxa" w:w="5040"/>
            <w:shd w:fill="8057FF"/>
            <w:tcBorders>
              <w:top w:val="nil"/>
              <w:left w:val="nil"/>
              <w:bottom w:val="nil"/>
              <w:right w:val="nil"/>
            </w:tcBorders>
          </w:tcPr>
          <w:p>
            <w:r/>
          </w:p>
        </w:tc>
        <w:tc>
          <w:tcPr>
            <w:tcW w:type="dxa" w:w="5040"/>
            <w:shd w:fill="F3F7FB"/>
            <w:tcBorders>
              <w:top w:val="nil"/>
              <w:left w:val="nil"/>
              <w:bottom w:val="nil"/>
              <w:right w:val="nil"/>
            </w:tcBorders>
          </w:tcPr>
          <w:p>
            <w:r>
              <w:rPr>
                <w:b/>
                <w:color w:val="8057FF"/>
                <w:sz w:val="18"/>
              </w:rPr>
              <w:t>USP</w:t>
              <w:br/>
            </w:r>
            <w:r>
              <w:rPr>
                <w:color w:val="101828"/>
                <w:sz w:val="20"/>
              </w:rPr>
              <w:t>The intended shift is from “AI that clicks a wallet” to “AI represented by explicit, verifiable protocol permissions.”</w:t>
            </w:r>
          </w:p>
        </w:tc>
      </w:tr>
    </w:tbl>
    <w:p>
      <w:pPr>
        <w:spacing w:after="0"/>
      </w:pPr>
    </w:p>
    <w:p>
      <w:r>
        <w:br w:type="page"/>
      </w:r>
    </w:p>
    <w:p>
      <w:pPr>
        <w:pStyle w:val="Heading1"/>
      </w:pPr>
      <w:r>
        <w:t>6. Decentralized Storage</w:t>
      </w:r>
    </w:p>
    <w:p>
      <w:pPr>
        <w:pStyle w:val="BodyText"/>
      </w:pPr>
      <w:r>
        <w:t>Version 0.0.8 extends the trust layer toward decentralized storage. The planned model introduces storage providers, storage contracts and cryptographic verification so that persistent data can become a measurable network service.</w:t>
      </w:r>
    </w:p>
    <w:p>
      <w:pPr>
        <w:pStyle w:val="Heading2"/>
      </w:pPr>
      <w:r>
        <w:t>6.1 Planned Proof of Storage capabilities</w:t>
      </w:r>
    </w:p>
    <w:p>
      <w:pPr>
        <w:pStyle w:val="ListBullet"/>
      </w:pPr>
      <w:r>
        <w:t>storage-provider registration and capability metadata</w:t>
      </w:r>
    </w:p>
    <w:p>
      <w:pPr>
        <w:pStyle w:val="ListBullet"/>
      </w:pPr>
      <w:r>
        <w:t>storage contracts and allocation</w:t>
      </w:r>
    </w:p>
    <w:p>
      <w:pPr>
        <w:pStyle w:val="ListBullet"/>
      </w:pPr>
      <w:r>
        <w:t>cryptographic storage verification</w:t>
      </w:r>
    </w:p>
    <w:p>
      <w:pPr>
        <w:pStyle w:val="ListBullet"/>
      </w:pPr>
      <w:r>
        <w:t>decentralized file persistence</w:t>
      </w:r>
    </w:p>
    <w:p>
      <w:pPr>
        <w:pStyle w:val="ListBullet"/>
      </w:pPr>
      <w:r>
        <w:t>enterprise backup use cases</w:t>
      </w:r>
    </w:p>
    <w:p>
      <w:pPr>
        <w:pStyle w:val="ListBullet"/>
      </w:pPr>
      <w:r>
        <w:t>QRX Drive integration</w:t>
      </w:r>
    </w:p>
    <w:p>
      <w:pPr>
        <w:pStyle w:val="ListBullet"/>
      </w:pPr>
      <w:r>
        <w:t>AI artifact and document persistence</w:t>
      </w:r>
    </w:p>
    <w:p>
      <w:pPr>
        <w:pStyle w:val="ListBullet"/>
      </w:pPr>
      <w:r>
        <w:t>versioned / immutable data workflows</w:t>
      </w:r>
    </w:p>
    <w:p>
      <w:pPr>
        <w:pStyle w:val="Heading2"/>
      </w:pPr>
      <w:r>
        <w:t>6.2 Why storage matters for AI-native infrastructure</w:t>
      </w:r>
    </w:p>
    <w:p>
      <w:pPr>
        <w:pStyle w:val="BodyText"/>
      </w:pPr>
      <w:r>
        <w:t>AI systems generate documents, datasets, embeddings, artifacts, execution traces and model-related state. A chain that coordinates autonomous agents but leaves all persistent state to opaque centralized storage retains a major trust dependency. QRX's storage roadmap is intended to reduce that gap.</w:t>
      </w:r>
    </w:p>
    <w:tbl>
      <w:tblPr>
        <w:tblW w:type="auto" w:w="0"/>
        <w:jc w:val="center"/>
        <w:tblLayout w:type="fixed"/>
        <w:tblLook w:firstColumn="1" w:firstRow="1" w:lastColumn="0" w:lastRow="0" w:noHBand="0" w:noVBand="1" w:val="04A0"/>
      </w:tblPr>
      <w:tblGrid>
        <w:gridCol w:w="115"/>
        <w:gridCol w:w="9144"/>
      </w:tblGrid>
      <w:tr>
        <w:tc>
          <w:tcPr>
            <w:tcW w:type="dxa" w:w="5040"/>
            <w:shd w:fill="00D4FF"/>
            <w:tcBorders>
              <w:top w:val="nil"/>
              <w:left w:val="nil"/>
              <w:bottom w:val="nil"/>
              <w:right w:val="nil"/>
            </w:tcBorders>
          </w:tcPr>
          <w:p>
            <w:r/>
          </w:p>
        </w:tc>
        <w:tc>
          <w:tcPr>
            <w:tcW w:type="dxa" w:w="5040"/>
            <w:shd w:fill="F3F7FB"/>
            <w:tcBorders>
              <w:top w:val="nil"/>
              <w:left w:val="nil"/>
              <w:bottom w:val="nil"/>
              <w:right w:val="nil"/>
            </w:tcBorders>
          </w:tcPr>
          <w:p>
            <w:r>
              <w:rPr>
                <w:b/>
                <w:color w:val="00D4FF"/>
                <w:sz w:val="18"/>
              </w:rPr>
              <w:t>DESIGN RULE</w:t>
              <w:br/>
            </w:r>
            <w:r>
              <w:rPr>
                <w:color w:val="101828"/>
                <w:sz w:val="20"/>
              </w:rPr>
              <w:t>The blockchain should verify and settle storage commitments; it should not become a bulk file store itself.</w:t>
            </w:r>
          </w:p>
        </w:tc>
      </w:tr>
    </w:tbl>
    <w:p>
      <w:pPr>
        <w:spacing w:after="0"/>
      </w:pPr>
    </w:p>
    <w:p>
      <w:r>
        <w:br w:type="page"/>
      </w:r>
    </w:p>
    <w:p>
      <w:pPr>
        <w:pStyle w:val="Heading1"/>
      </w:pPr>
      <w:r>
        <w:t>7. QRX 0.0.9 — Distributed AI Compute Fabric</w:t>
      </w:r>
    </w:p>
    <w:p>
      <w:pPr>
        <w:pStyle w:val="BodyText"/>
      </w:pPr>
      <w:r>
        <w:t>Version 0.0.9 is planned to introduce the foundation for a heterogeneous AI compute network. Kimi K3 is planned as an early reference workload for distributed Mixture-of-Experts inference, while the runtime itself is intended to remain model-agnostic.</w:t>
      </w:r>
    </w:p>
    <w:p>
      <w:pPr>
        <w:pStyle w:val="Heading2"/>
      </w:pPr>
      <w:r>
        <w:t>7.1 Target platforms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0B1C2E"/>
          </w:tcPr>
          <w:p>
            <w:r>
              <w:rPr>
                <w:b/>
                <w:color w:val="F7FAFC"/>
              </w:rPr>
              <w:t>Capability</w:t>
            </w:r>
          </w:p>
        </w:tc>
        <w:tc>
          <w:tcPr>
            <w:tcW w:type="dxa" w:w="3360"/>
            <w:shd w:fill="0B1C2E"/>
          </w:tcPr>
          <w:p>
            <w:r>
              <w:rPr>
                <w:b/>
                <w:color w:val="F7FAFC"/>
              </w:rPr>
              <w:t>QRX direction</w:t>
            </w:r>
          </w:p>
        </w:tc>
        <w:tc>
          <w:tcPr>
            <w:tcW w:type="dxa" w:w="3360"/>
            <w:shd w:fill="0B1C2E"/>
          </w:tcPr>
          <w:p>
            <w:r>
              <w:rPr>
                <w:b/>
                <w:color w:val="F7FAFC"/>
              </w:rPr>
              <w:t>Why it matters</w:t>
            </w:r>
          </w:p>
        </w:tc>
      </w:tr>
      <w:tr>
        <w:tc>
          <w:tcPr>
            <w:tcW w:type="dxa" w:w="3360"/>
            <w:shd w:fill="F5F8FB"/>
            <w:vAlign w:val="top"/>
          </w:tcPr>
          <w:p>
            <w:r>
              <w:t>Windows</w:t>
            </w:r>
          </w:p>
        </w:tc>
        <w:tc>
          <w:tcPr>
            <w:tcW w:type="dxa" w:w="3360"/>
            <w:shd w:fill="F5F8FB"/>
            <w:vAlign w:val="top"/>
          </w:tcPr>
          <w:p>
            <w:r>
              <w:t>x86-64 and ARM64</w:t>
            </w:r>
          </w:p>
        </w:tc>
        <w:tc>
          <w:tcPr>
            <w:tcW w:type="dxa" w:w="3360"/>
            <w:shd w:fill="F5F8FB"/>
            <w:vAlign w:val="top"/>
          </w:tcPr>
          <w:p>
            <w:r>
              <w:t>Desktop/workstation and emerging ARM PC participation.</w:t>
            </w:r>
          </w:p>
        </w:tc>
      </w:tr>
      <w:tr>
        <w:tc>
          <w:tcPr>
            <w:tcW w:type="dxa" w:w="3360"/>
            <w:vAlign w:val="top"/>
          </w:tcPr>
          <w:p>
            <w:r>
              <w:t>Linux</w:t>
            </w:r>
          </w:p>
        </w:tc>
        <w:tc>
          <w:tcPr>
            <w:tcW w:type="dxa" w:w="3360"/>
            <w:vAlign w:val="top"/>
          </w:tcPr>
          <w:p>
            <w:r>
              <w:t>x86-64 and ARM64</w:t>
            </w:r>
          </w:p>
        </w:tc>
        <w:tc>
          <w:tcPr>
            <w:tcW w:type="dxa" w:w="3360"/>
            <w:vAlign w:val="top"/>
          </w:tcPr>
          <w:p>
            <w:r>
              <w:t>Servers, workstations, edge nodes and ARM infrastructure.</w:t>
            </w:r>
          </w:p>
        </w:tc>
      </w:tr>
      <w:tr>
        <w:tc>
          <w:tcPr>
            <w:tcW w:type="dxa" w:w="3360"/>
            <w:shd w:fill="F5F8FB"/>
            <w:vAlign w:val="top"/>
          </w:tcPr>
          <w:p>
            <w:r>
              <w:t>macOS</w:t>
            </w:r>
          </w:p>
        </w:tc>
        <w:tc>
          <w:tcPr>
            <w:tcW w:type="dxa" w:w="3360"/>
            <w:shd w:fill="F5F8FB"/>
            <w:vAlign w:val="top"/>
          </w:tcPr>
          <w:p>
            <w:r>
              <w:t>Apple Silicon / ARM64</w:t>
            </w:r>
          </w:p>
        </w:tc>
        <w:tc>
          <w:tcPr>
            <w:tcW w:type="dxa" w:w="3360"/>
            <w:shd w:fill="F5F8FB"/>
            <w:vAlign w:val="top"/>
          </w:tcPr>
          <w:p>
            <w:r>
              <w:t>Apple M-series systems as first-class compute nodes.</w:t>
            </w:r>
          </w:p>
        </w:tc>
      </w:tr>
    </w:tbl>
    <w:p>
      <w:pPr>
        <w:spacing w:after="0"/>
      </w:pPr>
    </w:p>
    <w:p>
      <w:pPr>
        <w:pStyle w:val="Heading2"/>
      </w:pPr>
      <w:r>
        <w:t>7.2 CPU-first hardware acceleration</w:t>
      </w:r>
    </w:p>
    <w:p>
      <w:pPr>
        <w:pStyle w:val="BodyText"/>
      </w:pPr>
      <w:r>
        <w:t>Each node should probe its actual capabilities and select optimized kernels at runtime. The design targets AVX2/FMA, AVX-512, VNNI, BF16 and Intel AMX on suitable x86 systems; NEON, DOTPROD, I8MM, BF16, SVE/SVE2 and SME/SME2 on suitable ARM systems; and Apple Accelerate/BNNS-backed execution paths on Apple Silicon.</w:t>
      </w:r>
    </w:p>
    <w:tbl>
      <w:tblPr>
        <w:tblW w:type="auto" w:w="0"/>
        <w:jc w:val="center"/>
        <w:tblLayout w:type="fixed"/>
        <w:tblLook w:firstColumn="1" w:firstRow="1" w:lastColumn="0" w:lastRow="0" w:noHBand="0" w:noVBand="1" w:val="04A0"/>
      </w:tblPr>
      <w:tblGrid>
        <w:gridCol w:w="115"/>
        <w:gridCol w:w="9144"/>
      </w:tblGrid>
      <w:tr>
        <w:tc>
          <w:tcPr>
            <w:tcW w:type="dxa" w:w="5040"/>
            <w:shd w:fill="00D4FF"/>
            <w:tcBorders>
              <w:top w:val="nil"/>
              <w:left w:val="nil"/>
              <w:bottom w:val="nil"/>
              <w:right w:val="nil"/>
            </w:tcBorders>
          </w:tcPr>
          <w:p>
            <w:r/>
          </w:p>
        </w:tc>
        <w:tc>
          <w:tcPr>
            <w:tcW w:type="dxa" w:w="5040"/>
            <w:shd w:fill="F3F7FB"/>
            <w:tcBorders>
              <w:top w:val="nil"/>
              <w:left w:val="nil"/>
              <w:bottom w:val="nil"/>
              <w:right w:val="nil"/>
            </w:tcBorders>
          </w:tcPr>
          <w:p>
            <w:r>
              <w:rPr>
                <w:b/>
                <w:color w:val="00D4FF"/>
                <w:sz w:val="18"/>
              </w:rPr>
              <w:t>KEY PRINCIPLE</w:t>
              <w:br/>
            </w:r>
            <w:r>
              <w:rPr>
                <w:color w:val="101828"/>
                <w:sz w:val="20"/>
              </w:rPr>
              <w:t>Schedule by measured performance, not by marketing name. QRX benchmarks throughput, memory bandwidth, storage, network latency and tail latency before assigning work.</w:t>
            </w:r>
          </w:p>
        </w:tc>
      </w:tr>
    </w:tbl>
    <w:p>
      <w:pPr>
        <w:spacing w:after="0"/>
      </w:pPr>
    </w:p>
    <w:p>
      <w:r>
        <w:br w:type="page"/>
      </w:r>
    </w:p>
    <w:p>
      <w:pPr>
        <w:pStyle w:val="Heading1"/>
      </w:pPr>
      <w:r>
        <w:t>7.3 Distributed MoE execution</w:t>
      </w:r>
    </w:p>
    <w:p>
      <w:pPr>
        <w:pStyle w:val="BodyText"/>
      </w:pPr>
      <w:r>
        <w:t>Mixture-of-Experts models are attractive for distributed inference because only a subset of experts is activated for a token. QRX can place expert shards on different nodes, keep weights local on RAM/NVMe and exchange compact activations/results instead of repeatedly transferring entire weight sets.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0B1C2E"/>
          </w:tcPr>
          <w:p>
            <w:r>
              <w:rPr>
                <w:b/>
                <w:color w:val="F7FAFC"/>
              </w:rPr>
              <w:t>Capability</w:t>
            </w:r>
          </w:p>
        </w:tc>
        <w:tc>
          <w:tcPr>
            <w:tcW w:type="dxa" w:w="3360"/>
            <w:shd w:fill="0B1C2E"/>
          </w:tcPr>
          <w:p>
            <w:r>
              <w:rPr>
                <w:b/>
                <w:color w:val="F7FAFC"/>
              </w:rPr>
              <w:t>QRX direction</w:t>
            </w:r>
          </w:p>
        </w:tc>
        <w:tc>
          <w:tcPr>
            <w:tcW w:type="dxa" w:w="3360"/>
            <w:shd w:fill="0B1C2E"/>
          </w:tcPr>
          <w:p>
            <w:r>
              <w:rPr>
                <w:b/>
                <w:color w:val="F7FAFC"/>
              </w:rPr>
              <w:t>Why it matters</w:t>
            </w:r>
          </w:p>
        </w:tc>
      </w:tr>
      <w:tr>
        <w:tc>
          <w:tcPr>
            <w:tcW w:type="dxa" w:w="3360"/>
            <w:shd w:fill="F5F8FB"/>
            <w:vAlign w:val="top"/>
          </w:tcPr>
          <w:p>
            <w:r>
              <w:t>Expert placement</w:t>
            </w:r>
          </w:p>
        </w:tc>
        <w:tc>
          <w:tcPr>
            <w:tcW w:type="dxa" w:w="3360"/>
            <w:shd w:fill="F5F8FB"/>
            <w:vAlign w:val="top"/>
          </w:tcPr>
          <w:p>
            <w:r>
              <w:t>Assign shards according to compute, memory, storage and network characteristics</w:t>
            </w:r>
          </w:p>
        </w:tc>
        <w:tc>
          <w:tcPr>
            <w:tcW w:type="dxa" w:w="3360"/>
            <w:shd w:fill="F5F8FB"/>
            <w:vAlign w:val="top"/>
          </w:tcPr>
          <w:p>
            <w:r>
              <w:t>Avoids naïve equal partitioning.</w:t>
            </w:r>
          </w:p>
        </w:tc>
      </w:tr>
      <w:tr>
        <w:tc>
          <w:tcPr>
            <w:tcW w:type="dxa" w:w="3360"/>
            <w:vAlign w:val="top"/>
          </w:tcPr>
          <w:p>
            <w:r>
              <w:t>Hot-expert replication</w:t>
            </w:r>
          </w:p>
        </w:tc>
        <w:tc>
          <w:tcPr>
            <w:tcW w:type="dxa" w:w="3360"/>
            <w:vAlign w:val="top"/>
          </w:tcPr>
          <w:p>
            <w:r>
              <w:t>Replicate frequently selected experts across multiple workers</w:t>
            </w:r>
          </w:p>
        </w:tc>
        <w:tc>
          <w:tcPr>
            <w:tcW w:type="dxa" w:w="3360"/>
            <w:vAlign w:val="top"/>
          </w:tcPr>
          <w:p>
            <w:r>
              <w:t>Reduces hotspots and tail latency.</w:t>
            </w:r>
          </w:p>
        </w:tc>
      </w:tr>
      <w:tr>
        <w:tc>
          <w:tcPr>
            <w:tcW w:type="dxa" w:w="3360"/>
            <w:shd w:fill="F5F8FB"/>
            <w:vAlign w:val="top"/>
          </w:tcPr>
          <w:p>
            <w:r>
              <w:t>Local NVMe cache</w:t>
            </w:r>
          </w:p>
        </w:tc>
        <w:tc>
          <w:tcPr>
            <w:tcW w:type="dxa" w:w="3360"/>
            <w:shd w:fill="F5F8FB"/>
            <w:vAlign w:val="top"/>
          </w:tcPr>
          <w:p>
            <w:r>
              <w:t>Keep performance-critical shards close to the CPU</w:t>
            </w:r>
          </w:p>
        </w:tc>
        <w:tc>
          <w:tcPr>
            <w:tcW w:type="dxa" w:w="3360"/>
            <w:shd w:fill="F5F8FB"/>
            <w:vAlign w:val="top"/>
          </w:tcPr>
          <w:p>
            <w:r>
              <w:t>Avoids turning network storage into the inference bottleneck.</w:t>
            </w:r>
          </w:p>
        </w:tc>
      </w:tr>
      <w:tr>
        <w:tc>
          <w:tcPr>
            <w:tcW w:type="dxa" w:w="3360"/>
            <w:vAlign w:val="top"/>
          </w:tcPr>
          <w:p>
            <w:r>
              <w:t>SeaweedFS distribution</w:t>
            </w:r>
          </w:p>
        </w:tc>
        <w:tc>
          <w:tcPr>
            <w:tcW w:type="dxa" w:w="3360"/>
            <w:vAlign w:val="top"/>
          </w:tcPr>
          <w:p>
            <w:r>
              <w:t>Use distributed storage for model distribution, replication and versioning</w:t>
            </w:r>
          </w:p>
        </w:tc>
        <w:tc>
          <w:tcPr>
            <w:tcW w:type="dxa" w:w="3360"/>
            <w:vAlign w:val="top"/>
          </w:tcPr>
          <w:p>
            <w:r>
              <w:t>Separates model logistics from hot-path inference.</w:t>
            </w:r>
          </w:p>
        </w:tc>
      </w:tr>
      <w:tr>
        <w:tc>
          <w:tcPr>
            <w:tcW w:type="dxa" w:w="3360"/>
            <w:shd w:fill="F5F8FB"/>
            <w:vAlign w:val="top"/>
          </w:tcPr>
          <w:p>
            <w:r>
              <w:t>P95-aware scheduling</w:t>
            </w:r>
          </w:p>
        </w:tc>
        <w:tc>
          <w:tcPr>
            <w:tcW w:type="dxa" w:w="3360"/>
            <w:shd w:fill="F5F8FB"/>
            <w:vAlign w:val="top"/>
          </w:tcPr>
          <w:p>
            <w:r>
              <w:t>Account for slow workers and stragglers</w:t>
            </w:r>
          </w:p>
        </w:tc>
        <w:tc>
          <w:tcPr>
            <w:tcW w:type="dxa" w:w="3360"/>
            <w:shd w:fill="F5F8FB"/>
            <w:vAlign w:val="top"/>
          </w:tcPr>
          <w:p>
            <w:r>
              <w:t>A distributed layer completes only as fast as its slowest required result.</w:t>
            </w:r>
          </w:p>
        </w:tc>
      </w:tr>
    </w:tbl>
    <w:p>
      <w:pPr>
        <w:spacing w:after="0"/>
      </w:pPr>
    </w:p>
    <w:p>
      <w:pPr>
        <w:pStyle w:val="Heading2"/>
      </w:pPr>
      <w:r>
        <w:t>7.4 Heterogeneous clusters</w:t>
      </w:r>
    </w:p>
    <w:p>
      <w:pPr>
        <w:pStyle w:val="BodyText"/>
      </w:pPr>
      <w:r>
        <w:t>A QRX compute pool may combine AMD Threadripper, Intel Xeon, Apple M-series, ARM servers, mini PCs and later GPU/NPU-equipped systems. Nodes expose capabilities and benchmark scores; the scheduler assigns work proportionally and can adapt as load changes.</w:t>
      </w:r>
    </w:p>
    <w:p>
      <w:pPr>
        <w:pStyle w:val="Heading2"/>
      </w:pPr>
      <w:r>
        <w:t>7.5 Chain responsibilities</w:t>
      </w:r>
    </w:p>
    <w:p>
      <w:pPr>
        <w:pStyle w:val="ListBullet"/>
      </w:pPr>
      <w:r>
        <w:t>compute-node registration and capability commitments</w:t>
      </w:r>
    </w:p>
    <w:p>
      <w:pPr>
        <w:pStyle w:val="ListBullet"/>
      </w:pPr>
      <w:r>
        <w:t>benchmark/reputation metadata</w:t>
      </w:r>
    </w:p>
    <w:p>
      <w:pPr>
        <w:pStyle w:val="ListBullet"/>
      </w:pPr>
      <w:r>
        <w:t>job assignment and accounting</w:t>
      </w:r>
    </w:p>
    <w:p>
      <w:pPr>
        <w:pStyle w:val="ListBullet"/>
      </w:pPr>
      <w:r>
        <w:t>proof-of-execution direction</w:t>
      </w:r>
    </w:p>
    <w:p>
      <w:pPr>
        <w:pStyle w:val="ListBullet"/>
      </w:pPr>
      <w:r>
        <w:t>QUB reward settlement</w:t>
      </w:r>
    </w:p>
    <w:p>
      <w:pPr>
        <w:pStyle w:val="ListBullet"/>
      </w:pPr>
      <w:r>
        <w:t>penalties/slashing for provable malicious behavior</w:t>
      </w:r>
    </w:p>
    <w:p>
      <w:r>
        <w:br w:type="page"/>
      </w:r>
    </w:p>
    <w:p>
      <w:pPr>
        <w:pStyle w:val="Heading1"/>
      </w:pPr>
      <w:r>
        <w:t>8. Roadmap — Genesis Foundation to 0.0.9</w:t>
      </w:r>
    </w:p>
    <w:p>
      <w:pPr>
        <w:pStyle w:val="BodyText"/>
      </w:pPr>
      <w:r>
        <w:t>The roadmap below consolidates the project's development path into capability milestones. Earlier pre-genesis branches established portability and core infrastructure; later milestones progressively add economics, hardened genesis mechanics, autonomous execution, storage and compute.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0B1C2E"/>
          </w:tcPr>
          <w:p>
            <w:r>
              <w:rPr>
                <w:b/>
                <w:color w:val="F7FAFC"/>
              </w:rPr>
              <w:t>Milestone</w:t>
            </w:r>
          </w:p>
        </w:tc>
        <w:tc>
          <w:tcPr>
            <w:tcW w:type="dxa" w:w="3360"/>
            <w:shd w:fill="0B1C2E"/>
          </w:tcPr>
          <w:p>
            <w:r>
              <w:rPr>
                <w:b/>
                <w:color w:val="F7FAFC"/>
              </w:rPr>
              <w:t>Theme</w:t>
            </w:r>
          </w:p>
        </w:tc>
        <w:tc>
          <w:tcPr>
            <w:tcW w:type="dxa" w:w="3360"/>
            <w:shd w:fill="0B1C2E"/>
          </w:tcPr>
          <w:p>
            <w:r>
              <w:rPr>
                <w:b/>
                <w:color w:val="F7FAFC"/>
              </w:rPr>
              <w:t>Core deliverables</w:t>
            </w:r>
          </w:p>
        </w:tc>
      </w:tr>
      <w:tr>
        <w:tc>
          <w:tcPr>
            <w:tcW w:type="dxa" w:w="3360"/>
            <w:shd w:fill="F5F8FB"/>
          </w:tcPr>
          <w:p>
            <w:r>
              <w:rPr>
                <w:b/>
              </w:rPr>
              <w:t>Pre-Genesis / 0.0.1</w:t>
            </w:r>
          </w:p>
        </w:tc>
        <w:tc>
          <w:tcPr>
            <w:tcW w:type="dxa" w:w="3360"/>
            <w:shd w:fill="F5F8FB"/>
          </w:tcPr>
          <w:p>
            <w:r>
              <w:t>Independent core</w:t>
            </w:r>
          </w:p>
        </w:tc>
        <w:tc>
          <w:tcPr>
            <w:tcW w:type="dxa" w:w="3360"/>
            <w:shd w:fill="F5F8FB"/>
          </w:tcPr>
          <w:p>
            <w:r>
              <w:t>From-scratch QRX engine; early wallet/core experiments; quantum-aware architecture; public testing direction.</w:t>
            </w:r>
          </w:p>
        </w:tc>
      </w:tr>
      <w:tr>
        <w:tc>
          <w:tcPr>
            <w:tcW w:type="dxa" w:w="3360"/>
          </w:tcPr>
          <w:p>
            <w:r>
              <w:rPr>
                <w:b/>
              </w:rPr>
              <w:t>0.0.2</w:t>
            </w:r>
          </w:p>
        </w:tc>
        <w:tc>
          <w:tcPr>
            <w:tcW w:type="dxa" w:w="3360"/>
          </w:tcPr>
          <w:p>
            <w:r>
              <w:t>Public core foundation</w:t>
            </w:r>
          </w:p>
        </w:tc>
        <w:tc>
          <w:tcPr>
            <w:tcW w:type="dxa" w:w="3360"/>
          </w:tcPr>
          <w:p>
            <w:r>
              <w:t>Pre-genesis core source publication; early multi-platform packaging direction; node and wallet groundwork.</w:t>
            </w:r>
          </w:p>
        </w:tc>
      </w:tr>
      <w:tr>
        <w:tc>
          <w:tcPr>
            <w:tcW w:type="dxa" w:w="3360"/>
            <w:shd w:fill="F5F8FB"/>
          </w:tcPr>
          <w:p>
            <w:r>
              <w:rPr>
                <w:b/>
              </w:rPr>
              <w:t>0.0.3</w:t>
            </w:r>
          </w:p>
        </w:tc>
        <w:tc>
          <w:tcPr>
            <w:tcW w:type="dxa" w:w="3360"/>
            <w:shd w:fill="F5F8FB"/>
          </w:tcPr>
          <w:p>
            <w:r>
              <w:t>Portability</w:t>
            </w:r>
          </w:p>
        </w:tc>
        <w:tc>
          <w:tcPr>
            <w:tcW w:type="dxa" w:w="3360"/>
            <w:shd w:fill="F5F8FB"/>
          </w:tcPr>
          <w:p>
            <w:r>
              <w:t>Windows-compatible source/build path; continued macOS/Linux direction; preparation for broader architecture support.</w:t>
            </w:r>
          </w:p>
        </w:tc>
      </w:tr>
      <w:tr>
        <w:tc>
          <w:tcPr>
            <w:tcW w:type="dxa" w:w="3360"/>
          </w:tcPr>
          <w:p>
            <w:r>
              <w:rPr>
                <w:b/>
              </w:rPr>
              <w:t>0.0.4</w:t>
            </w:r>
          </w:p>
        </w:tc>
        <w:tc>
          <w:tcPr>
            <w:tcW w:type="dxa" w:w="3360"/>
          </w:tcPr>
          <w:p>
            <w:r>
              <w:t>Economics</w:t>
            </w:r>
          </w:p>
        </w:tc>
        <w:tc>
          <w:tcPr>
            <w:tcW w:type="dxa" w:w="3360"/>
          </w:tcPr>
          <w:p>
            <w:r>
              <w:t>Tokenomics finalization direction; transparent/declining foundation treasury proposal; validator/delegator economics.</w:t>
            </w:r>
          </w:p>
        </w:tc>
      </w:tr>
      <w:tr>
        <w:tc>
          <w:tcPr>
            <w:tcW w:type="dxa" w:w="3360"/>
            <w:shd w:fill="F5F8FB"/>
          </w:tcPr>
          <w:p>
            <w:r>
              <w:rPr>
                <w:b/>
              </w:rPr>
              <w:t>0.0.5</w:t>
            </w:r>
          </w:p>
        </w:tc>
        <w:tc>
          <w:tcPr>
            <w:tcW w:type="dxa" w:w="3360"/>
            <w:shd w:fill="F5F8FB"/>
          </w:tcPr>
          <w:p>
            <w:r>
              <w:t>Network &amp; persistence hardening</w:t>
            </w:r>
          </w:p>
        </w:tc>
        <w:tc>
          <w:tcPr>
            <w:tcW w:type="dxa" w:w="3360"/>
            <w:shd w:fill="F5F8FB"/>
          </w:tcPr>
          <w:p>
            <w:r>
              <w:t>Persistent peers, seed nodes, relay groundwork, QRXDB tooling, snapshots, compact/salvage/verify, SHA3-512 integration.</w:t>
            </w:r>
          </w:p>
        </w:tc>
      </w:tr>
      <w:tr>
        <w:tc>
          <w:tcPr>
            <w:tcW w:type="dxa" w:w="3360"/>
          </w:tcPr>
          <w:p>
            <w:r>
              <w:rPr>
                <w:b/>
              </w:rPr>
              <w:t>0.0.6</w:t>
            </w:r>
          </w:p>
        </w:tc>
        <w:tc>
          <w:tcPr>
            <w:tcW w:type="dxa" w:w="3360"/>
          </w:tcPr>
          <w:p>
            <w:r>
              <w:t>Genesis foundation</w:t>
            </w:r>
          </w:p>
        </w:tc>
        <w:tc>
          <w:tcPr>
            <w:tcW w:type="dxa" w:w="3360"/>
          </w:tcPr>
          <w:p>
            <w:r>
              <w:t>Validator infrastructure, networking, persistence, consensus hardening, bootstrap mechanics, hybrid-signature enforcement path and wallet/core alignment.</w:t>
            </w:r>
          </w:p>
        </w:tc>
      </w:tr>
      <w:tr>
        <w:tc>
          <w:tcPr>
            <w:tcW w:type="dxa" w:w="3360"/>
            <w:shd w:fill="F5F8FB"/>
          </w:tcPr>
          <w:p>
            <w:r>
              <w:rPr>
                <w:b/>
              </w:rPr>
              <w:t>0.0.7</w:t>
            </w:r>
          </w:p>
        </w:tc>
        <w:tc>
          <w:tcPr>
            <w:tcW w:type="dxa" w:w="3360"/>
            <w:shd w:fill="F5F8FB"/>
          </w:tcPr>
          <w:p>
            <w:r>
              <w:t>VELOCITY + AI Agent Foundation</w:t>
            </w:r>
          </w:p>
        </w:tc>
        <w:tc>
          <w:tcPr>
            <w:tcW w:type="dxa" w:w="3360"/>
            <w:shd w:fill="F5F8FB"/>
          </w:tcPr>
          <w:p>
            <w:r>
              <w:t>Fast execution primitives, nonce lanes, deterministic expiry, raw transactions, agent identities/permissions, trading schemas and autonomous workflow foundation.</w:t>
            </w:r>
          </w:p>
        </w:tc>
      </w:tr>
      <w:tr>
        <w:tc>
          <w:tcPr>
            <w:tcW w:type="dxa" w:w="3360"/>
          </w:tcPr>
          <w:p>
            <w:r>
              <w:rPr>
                <w:b/>
              </w:rPr>
              <w:t>0.0.8</w:t>
            </w:r>
          </w:p>
        </w:tc>
        <w:tc>
          <w:tcPr>
            <w:tcW w:type="dxa" w:w="3360"/>
          </w:tcPr>
          <w:p>
            <w:r>
              <w:t>Proof of Storage</w:t>
            </w:r>
          </w:p>
        </w:tc>
        <w:tc>
          <w:tcPr>
            <w:tcW w:type="dxa" w:w="3360"/>
          </w:tcPr>
          <w:p>
            <w:r>
              <w:t>Storage providers/contracts, cryptographic verification, QRX Drive, enterprise backup, document and AI-artifact persistence.</w:t>
            </w:r>
          </w:p>
        </w:tc>
      </w:tr>
      <w:tr>
        <w:tc>
          <w:tcPr>
            <w:tcW w:type="dxa" w:w="3360"/>
            <w:shd w:fill="F5F8FB"/>
          </w:tcPr>
          <w:p>
            <w:r>
              <w:rPr>
                <w:b/>
              </w:rPr>
              <w:t>0.0.9</w:t>
            </w:r>
          </w:p>
        </w:tc>
        <w:tc>
          <w:tcPr>
            <w:tcW w:type="dxa" w:w="3360"/>
            <w:shd w:fill="F5F8FB"/>
          </w:tcPr>
          <w:p>
            <w:r>
              <w:t>Distributed AI Compute Fabric</w:t>
            </w:r>
          </w:p>
        </w:tc>
        <w:tc>
          <w:tcPr>
            <w:tcW w:type="dxa" w:w="3360"/>
            <w:shd w:fill="F5F8FB"/>
          </w:tcPr>
          <w:p>
            <w:r>
              <w:t>Windows/Linux/macOS; x86-64/ARM64; CPU AI accelerators; hardware-adaptive kernels; benchmark-driven scheduling; distributed MoE; SeaweedFS model distribution; QUB compute rewards.</w:t>
            </w:r>
          </w:p>
        </w:tc>
      </w:tr>
    </w:tbl>
    <w:p>
      <w:r>
        <w:br w:type="page"/>
      </w:r>
    </w:p>
    <w:p>
      <w:pPr>
        <w:pStyle w:val="Heading1"/>
      </w:pPr>
      <w:r>
        <w:t>9. Genesis: What Must Be True</w:t>
      </w:r>
    </w:p>
    <w:p>
      <w:pPr>
        <w:pStyle w:val="BodyText"/>
      </w:pPr>
      <w:r>
        <w:t>Genesis should be treated as a security and governance threshold, not merely a release number. The objective is a chain whose cryptographic rules, economics, validator behavior, network separation and recovery paths are explicit enough to survive adversarial use.</w:t>
      </w:r>
    </w:p>
    <w:p>
      <w:pPr>
        <w:pStyle w:val="Heading2"/>
      </w:pPr>
      <w:r>
        <w:t>Genesis readiness gates</w:t>
      </w:r>
    </w:p>
    <w:p>
      <w:pPr>
        <w:pStyle w:val="ListBullet"/>
      </w:pPr>
      <w:r>
        <w:t>final chain parameters, supply/reward schedule and treasury rules published</w:t>
      </w:r>
    </w:p>
    <w:p>
      <w:pPr>
        <w:pStyle w:val="ListBullet"/>
      </w:pPr>
      <w:r>
        <w:t>hybrid signature verification enforced consistently across consensus-critical paths</w:t>
      </w:r>
    </w:p>
    <w:p>
      <w:pPr>
        <w:pStyle w:val="ListBullet"/>
      </w:pPr>
      <w:r>
        <w:t>chain_id, protocol version and replay protection finalized</w:t>
      </w:r>
    </w:p>
    <w:p>
      <w:pPr>
        <w:pStyle w:val="ListBullet"/>
      </w:pPr>
      <w:r>
        <w:t>validator set transitions, staking, delegation, reward accounting and slashing tested</w:t>
      </w:r>
    </w:p>
    <w:p>
      <w:pPr>
        <w:pStyle w:val="ListBullet"/>
      </w:pPr>
      <w:r>
        <w:t>double-sign evidence and jail/tombstone behavior tested</w:t>
      </w:r>
    </w:p>
    <w:p>
      <w:pPr>
        <w:pStyle w:val="ListBullet"/>
      </w:pPr>
      <w:r>
        <w:t>QRXDB crash recovery, WAL handling, snapshots and verification tested</w:t>
      </w:r>
    </w:p>
    <w:p>
      <w:pPr>
        <w:pStyle w:val="ListBullet"/>
      </w:pPr>
      <w:r>
        <w:t>peer bootstrap and seed infrastructure hardened</w:t>
      </w:r>
    </w:p>
    <w:p>
      <w:pPr>
        <w:pStyle w:val="ListBullet"/>
      </w:pPr>
      <w:r>
        <w:t>wallet create/import/backup/restore and local signing validated</w:t>
      </w:r>
    </w:p>
    <w:p>
      <w:pPr>
        <w:pStyle w:val="ListBullet"/>
      </w:pPr>
      <w:r>
        <w:t>cross-platform reproducible builds and CI coverage</w:t>
      </w:r>
    </w:p>
    <w:p>
      <w:pPr>
        <w:pStyle w:val="ListBullet"/>
      </w:pPr>
      <w:r>
        <w:t>independent security review / audit plan</w:t>
      </w:r>
    </w:p>
    <w:tbl>
      <w:tblPr>
        <w:tblW w:type="auto" w:w="0"/>
        <w:jc w:val="center"/>
        <w:tblLayout w:type="fixed"/>
        <w:tblLook w:firstColumn="1" w:firstRow="1" w:lastColumn="0" w:lastRow="0" w:noHBand="0" w:noVBand="1" w:val="04A0"/>
      </w:tblPr>
      <w:tblGrid>
        <w:gridCol w:w="115"/>
        <w:gridCol w:w="9144"/>
      </w:tblGrid>
      <w:tr>
        <w:tc>
          <w:tcPr>
            <w:tcW w:type="dxa" w:w="5040"/>
            <w:shd w:fill="00D4FF"/>
            <w:tcBorders>
              <w:top w:val="nil"/>
              <w:left w:val="nil"/>
              <w:bottom w:val="nil"/>
              <w:right w:val="nil"/>
            </w:tcBorders>
          </w:tcPr>
          <w:p>
            <w:r/>
          </w:p>
        </w:tc>
        <w:tc>
          <w:tcPr>
            <w:tcW w:type="dxa" w:w="5040"/>
            <w:shd w:fill="F3F7FB"/>
            <w:tcBorders>
              <w:top w:val="nil"/>
              <w:left w:val="nil"/>
              <w:bottom w:val="nil"/>
              <w:right w:val="nil"/>
            </w:tcBorders>
          </w:tcPr>
          <w:p>
            <w:r>
              <w:rPr>
                <w:b/>
                <w:color w:val="00D4FF"/>
                <w:sz w:val="18"/>
              </w:rPr>
              <w:t>GENESIS PHILOSOPHY</w:t>
              <w:br/>
            </w:r>
            <w:r>
              <w:rPr>
                <w:color w:val="101828"/>
                <w:sz w:val="20"/>
              </w:rPr>
              <w:t>Do not freeze innovation at Genesis. Freeze the rules needed for a safe starting point, then evolve through explicit, versioned activation.</w:t>
            </w:r>
          </w:p>
        </w:tc>
      </w:tr>
    </w:tbl>
    <w:p>
      <w:pPr>
        <w:spacing w:after="0"/>
      </w:pPr>
    </w:p>
    <w:p>
      <w:r>
        <w:br w:type="page"/>
      </w:r>
    </w:p>
    <w:p>
      <w:pPr>
        <w:pStyle w:val="Heading1"/>
      </w:pPr>
      <w:r>
        <w:t>10. QubitCoin (QUB) &amp; Network Economics</w:t>
      </w:r>
    </w:p>
    <w:p>
      <w:pPr>
        <w:pStyle w:val="BodyText"/>
      </w:pPr>
      <w:r>
        <w:t>QUB is planned as the native economic unit of QRX. Its role expands with the network: block/validator rewards, transaction fees, staking/delegation, storage settlement and—under the 0.0.9 direction—compute settlement.</w:t>
      </w:r>
    </w:p>
    <w:p>
      <w:pPr>
        <w:pStyle w:val="Heading2"/>
      </w:pPr>
      <w:r>
        <w:t>10.1 Pre-genesis economic direction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0B1C2E"/>
          </w:tcPr>
          <w:p>
            <w:r>
              <w:rPr>
                <w:b/>
                <w:color w:val="F7FAFC"/>
              </w:rPr>
              <w:t>Capability</w:t>
            </w:r>
          </w:p>
        </w:tc>
        <w:tc>
          <w:tcPr>
            <w:tcW w:type="dxa" w:w="3360"/>
            <w:shd w:fill="0B1C2E"/>
          </w:tcPr>
          <w:p>
            <w:r>
              <w:rPr>
                <w:b/>
                <w:color w:val="F7FAFC"/>
              </w:rPr>
              <w:t>QRX direction</w:t>
            </w:r>
          </w:p>
        </w:tc>
        <w:tc>
          <w:tcPr>
            <w:tcW w:type="dxa" w:w="3360"/>
            <w:shd w:fill="0B1C2E"/>
          </w:tcPr>
          <w:p>
            <w:r>
              <w:rPr>
                <w:b/>
                <w:color w:val="F7FAFC"/>
              </w:rPr>
              <w:t>Why it matters</w:t>
            </w:r>
          </w:p>
        </w:tc>
      </w:tr>
      <w:tr>
        <w:tc>
          <w:tcPr>
            <w:tcW w:type="dxa" w:w="3360"/>
            <w:shd w:fill="F5F8FB"/>
            <w:vAlign w:val="top"/>
          </w:tcPr>
          <w:p>
            <w:r>
              <w:t>Initial block reward</w:t>
            </w:r>
          </w:p>
        </w:tc>
        <w:tc>
          <w:tcPr>
            <w:tcW w:type="dxa" w:w="3360"/>
            <w:shd w:fill="F5F8FB"/>
            <w:vAlign w:val="top"/>
          </w:tcPr>
          <w:p>
            <w:r>
              <w:t>0.25 QUB</w:t>
            </w:r>
          </w:p>
        </w:tc>
        <w:tc>
          <w:tcPr>
            <w:tcW w:type="dxa" w:w="3360"/>
            <w:shd w:fill="F5F8FB"/>
            <w:vAlign w:val="top"/>
          </w:tcPr>
          <w:p>
            <w:r>
              <w:t>Published pre-genesis parameter; subject to final Genesis specification.</w:t>
            </w:r>
          </w:p>
        </w:tc>
      </w:tr>
      <w:tr>
        <w:tc>
          <w:tcPr>
            <w:tcW w:type="dxa" w:w="3360"/>
            <w:vAlign w:val="top"/>
          </w:tcPr>
          <w:p>
            <w:r>
              <w:t>Target block time</w:t>
            </w:r>
          </w:p>
        </w:tc>
        <w:tc>
          <w:tcPr>
            <w:tcW w:type="dxa" w:w="3360"/>
            <w:vAlign w:val="top"/>
          </w:tcPr>
          <w:p>
            <w:r>
              <w:t>10 seconds</w:t>
            </w:r>
          </w:p>
        </w:tc>
        <w:tc>
          <w:tcPr>
            <w:tcW w:type="dxa" w:w="3360"/>
            <w:vAlign w:val="top"/>
          </w:tcPr>
          <w:p>
            <w:r>
              <w:t>Fast validator cadence rather than PoW mining.</w:t>
            </w:r>
          </w:p>
        </w:tc>
      </w:tr>
      <w:tr>
        <w:tc>
          <w:tcPr>
            <w:tcW w:type="dxa" w:w="3360"/>
            <w:shd w:fill="F5F8FB"/>
            <w:vAlign w:val="top"/>
          </w:tcPr>
          <w:p>
            <w:r>
              <w:t>Halving interval</w:t>
            </w:r>
          </w:p>
        </w:tc>
        <w:tc>
          <w:tcPr>
            <w:tcW w:type="dxa" w:w="3360"/>
            <w:shd w:fill="F5F8FB"/>
            <w:vAlign w:val="top"/>
          </w:tcPr>
          <w:p>
            <w:r>
              <w:t>12,614,400 blocks (~4 years)</w:t>
            </w:r>
          </w:p>
        </w:tc>
        <w:tc>
          <w:tcPr>
            <w:tcW w:type="dxa" w:w="3360"/>
            <w:shd w:fill="F5F8FB"/>
            <w:vAlign w:val="top"/>
          </w:tcPr>
          <w:p>
            <w:r>
              <w:t>Declining issuance direction.</w:t>
            </w:r>
          </w:p>
        </w:tc>
      </w:tr>
      <w:tr>
        <w:tc>
          <w:tcPr>
            <w:tcW w:type="dxa" w:w="3360"/>
            <w:vAlign w:val="top"/>
          </w:tcPr>
          <w:p>
            <w:r>
              <w:t>Reward split</w:t>
            </w:r>
          </w:p>
        </w:tc>
        <w:tc>
          <w:tcPr>
            <w:tcW w:type="dxa" w:w="3360"/>
            <w:vAlign w:val="top"/>
          </w:tcPr>
          <w:p>
            <w:r>
              <w:t>30% validator / 70% delegator</w:t>
            </w:r>
          </w:p>
        </w:tc>
        <w:tc>
          <w:tcPr>
            <w:tcW w:type="dxa" w:w="3360"/>
            <w:vAlign w:val="top"/>
          </w:tcPr>
          <w:p>
            <w:r>
              <w:t>Aligns validators with delegated participation.</w:t>
            </w:r>
          </w:p>
        </w:tc>
      </w:tr>
      <w:tr>
        <w:tc>
          <w:tcPr>
            <w:tcW w:type="dxa" w:w="3360"/>
            <w:shd w:fill="F5F8FB"/>
            <w:vAlign w:val="top"/>
          </w:tcPr>
          <w:p>
            <w:r>
              <w:t>Default commission</w:t>
            </w:r>
          </w:p>
        </w:tc>
        <w:tc>
          <w:tcPr>
            <w:tcW w:type="dxa" w:w="3360"/>
            <w:shd w:fill="F5F8FB"/>
            <w:vAlign w:val="top"/>
          </w:tcPr>
          <w:p>
            <w:r>
              <w:t>10%</w:t>
            </w:r>
          </w:p>
        </w:tc>
        <w:tc>
          <w:tcPr>
            <w:tcW w:type="dxa" w:w="3360"/>
            <w:shd w:fill="F5F8FB"/>
            <w:vAlign w:val="top"/>
          </w:tcPr>
          <w:p>
            <w:r>
              <w:t>Validator service economics.</w:t>
            </w:r>
          </w:p>
        </w:tc>
      </w:tr>
      <w:tr>
        <w:tc>
          <w:tcPr>
            <w:tcW w:type="dxa" w:w="3360"/>
            <w:vAlign w:val="top"/>
          </w:tcPr>
          <w:p>
            <w:r>
              <w:t>Minimum self-stake</w:t>
            </w:r>
          </w:p>
        </w:tc>
        <w:tc>
          <w:tcPr>
            <w:tcW w:type="dxa" w:w="3360"/>
            <w:vAlign w:val="top"/>
          </w:tcPr>
          <w:p>
            <w:r>
              <w:t>100 QUB</w:t>
            </w:r>
          </w:p>
        </w:tc>
        <w:tc>
          <w:tcPr>
            <w:tcW w:type="dxa" w:w="3360"/>
            <w:vAlign w:val="top"/>
          </w:tcPr>
          <w:p>
            <w:r>
              <w:t>Skin-in-the-game requirement in the published test parameters.</w:t>
            </w:r>
          </w:p>
        </w:tc>
      </w:tr>
    </w:tbl>
    <w:p>
      <w:pPr>
        <w:spacing w:after="0"/>
      </w:pPr>
    </w:p>
    <w:p>
      <w:pPr>
        <w:pStyle w:val="Heading2"/>
      </w:pPr>
      <w:r>
        <w:t>10.2 Utility expansion</w:t>
      </w:r>
    </w:p>
    <w:p>
      <w:pPr>
        <w:pStyle w:val="ListBullet"/>
      </w:pPr>
      <w:r>
        <w:t>network security through staking</w:t>
      </w:r>
    </w:p>
    <w:p>
      <w:pPr>
        <w:pStyle w:val="ListBullet"/>
      </w:pPr>
      <w:r>
        <w:t>transaction and execution settlement</w:t>
      </w:r>
    </w:p>
    <w:p>
      <w:pPr>
        <w:pStyle w:val="ListBullet"/>
      </w:pPr>
      <w:r>
        <w:t>storage-provider compensation</w:t>
      </w:r>
    </w:p>
    <w:p>
      <w:pPr>
        <w:pStyle w:val="ListBullet"/>
      </w:pPr>
      <w:r>
        <w:t>compute-provider compensation</w:t>
      </w:r>
    </w:p>
    <w:p>
      <w:pPr>
        <w:pStyle w:val="ListBullet"/>
      </w:pPr>
      <w:r>
        <w:t>agent/workflow accounting</w:t>
      </w:r>
    </w:p>
    <w:p>
      <w:pPr>
        <w:pStyle w:val="ListBullet"/>
      </w:pPr>
      <w:r>
        <w:t>potential service-market settlement within the QRX ecosystem</w:t>
      </w:r>
    </w:p>
    <w:p>
      <w:pPr>
        <w:pStyle w:val="BodyText"/>
      </w:pPr>
      <w:r>
        <w:t>Any final tokenomics should be evaluated for security budget, decentralization, sustainable provider incentives and resistance to self-dealing. Pre-genesis is the correct stage to change parameters before they become social and economic commitments.</w:t>
      </w:r>
    </w:p>
    <w:p>
      <w:r>
        <w:br w:type="page"/>
      </w:r>
    </w:p>
    <w:p>
      <w:pPr>
        <w:pStyle w:val="Heading1"/>
      </w:pPr>
      <w:r>
        <w:t>11. Positioning vs. Existing Coin Categories</w:t>
      </w:r>
    </w:p>
    <w:p>
      <w:pPr>
        <w:pStyle w:val="BodyText"/>
      </w:pPr>
      <w:r>
        <w:t>QRX's differentiation is clearest when compared with categories rather than claiming absolute uniqueness against thousands of chains.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0B1C2E"/>
          </w:tcPr>
          <w:p>
            <w:r>
              <w:rPr>
                <w:b/>
                <w:color w:val="F7FAFC"/>
              </w:rPr>
              <w:t>Capability</w:t>
            </w:r>
          </w:p>
        </w:tc>
        <w:tc>
          <w:tcPr>
            <w:tcW w:type="dxa" w:w="3360"/>
            <w:shd w:fill="0B1C2E"/>
          </w:tcPr>
          <w:p>
            <w:r>
              <w:rPr>
                <w:b/>
                <w:color w:val="F7FAFC"/>
              </w:rPr>
              <w:t>QRX direction</w:t>
            </w:r>
          </w:p>
        </w:tc>
        <w:tc>
          <w:tcPr>
            <w:tcW w:type="dxa" w:w="3360"/>
            <w:shd w:fill="0B1C2E"/>
          </w:tcPr>
          <w:p>
            <w:r>
              <w:rPr>
                <w:b/>
                <w:color w:val="F7FAFC"/>
              </w:rPr>
              <w:t>Why it matters</w:t>
            </w:r>
          </w:p>
        </w:tc>
      </w:tr>
      <w:tr>
        <w:tc>
          <w:tcPr>
            <w:tcW w:type="dxa" w:w="3360"/>
            <w:shd w:fill="F5F8FB"/>
            <w:vAlign w:val="top"/>
          </w:tcPr>
          <w:p>
            <w:r>
              <w:t>Bitcoin-like PoW chains</w:t>
            </w:r>
          </w:p>
        </w:tc>
        <w:tc>
          <w:tcPr>
            <w:tcW w:type="dxa" w:w="3360"/>
            <w:shd w:fill="F5F8FB"/>
            <w:vAlign w:val="top"/>
          </w:tcPr>
          <w:p>
            <w:r>
              <w:t>QRX uses a low-energy validator/staking direction and hybrid PQ signature path</w:t>
            </w:r>
          </w:p>
        </w:tc>
        <w:tc>
          <w:tcPr>
            <w:tcW w:type="dxa" w:w="3360"/>
            <w:shd w:fill="F5F8FB"/>
            <w:vAlign w:val="top"/>
          </w:tcPr>
          <w:p>
            <w:r>
              <w:t>Different security/participation model; Bitcoin remains the benchmark for conservative PoW monetary settlement.</w:t>
            </w:r>
          </w:p>
        </w:tc>
      </w:tr>
      <w:tr>
        <w:tc>
          <w:tcPr>
            <w:tcW w:type="dxa" w:w="3360"/>
            <w:vAlign w:val="top"/>
          </w:tcPr>
          <w:p>
            <w:r>
              <w:t>General smart-contract L1s</w:t>
            </w:r>
          </w:p>
        </w:tc>
        <w:tc>
          <w:tcPr>
            <w:tcW w:type="dxa" w:w="3360"/>
            <w:vAlign w:val="top"/>
          </w:tcPr>
          <w:p>
            <w:r>
              <w:t>QRX emphasizes protocol-native AI-agent permissions, storage and compute roadmap</w:t>
            </w:r>
          </w:p>
        </w:tc>
        <w:tc>
          <w:tcPr>
            <w:tcW w:type="dxa" w:w="3360"/>
            <w:vAlign w:val="top"/>
          </w:tcPr>
          <w:p>
            <w:r>
              <w:t>Focus is narrower and more infrastructure-oriented than a generic VM thesis.</w:t>
            </w:r>
          </w:p>
        </w:tc>
      </w:tr>
      <w:tr>
        <w:tc>
          <w:tcPr>
            <w:tcW w:type="dxa" w:w="3360"/>
            <w:shd w:fill="F5F8FB"/>
            <w:vAlign w:val="top"/>
          </w:tcPr>
          <w:p>
            <w:r>
              <w:t>Post-quantum coins</w:t>
            </w:r>
          </w:p>
        </w:tc>
        <w:tc>
          <w:tcPr>
            <w:tcW w:type="dxa" w:w="3360"/>
            <w:shd w:fill="F5F8FB"/>
            <w:vAlign w:val="top"/>
          </w:tcPr>
          <w:p>
            <w:r>
              <w:t>QRX combines PQ trajectory with agents, storage and compute</w:t>
            </w:r>
          </w:p>
        </w:tc>
        <w:tc>
          <w:tcPr>
            <w:tcW w:type="dxa" w:w="3360"/>
            <w:shd w:fill="F5F8FB"/>
            <w:vAlign w:val="top"/>
          </w:tcPr>
          <w:p>
            <w:r>
              <w:t>The USP is integration, not merely replacing one signature algorithm.</w:t>
            </w:r>
          </w:p>
        </w:tc>
      </w:tr>
      <w:tr>
        <w:tc>
          <w:tcPr>
            <w:tcW w:type="dxa" w:w="3360"/>
            <w:vAlign w:val="top"/>
          </w:tcPr>
          <w:p>
            <w:r>
              <w:t>DePIN compute networks</w:t>
            </w:r>
          </w:p>
        </w:tc>
        <w:tc>
          <w:tcPr>
            <w:tcW w:type="dxa" w:w="3360"/>
            <w:vAlign w:val="top"/>
          </w:tcPr>
          <w:p>
            <w:r>
              <w:t>QRX intends to couple compute with its own validator, agent and storage layers</w:t>
            </w:r>
          </w:p>
        </w:tc>
        <w:tc>
          <w:tcPr>
            <w:tcW w:type="dxa" w:w="3360"/>
            <w:vAlign w:val="top"/>
          </w:tcPr>
          <w:p>
            <w:r>
              <w:t>Potentially tighter end-to-end coordination from identity to execution to settlement.</w:t>
            </w:r>
          </w:p>
        </w:tc>
      </w:tr>
      <w:tr>
        <w:tc>
          <w:tcPr>
            <w:tcW w:type="dxa" w:w="3360"/>
            <w:shd w:fill="F5F8FB"/>
            <w:vAlign w:val="top"/>
          </w:tcPr>
          <w:p>
            <w:r>
              <w:t>Decentralized storage networks</w:t>
            </w:r>
          </w:p>
        </w:tc>
        <w:tc>
          <w:tcPr>
            <w:tcW w:type="dxa" w:w="3360"/>
            <w:shd w:fill="F5F8FB"/>
            <w:vAlign w:val="top"/>
          </w:tcPr>
          <w:p>
            <w:r>
              <w:t>QRX storage is intended as one layer of an AI-native stack</w:t>
            </w:r>
          </w:p>
        </w:tc>
        <w:tc>
          <w:tcPr>
            <w:tcW w:type="dxa" w:w="3360"/>
            <w:shd w:fill="F5F8FB"/>
            <w:vAlign w:val="top"/>
          </w:tcPr>
          <w:p>
            <w:r>
              <w:t>Storage supports documents/artifacts/agents rather than being the only product.</w:t>
            </w:r>
          </w:p>
        </w:tc>
      </w:tr>
    </w:tbl>
    <w:p>
      <w:pPr>
        <w:spacing w:after="0"/>
      </w:pPr>
    </w:p>
    <w:tbl>
      <w:tblPr>
        <w:tblW w:type="auto" w:w="0"/>
        <w:jc w:val="center"/>
        <w:tblLayout w:type="fixed"/>
        <w:tblLook w:firstColumn="1" w:firstRow="1" w:lastColumn="0" w:lastRow="0" w:noHBand="0" w:noVBand="1" w:val="04A0"/>
      </w:tblPr>
      <w:tblGrid>
        <w:gridCol w:w="115"/>
        <w:gridCol w:w="9144"/>
      </w:tblGrid>
      <w:tr>
        <w:tc>
          <w:tcPr>
            <w:tcW w:type="dxa" w:w="5040"/>
            <w:shd w:fill="F59E0B"/>
            <w:tcBorders>
              <w:top w:val="nil"/>
              <w:left w:val="nil"/>
              <w:bottom w:val="nil"/>
              <w:right w:val="nil"/>
            </w:tcBorders>
          </w:tcPr>
          <w:p>
            <w:r/>
          </w:p>
        </w:tc>
        <w:tc>
          <w:tcPr>
            <w:tcW w:type="dxa" w:w="5040"/>
            <w:shd w:fill="F3F7FB"/>
            <w:tcBorders>
              <w:top w:val="nil"/>
              <w:left w:val="nil"/>
              <w:bottom w:val="nil"/>
              <w:right w:val="nil"/>
            </w:tcBorders>
          </w:tcPr>
          <w:p>
            <w:r>
              <w:rPr>
                <w:b/>
                <w:color w:val="F59E0B"/>
                <w:sz w:val="18"/>
              </w:rPr>
              <w:t>COMPETITIVE HONESTY</w:t>
              <w:br/>
            </w:r>
            <w:r>
              <w:rPr>
                <w:color w:val="101828"/>
                <w:sz w:val="20"/>
              </w:rPr>
              <w:t>Staking, post-quantum cryptography, decentralized storage and distributed compute each exist elsewhere. QRX should compete on architecture, implementation quality, interoperability and the integrated developer/user experience—not on unverifiable “first ever” claims.</w:t>
            </w:r>
          </w:p>
        </w:tc>
      </w:tr>
    </w:tbl>
    <w:p>
      <w:pPr>
        <w:spacing w:after="0"/>
      </w:pPr>
    </w:p>
    <w:p>
      <w:r>
        <w:br w:type="page"/>
      </w:r>
    </w:p>
    <w:p>
      <w:pPr>
        <w:pStyle w:val="Heading1"/>
      </w:pPr>
      <w:r>
        <w:t>12. Ecosystem &amp; User Layer</w:t>
      </w:r>
    </w:p>
    <w:p>
      <w:pPr>
        <w:pStyle w:val="Heading2"/>
      </w:pPr>
      <w:r>
        <w:t>12.1 Wallet</w:t>
      </w:r>
    </w:p>
    <w:p>
      <w:pPr>
        <w:pStyle w:val="BodyText"/>
      </w:pPr>
      <w:r>
        <w:t>The wallet direction is lightweight and cross-platform, with Tauri explored for GUI delivery. Core principles include local signing, create/import, backup/restore, send/receive, transaction history, staking/delegation visibility and explorer integration.</w:t>
      </w:r>
    </w:p>
    <w:p>
      <w:pPr>
        <w:pStyle w:val="Heading2"/>
      </w:pPr>
      <w:r>
        <w:t>12.2 Explorer</w:t>
      </w:r>
    </w:p>
    <w:p>
      <w:pPr>
        <w:pStyle w:val="BodyText"/>
      </w:pPr>
      <w:r>
        <w:t>qrxscan.com is the public explorer endpoint for chain visibility and should evolve alongside new transaction types, validator state, storage proofs, agent identities and compute accounting.</w:t>
      </w:r>
    </w:p>
    <w:p>
      <w:pPr>
        <w:pStyle w:val="Heading2"/>
      </w:pPr>
      <w:r>
        <w:t>12.3 AURA</w:t>
      </w:r>
    </w:p>
    <w:p>
      <w:pPr>
        <w:pStyle w:val="BodyText"/>
      </w:pPr>
      <w:r>
        <w:t>AURA is the planned AI assistance layer: a user-facing interface that can unify multiple AI providers and later interact with QRX-native agent and workflow capabilities.</w:t>
      </w:r>
    </w:p>
    <w:p>
      <w:pPr>
        <w:pStyle w:val="Heading2"/>
      </w:pPr>
      <w:r>
        <w:t>12.4 Node Wars</w:t>
      </w:r>
    </w:p>
    <w:p>
      <w:pPr>
        <w:pStyle w:val="BodyText"/>
      </w:pPr>
      <w:r>
        <w:t>QRX: The Node Wars explores a game/engagement layer around node participation and network dynamics. It is ecosystem gamification rather than a consensus dependency.</w:t>
      </w:r>
    </w:p>
    <w:p>
      <w:pPr>
        <w:pStyle w:val="Heading2"/>
      </w:pPr>
      <w:r>
        <w:t>12.5 QRX OS One</w:t>
      </w:r>
    </w:p>
    <w:p>
      <w:pPr>
        <w:pStyle w:val="BodyText"/>
      </w:pPr>
      <w:r>
        <w:t>QRX OS One is the broader AI-native workspace vision spanning chat, voice, documents, browser workflows, artifacts and autonomous agents. QRX Chain can provide decentralized identity, settlement, storage and compute primitives beneath that experience.</w:t>
      </w:r>
    </w:p>
    <w:p>
      <w:r>
        <w:br w:type="page"/>
      </w:r>
    </w:p>
    <w:p>
      <w:pPr>
        <w:pStyle w:val="Heading1"/>
      </w:pPr>
      <w:r>
        <w:t>13. Engineering Risks &amp; Open Questions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0B1C2E"/>
          </w:tcPr>
          <w:p>
            <w:r>
              <w:rPr>
                <w:b/>
                <w:color w:val="F7FAFC"/>
              </w:rPr>
              <w:t>Capability</w:t>
            </w:r>
          </w:p>
        </w:tc>
        <w:tc>
          <w:tcPr>
            <w:tcW w:type="dxa" w:w="3360"/>
            <w:shd w:fill="0B1C2E"/>
          </w:tcPr>
          <w:p>
            <w:r>
              <w:rPr>
                <w:b/>
                <w:color w:val="F7FAFC"/>
              </w:rPr>
              <w:t>QRX direction</w:t>
            </w:r>
          </w:p>
        </w:tc>
        <w:tc>
          <w:tcPr>
            <w:tcW w:type="dxa" w:w="3360"/>
            <w:shd w:fill="0B1C2E"/>
          </w:tcPr>
          <w:p>
            <w:r>
              <w:rPr>
                <w:b/>
                <w:color w:val="F7FAFC"/>
              </w:rPr>
              <w:t>Why it matters</w:t>
            </w:r>
          </w:p>
        </w:tc>
      </w:tr>
      <w:tr>
        <w:tc>
          <w:tcPr>
            <w:tcW w:type="dxa" w:w="3360"/>
            <w:shd w:fill="F5F8FB"/>
            <w:vAlign w:val="top"/>
          </w:tcPr>
          <w:p>
            <w:r>
              <w:t>Consensus complexity</w:t>
            </w:r>
          </w:p>
        </w:tc>
        <w:tc>
          <w:tcPr>
            <w:tcW w:type="dxa" w:w="3360"/>
            <w:shd w:fill="F5F8FB"/>
            <w:vAlign w:val="top"/>
          </w:tcPr>
          <w:p>
            <w:r>
              <w:t>BFT, staking, slashing and versioned upgrades require extensive adversarial testing</w:t>
            </w:r>
          </w:p>
        </w:tc>
        <w:tc>
          <w:tcPr>
            <w:tcW w:type="dxa" w:w="3360"/>
            <w:shd w:fill="F5F8FB"/>
            <w:vAlign w:val="top"/>
          </w:tcPr>
          <w:p>
            <w:r>
              <w:t>Prioritize deterministic test vectors, simulation and external review.</w:t>
            </w:r>
          </w:p>
        </w:tc>
      </w:tr>
      <w:tr>
        <w:tc>
          <w:tcPr>
            <w:tcW w:type="dxa" w:w="3360"/>
            <w:vAlign w:val="top"/>
          </w:tcPr>
          <w:p>
            <w:r>
              <w:t>Hybrid crypto overhead</w:t>
            </w:r>
          </w:p>
        </w:tc>
        <w:tc>
          <w:tcPr>
            <w:tcW w:type="dxa" w:w="3360"/>
            <w:vAlign w:val="top"/>
          </w:tcPr>
          <w:p>
            <w:r>
              <w:t>PQ signatures increase size and verification cost</w:t>
            </w:r>
          </w:p>
        </w:tc>
        <w:tc>
          <w:tcPr>
            <w:tcW w:type="dxa" w:w="3360"/>
            <w:vAlign w:val="top"/>
          </w:tcPr>
          <w:p>
            <w:r>
              <w:t>Benchmark block propagation, mempool behavior and validator throughput.</w:t>
            </w:r>
          </w:p>
        </w:tc>
      </w:tr>
      <w:tr>
        <w:tc>
          <w:tcPr>
            <w:tcW w:type="dxa" w:w="3360"/>
            <w:shd w:fill="F5F8FB"/>
            <w:vAlign w:val="top"/>
          </w:tcPr>
          <w:p>
            <w:r>
              <w:t>Agent safety</w:t>
            </w:r>
          </w:p>
        </w:tc>
        <w:tc>
          <w:tcPr>
            <w:tcW w:type="dxa" w:w="3360"/>
            <w:shd w:fill="F5F8FB"/>
            <w:vAlign w:val="top"/>
          </w:tcPr>
          <w:p>
            <w:r>
              <w:t>Autonomous execution increases operational risk</w:t>
            </w:r>
          </w:p>
        </w:tc>
        <w:tc>
          <w:tcPr>
            <w:tcW w:type="dxa" w:w="3360"/>
            <w:shd w:fill="F5F8FB"/>
            <w:vAlign w:val="top"/>
          </w:tcPr>
          <w:p>
            <w:r>
              <w:t>Capability scopes, allowlists, expiry, revocation, spending limits and no private-key exposure.</w:t>
            </w:r>
          </w:p>
        </w:tc>
      </w:tr>
      <w:tr>
        <w:tc>
          <w:tcPr>
            <w:tcW w:type="dxa" w:w="3360"/>
            <w:vAlign w:val="top"/>
          </w:tcPr>
          <w:p>
            <w:r>
              <w:t>Storage verification</w:t>
            </w:r>
          </w:p>
        </w:tc>
        <w:tc>
          <w:tcPr>
            <w:tcW w:type="dxa" w:w="3360"/>
            <w:vAlign w:val="top"/>
          </w:tcPr>
          <w:p>
            <w:r>
              <w:t>Proof mechanisms can be gamed if incentives/proofs are weak</w:t>
            </w:r>
          </w:p>
        </w:tc>
        <w:tc>
          <w:tcPr>
            <w:tcW w:type="dxa" w:w="3360"/>
            <w:vAlign w:val="top"/>
          </w:tcPr>
          <w:p>
            <w:r>
              <w:t>Specify challenge cadence, failure semantics and economics before activation.</w:t>
            </w:r>
          </w:p>
        </w:tc>
      </w:tr>
      <w:tr>
        <w:tc>
          <w:tcPr>
            <w:tcW w:type="dxa" w:w="3360"/>
            <w:shd w:fill="F5F8FB"/>
            <w:vAlign w:val="top"/>
          </w:tcPr>
          <w:p>
            <w:r>
              <w:t>Distributed inference latency</w:t>
            </w:r>
          </w:p>
        </w:tc>
        <w:tc>
          <w:tcPr>
            <w:tcW w:type="dxa" w:w="3360"/>
            <w:shd w:fill="F5F8FB"/>
            <w:vAlign w:val="top"/>
          </w:tcPr>
          <w:p>
            <w:r>
              <w:t>Heterogeneous nodes create stragglers and network bottlenecks</w:t>
            </w:r>
          </w:p>
        </w:tc>
        <w:tc>
          <w:tcPr>
            <w:tcW w:type="dxa" w:w="3360"/>
            <w:shd w:fill="F5F8FB"/>
            <w:vAlign w:val="top"/>
          </w:tcPr>
          <w:p>
            <w:r>
              <w:t>Use locality, replication, P95-aware scheduling and benchmark-driven placement.</w:t>
            </w:r>
          </w:p>
        </w:tc>
      </w:tr>
      <w:tr>
        <w:tc>
          <w:tcPr>
            <w:tcW w:type="dxa" w:w="3360"/>
            <w:vAlign w:val="top"/>
          </w:tcPr>
          <w:p>
            <w:r>
              <w:t>Sybil / benchmark gaming</w:t>
            </w:r>
          </w:p>
        </w:tc>
        <w:tc>
          <w:tcPr>
            <w:tcW w:type="dxa" w:w="3360"/>
            <w:vAlign w:val="top"/>
          </w:tcPr>
          <w:p>
            <w:r>
              <w:t>Compute providers may falsify capabilities or results</w:t>
            </w:r>
          </w:p>
        </w:tc>
        <w:tc>
          <w:tcPr>
            <w:tcW w:type="dxa" w:w="3360"/>
            <w:vAlign w:val="top"/>
          </w:tcPr>
          <w:p>
            <w:r>
              <w:t>Use challenge workloads, reputation, replicated verification and economic penalties.</w:t>
            </w:r>
          </w:p>
        </w:tc>
      </w:tr>
      <w:tr>
        <w:tc>
          <w:tcPr>
            <w:tcW w:type="dxa" w:w="3360"/>
            <w:shd w:fill="F5F8FB"/>
            <w:vAlign w:val="top"/>
          </w:tcPr>
          <w:p>
            <w:r>
              <w:t>Roadmap breadth</w:t>
            </w:r>
          </w:p>
        </w:tc>
        <w:tc>
          <w:tcPr>
            <w:tcW w:type="dxa" w:w="3360"/>
            <w:shd w:fill="F5F8FB"/>
            <w:vAlign w:val="top"/>
          </w:tcPr>
          <w:p>
            <w:r>
              <w:t>Too many layers can dilute execution</w:t>
            </w:r>
          </w:p>
        </w:tc>
        <w:tc>
          <w:tcPr>
            <w:tcW w:type="dxa" w:w="3360"/>
            <w:shd w:fill="F5F8FB"/>
            <w:vAlign w:val="top"/>
          </w:tcPr>
          <w:p>
            <w:r>
              <w:t>Keep version gates modular and ship independently testable primitives.</w:t>
            </w:r>
          </w:p>
        </w:tc>
      </w:tr>
    </w:tbl>
    <w:p>
      <w:pPr>
        <w:spacing w:after="0"/>
      </w:pPr>
    </w:p>
    <w:p>
      <w:pPr>
        <w:pStyle w:val="Heading2"/>
      </w:pPr>
      <w:r>
        <w:t>13.1 Security posture</w:t>
      </w:r>
    </w:p>
    <w:p>
      <w:pPr>
        <w:pStyle w:val="BodyText"/>
      </w:pPr>
      <w:r>
        <w:t>QRX should assume that cryptography, consensus, agent permissions, storage proofs and compute accounting will all be attacked. The design goal is therefore not feature count but verifiability, deterministic behavior, least privilege and recoverable protocol evolution.</w:t>
      </w:r>
    </w:p>
    <w:p>
      <w:r>
        <w:br w:type="page"/>
      </w:r>
    </w:p>
    <w:p>
      <w:pPr>
        <w:pStyle w:val="Heading1"/>
      </w:pPr>
      <w:r>
        <w:t>14. Developer Architecture</w:t>
      </w:r>
    </w:p>
    <w:p>
      <w:pPr>
        <w:pStyle w:val="Heading2"/>
      </w:pPr>
      <w:r>
        <w:t>14.1 Core interfaces</w:t>
      </w:r>
    </w:p>
    <w:p>
      <w:pPr>
        <w:pStyle w:val="ListBullet"/>
      </w:pPr>
      <w:r>
        <w:t>qrxd — node daemon and network runtime</w:t>
      </w:r>
    </w:p>
    <w:p>
      <w:pPr>
        <w:pStyle w:val="ListBullet"/>
      </w:pPr>
      <w:r>
        <w:t>qrx-cli — RPC/administration interface</w:t>
      </w:r>
    </w:p>
    <w:p>
      <w:pPr>
        <w:pStyle w:val="ListBullet"/>
      </w:pPr>
      <w:r>
        <w:t>QRXDB — native blockchain persistence layer</w:t>
      </w:r>
    </w:p>
    <w:p>
      <w:pPr>
        <w:pStyle w:val="ListBullet"/>
      </w:pPr>
      <w:r>
        <w:t>wallet runtime — local key management and signing</w:t>
      </w:r>
    </w:p>
    <w:p>
      <w:pPr>
        <w:pStyle w:val="ListBullet"/>
      </w:pPr>
      <w:r>
        <w:t>agent API — identities, permissions and transaction schemas</w:t>
      </w:r>
    </w:p>
    <w:p>
      <w:pPr>
        <w:pStyle w:val="ListBullet"/>
      </w:pPr>
      <w:r>
        <w:t>storage API — provider/contracts/proofs direction</w:t>
      </w:r>
    </w:p>
    <w:p>
      <w:pPr>
        <w:pStyle w:val="ListBullet"/>
      </w:pPr>
      <w:r>
        <w:t>compute API — hardware probe, kernels, benchmark engine and distributed scheduler direction</w:t>
      </w:r>
    </w:p>
    <w:p>
      <w:pPr>
        <w:pStyle w:val="Heading2"/>
      </w:pPr>
      <w:r>
        <w:t>14.2 QRX Compute Runtime concept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0B1C2E"/>
          </w:tcPr>
          <w:p>
            <w:r>
              <w:rPr>
                <w:b/>
                <w:color w:val="F7FAFC"/>
              </w:rPr>
              <w:t>Capability</w:t>
            </w:r>
          </w:p>
        </w:tc>
        <w:tc>
          <w:tcPr>
            <w:tcW w:type="dxa" w:w="3360"/>
            <w:shd w:fill="0B1C2E"/>
          </w:tcPr>
          <w:p>
            <w:r>
              <w:rPr>
                <w:b/>
                <w:color w:val="F7FAFC"/>
              </w:rPr>
              <w:t>QRX direction</w:t>
            </w:r>
          </w:p>
        </w:tc>
        <w:tc>
          <w:tcPr>
            <w:tcW w:type="dxa" w:w="3360"/>
            <w:shd w:fill="0B1C2E"/>
          </w:tcPr>
          <w:p>
            <w:r>
              <w:rPr>
                <w:b/>
                <w:color w:val="F7FAFC"/>
              </w:rPr>
              <w:t>Why it matters</w:t>
            </w:r>
          </w:p>
        </w:tc>
      </w:tr>
      <w:tr>
        <w:tc>
          <w:tcPr>
            <w:tcW w:type="dxa" w:w="3360"/>
            <w:shd w:fill="F5F8FB"/>
            <w:vAlign w:val="top"/>
          </w:tcPr>
          <w:p>
            <w:r>
              <w:t>Hardware Probe</w:t>
            </w:r>
          </w:p>
        </w:tc>
        <w:tc>
          <w:tcPr>
            <w:tcW w:type="dxa" w:w="3360"/>
            <w:shd w:fill="F5F8FB"/>
            <w:vAlign w:val="top"/>
          </w:tcPr>
          <w:p>
            <w:r>
              <w:t>OS, architecture, cores, ISA, RAM, NUMA, cache, storage and network</w:t>
            </w:r>
          </w:p>
        </w:tc>
        <w:tc>
          <w:tcPr>
            <w:tcW w:type="dxa" w:w="3360"/>
            <w:shd w:fill="F5F8FB"/>
            <w:vAlign w:val="top"/>
          </w:tcPr>
          <w:p>
            <w:r>
              <w:t>Produces capability metadata.</w:t>
            </w:r>
          </w:p>
        </w:tc>
      </w:tr>
      <w:tr>
        <w:tc>
          <w:tcPr>
            <w:tcW w:type="dxa" w:w="3360"/>
            <w:vAlign w:val="top"/>
          </w:tcPr>
          <w:p>
            <w:r>
              <w:t>Kernel Runtime</w:t>
            </w:r>
          </w:p>
        </w:tc>
        <w:tc>
          <w:tcPr>
            <w:tcW w:type="dxa" w:w="3360"/>
            <w:vAlign w:val="top"/>
          </w:tcPr>
          <w:p>
            <w:r>
              <w:t>GEMM/GEMV, attention, quant/dequant, MoE experts</w:t>
            </w:r>
          </w:p>
        </w:tc>
        <w:tc>
          <w:tcPr>
            <w:tcW w:type="dxa" w:w="3360"/>
            <w:vAlign w:val="top"/>
          </w:tcPr>
          <w:p>
            <w:r>
              <w:t>Selects best implementation for the node.</w:t>
            </w:r>
          </w:p>
        </w:tc>
      </w:tr>
      <w:tr>
        <w:tc>
          <w:tcPr>
            <w:tcW w:type="dxa" w:w="3360"/>
            <w:shd w:fill="F5F8FB"/>
            <w:vAlign w:val="top"/>
          </w:tcPr>
          <w:p>
            <w:r>
              <w:t>Benchmark Engine</w:t>
            </w:r>
          </w:p>
        </w:tc>
        <w:tc>
          <w:tcPr>
            <w:tcW w:type="dxa" w:w="3360"/>
            <w:shd w:fill="F5F8FB"/>
            <w:vAlign w:val="top"/>
          </w:tcPr>
          <w:p>
            <w:r>
              <w:t>INT8/BF16 throughput, bandwidth, expert/s, storage and P95 latency</w:t>
            </w:r>
          </w:p>
        </w:tc>
        <w:tc>
          <w:tcPr>
            <w:tcW w:type="dxa" w:w="3360"/>
            <w:shd w:fill="F5F8FB"/>
            <w:vAlign w:val="top"/>
          </w:tcPr>
          <w:p>
            <w:r>
              <w:t>Measures real suitability.</w:t>
            </w:r>
          </w:p>
        </w:tc>
      </w:tr>
      <w:tr>
        <w:tc>
          <w:tcPr>
            <w:tcW w:type="dxa" w:w="3360"/>
            <w:vAlign w:val="top"/>
          </w:tcPr>
          <w:p>
            <w:r>
              <w:t>Distributed Scheduler</w:t>
            </w:r>
          </w:p>
        </w:tc>
        <w:tc>
          <w:tcPr>
            <w:tcW w:type="dxa" w:w="3360"/>
            <w:vAlign w:val="top"/>
          </w:tcPr>
          <w:p>
            <w:r>
              <w:t>Placement, replication, load balancing, failover</w:t>
            </w:r>
          </w:p>
        </w:tc>
        <w:tc>
          <w:tcPr>
            <w:tcW w:type="dxa" w:w="3360"/>
            <w:vAlign w:val="top"/>
          </w:tcPr>
          <w:p>
            <w:r>
              <w:t>Coordinates heterogeneous workers.</w:t>
            </w:r>
          </w:p>
        </w:tc>
      </w:tr>
      <w:tr>
        <w:tc>
          <w:tcPr>
            <w:tcW w:type="dxa" w:w="3360"/>
            <w:shd w:fill="F5F8FB"/>
            <w:vAlign w:val="top"/>
          </w:tcPr>
          <w:p>
            <w:r>
              <w:t>Model Runtime</w:t>
            </w:r>
          </w:p>
        </w:tc>
        <w:tc>
          <w:tcPr>
            <w:tcW w:type="dxa" w:w="3360"/>
            <w:shd w:fill="F5F8FB"/>
            <w:vAlign w:val="top"/>
          </w:tcPr>
          <w:p>
            <w:r>
              <w:t>Kimi K3 reference, later other LLM/MoE workloads</w:t>
            </w:r>
          </w:p>
        </w:tc>
        <w:tc>
          <w:tcPr>
            <w:tcW w:type="dxa" w:w="3360"/>
            <w:shd w:fill="F5F8FB"/>
            <w:vAlign w:val="top"/>
          </w:tcPr>
          <w:p>
            <w:r>
              <w:t>Keeps the compute layer model-extensible.</w:t>
            </w:r>
          </w:p>
        </w:tc>
      </w:tr>
    </w:tbl>
    <w:p>
      <w:pPr>
        <w:spacing w:after="0"/>
      </w:pPr>
    </w:p>
    <w:p>
      <w:pPr>
        <w:pStyle w:val="Heading2"/>
      </w:pPr>
      <w:r>
        <w:t>14.3 Accelerator evolution</w:t>
      </w:r>
    </w:p>
    <w:p>
      <w:pPr>
        <w:pStyle w:val="BodyText"/>
      </w:pPr>
      <w:r>
        <w:t>CPU support is the universal first layer. The architecture should remain extensible to NVIDIA CUDA, AMD ROCm, Apple Metal, Vulkan Compute, Apple Neural Engine, Windows AI/NPU paths and future vendor accelerators without changing the chain's economic coordination model.</w:t>
      </w:r>
    </w:p>
    <w:p>
      <w:r>
        <w:br w:type="page"/>
      </w:r>
    </w:p>
    <w:p>
      <w:pPr>
        <w:pStyle w:val="Heading1"/>
      </w:pPr>
      <w:r>
        <w:t>15. Beyond 0.0.9</w:t>
      </w:r>
    </w:p>
    <w:p>
      <w:pPr>
        <w:pStyle w:val="BodyText"/>
      </w:pPr>
      <w:r>
        <w:t>Version 0.0.9 is a foundation, not the endpoint. Once heterogeneous compute is measurable and schedulable, QRX can evolve toward a broader market for verified execution.</w:t>
      </w:r>
    </w:p>
    <w:p>
      <w:pPr>
        <w:pStyle w:val="ListBullet"/>
      </w:pPr>
      <w:r>
        <w:t>GPU and NPU execution backends</w:t>
      </w:r>
    </w:p>
    <w:p>
      <w:pPr>
        <w:pStyle w:val="ListBullet"/>
      </w:pPr>
      <w:r>
        <w:t>multi-model routing and model marketplaces</w:t>
      </w:r>
    </w:p>
    <w:p>
      <w:pPr>
        <w:pStyle w:val="ListBullet"/>
      </w:pPr>
      <w:r>
        <w:t>verified agent-to-compute job delegation</w:t>
      </w:r>
    </w:p>
    <w:p>
      <w:pPr>
        <w:pStyle w:val="ListBullet"/>
      </w:pPr>
      <w:r>
        <w:t>redundant execution and challenge-based result verification</w:t>
      </w:r>
    </w:p>
    <w:p>
      <w:pPr>
        <w:pStyle w:val="ListBullet"/>
      </w:pPr>
      <w:r>
        <w:t>privacy-preserving job envelopes and encrypted workload transport</w:t>
      </w:r>
    </w:p>
    <w:p>
      <w:pPr>
        <w:pStyle w:val="ListBullet"/>
      </w:pPr>
      <w:r>
        <w:t>enterprise compute pools and permissioned subnets</w:t>
      </w:r>
    </w:p>
    <w:p>
      <w:pPr>
        <w:pStyle w:val="ListBullet"/>
      </w:pPr>
      <w:r>
        <w:t>cross-region model pods for latency-aware inference</w:t>
      </w:r>
    </w:p>
    <w:p>
      <w:pPr>
        <w:pStyle w:val="ListBullet"/>
      </w:pPr>
      <w:r>
        <w:t>economic quality-of-service tiers</w:t>
      </w:r>
    </w:p>
    <w:p>
      <w:pPr>
        <w:pStyle w:val="ListBullet"/>
      </w:pPr>
      <w:r>
        <w:t>storage + compute co-location optimization</w:t>
      </w:r>
    </w:p>
    <w:p>
      <w:pPr>
        <w:pStyle w:val="ListBullet"/>
      </w:pPr>
      <w:r>
        <w:t>developer SDKs for QRX-native AI applications</w:t>
      </w:r>
    </w:p>
    <w:tbl>
      <w:tblPr>
        <w:tblW w:type="auto" w:w="0"/>
        <w:jc w:val="center"/>
        <w:tblLayout w:type="fixed"/>
        <w:tblLook w:firstColumn="1" w:firstRow="1" w:lastColumn="0" w:lastRow="0" w:noHBand="0" w:noVBand="1" w:val="04A0"/>
      </w:tblPr>
      <w:tblGrid>
        <w:gridCol w:w="115"/>
        <w:gridCol w:w="9144"/>
      </w:tblGrid>
      <w:tr>
        <w:tc>
          <w:tcPr>
            <w:tcW w:type="dxa" w:w="5040"/>
            <w:shd w:fill="00D4FF"/>
            <w:tcBorders>
              <w:top w:val="nil"/>
              <w:left w:val="nil"/>
              <w:bottom w:val="nil"/>
              <w:right w:val="nil"/>
            </w:tcBorders>
          </w:tcPr>
          <w:p>
            <w:r/>
          </w:p>
        </w:tc>
        <w:tc>
          <w:tcPr>
            <w:tcW w:type="dxa" w:w="5040"/>
            <w:shd w:fill="F3F7FB"/>
            <w:tcBorders>
              <w:top w:val="nil"/>
              <w:left w:val="nil"/>
              <w:bottom w:val="nil"/>
              <w:right w:val="nil"/>
            </w:tcBorders>
          </w:tcPr>
          <w:p>
            <w:r>
              <w:rPr>
                <w:b/>
                <w:color w:val="00D4FF"/>
                <w:sz w:val="18"/>
              </w:rPr>
              <w:t>NORTH STAR</w:t>
              <w:br/>
            </w:r>
            <w:r>
              <w:rPr>
                <w:color w:val="101828"/>
                <w:sz w:val="20"/>
              </w:rPr>
              <w:t>A network where trust, storage and compute can be composed: agents obtain scoped authority, retrieve durable artifacts, execute on the best available hardware and settle results through QRX.</w:t>
            </w:r>
          </w:p>
        </w:tc>
      </w:tr>
    </w:tbl>
    <w:p>
      <w:pPr>
        <w:spacing w:after="0"/>
      </w:pPr>
    </w:p>
    <w:p>
      <w:r>
        <w:br w:type="page"/>
      </w:r>
    </w:p>
    <w:p>
      <w:pPr>
        <w:pStyle w:val="Heading1"/>
      </w:pPr>
      <w:r>
        <w:t>16. Conclusion</w:t>
      </w:r>
    </w:p>
    <w:p>
      <w:pPr>
        <w:pStyle w:val="BodyText"/>
      </w:pPr>
      <w:r>
        <w:t>QRX began as a pre-genesis experiment in building a blockchain from scratch with a quantum-aware security trajectory. Its roadmap has expanded that foundation into a broader execution network: validator security and QRXDB at the base; hybrid cryptography and atomic settlement for resilience; VELOCITY and AI-agent permissions for autonomous execution; Proof of Storage for persistence; and distributed AI compute for heterogeneous execution capacity.</w:t>
      </w:r>
    </w:p>
    <w:p>
      <w:pPr>
        <w:pStyle w:val="BodyText"/>
      </w:pPr>
      <w:r>
        <w:t>The central USP is not that every individual component is unprecedented. It is the deliberate attempt to make these components interoperable within one protocol ecosystem while keeping high-bandwidth workloads off-chain and verifiable economic coordination on-chain.</w:t>
      </w:r>
    </w:p>
    <w:p>
      <w:pPr>
        <w:spacing w:before="360"/>
      </w:pPr>
      <w:r>
        <w:rPr>
          <w:b/>
          <w:color w:val="00D4FF"/>
          <w:sz w:val="48"/>
        </w:rPr>
        <w:t>BUILD. VERIFY. DISTRIBUTE.</w:t>
      </w:r>
    </w:p>
    <w:p>
      <w:pPr>
        <w:spacing w:after="120"/>
        <w:pBdr>
          <w:bottom w:val="single" w:sz="20" w:space="1" w:color="07111F"/>
        </w:pBdr>
      </w:pPr>
    </w:p>
    <w:p>
      <w:hyperlink r:id="rId10">
        <w:r>
          <w:rPr>
            <w:color w:val="00D4FF"/>
          </w:rPr>
          <w:t>QRX Alpha Network</w:t>
        </w:r>
      </w:hyperlink>
      <w:r>
        <w:t xml:space="preserve">   •   </w:t>
      </w:r>
      <w:hyperlink r:id="rId12">
        <w:r>
          <w:rPr>
            <w:color w:val="00D4FF"/>
          </w:rPr>
          <w:t>Documentation</w:t>
        </w:r>
      </w:hyperlink>
      <w:r>
        <w:t xml:space="preserve">   •   </w:t>
      </w:r>
      <w:hyperlink r:id="rId11">
        <w:r>
          <w:rPr>
            <w:color w:val="00D4FF"/>
          </w:rPr>
          <w:t>Explorer</w:t>
        </w:r>
      </w:hyperlink>
      <w:r>
        <w:t xml:space="preserve">   •   </w:t>
      </w:r>
      <w:hyperlink r:id="rId13">
        <w:r>
          <w:rPr>
            <w:color w:val="00D4FF"/>
          </w:rPr>
          <w:t>GitHub</w:t>
        </w:r>
      </w:hyperlink>
    </w:p>
    <w:p>
      <w:r>
        <w:br w:type="page"/>
      </w:r>
    </w:p>
    <w:p>
      <w:pPr>
        <w:pStyle w:val="Heading1"/>
      </w:pPr>
      <w:r>
        <w:t>Sources, Status &amp; Disclaimer</w:t>
      </w:r>
    </w:p>
    <w:p>
      <w:pPr>
        <w:pStyle w:val="BodyText"/>
      </w:pPr>
      <w:r>
        <w:t>This white paper consolidates QRX's public pre-genesis documentation, public development announcements and the project roadmap discussed through 31 August 2026. Planned features are explicitly forward-looking and may change before activation.</w:t>
      </w:r>
    </w:p>
    <w:p>
      <w:pPr>
        <w:pStyle w:val="BodyText"/>
      </w:pPr>
      <w:r>
        <w:rPr>
          <w:b/>
        </w:rPr>
        <w:t xml:space="preserve">QRX Alpha Network — </w:t>
      </w:r>
      <w:hyperlink r:id="rId14">
        <w:r>
          <w:rPr>
            <w:color w:val="00D4FF"/>
          </w:rPr>
          <w:t>https://qrxchain.org/</w:t>
        </w:r>
      </w:hyperlink>
      <w:r>
        <w:br/>
        <w:t>Project overview, hybrid-signature direction, validator participation and public-alpha status.</w:t>
      </w:r>
    </w:p>
    <w:p>
      <w:pPr>
        <w:pStyle w:val="BodyText"/>
      </w:pPr>
      <w:r>
        <w:rPr>
          <w:b/>
        </w:rPr>
        <w:t xml:space="preserve">QRX Documentation — </w:t>
      </w:r>
      <w:hyperlink r:id="rId12">
        <w:r>
          <w:rPr>
            <w:color w:val="00D4FF"/>
          </w:rPr>
          <w:t>https://qrxchain.org/docs/</w:t>
        </w:r>
      </w:hyperlink>
      <w:r>
        <w:br/>
        <w:t>Architecture, QRXDB, security hardening, runtime and wallet direction.</w:t>
      </w:r>
    </w:p>
    <w:p>
      <w:pPr>
        <w:pStyle w:val="BodyText"/>
      </w:pPr>
      <w:r>
        <w:rPr>
          <w:b/>
        </w:rPr>
        <w:t xml:space="preserve">QRX GitHub — </w:t>
      </w:r>
      <w:hyperlink r:id="rId13">
        <w:r>
          <w:rPr>
            <w:color w:val="00D4FF"/>
          </w:rPr>
          <w:t>https://github.com/phoenixkonsole/qrx</w:t>
        </w:r>
      </w:hyperlink>
      <w:r>
        <w:br/>
        <w:t>Source repository and development branches.</w:t>
      </w:r>
    </w:p>
    <w:p>
      <w:pPr>
        <w:pStyle w:val="BodyText"/>
      </w:pPr>
      <w:r>
        <w:rPr>
          <w:b/>
        </w:rPr>
        <w:t xml:space="preserve">QRX / QubitCoin ANN — </w:t>
      </w:r>
      <w:hyperlink r:id="rId15">
        <w:r>
          <w:rPr>
            <w:color w:val="00D4FF"/>
          </w:rPr>
          <w:t>https://bitcointalk.org/index.php?topic=5580957.0</w:t>
        </w:r>
      </w:hyperlink>
      <w:r>
        <w:br/>
        <w:t>Public pre-genesis development chronology and roadmap announcements.</w:t>
      </w:r>
    </w:p>
    <w:p>
      <w:pPr>
        <w:pStyle w:val="BodyText"/>
      </w:pPr>
      <w:r>
        <w:rPr>
          <w:b/>
        </w:rPr>
        <w:t xml:space="preserve">NIST FIPS 204 — </w:t>
      </w:r>
      <w:hyperlink r:id="rId16">
        <w:r>
          <w:rPr>
            <w:color w:val="00D4FF"/>
          </w:rPr>
          <w:t>https://csrc.nist.gov/pubs/fips/204/final</w:t>
        </w:r>
      </w:hyperlink>
      <w:r>
        <w:br/>
        <w:t>ML-DSA standard reference.</w:t>
      </w:r>
    </w:p>
    <w:p>
      <w:pPr>
        <w:pStyle w:val="BodyText"/>
      </w:pPr>
      <w:r>
        <w:rPr>
          <w:b/>
        </w:rPr>
        <w:t xml:space="preserve">Kimi K3 in C — </w:t>
      </w:r>
      <w:hyperlink r:id="rId17">
        <w:r>
          <w:rPr>
            <w:color w:val="00D4FF"/>
          </w:rPr>
          <w:t>https://github.com/FareedKhan-dev/kimi-k3-in-c</w:t>
        </w:r>
      </w:hyperlink>
      <w:r>
        <w:br/>
        <w:t>Reference implementation informing the 0.0.9 distributed-MoE exploration.</w:t>
      </w:r>
    </w:p>
    <w:p>
      <w:pPr>
        <w:pStyle w:val="Heading2"/>
      </w:pPr>
      <w:r>
        <w:t>Legal / technical notice</w:t>
      </w:r>
    </w:p>
    <w:p>
      <w:pPr>
        <w:pStyle w:val="BodyText"/>
      </w:pPr>
      <w:r>
        <w:t>QRX and QubitCoin are experimental pre-genesis technologies. This document is a technical vision and roadmap, not financial advice, a prospectus, an offer of securities, a guarantee of launch, or a promise of value. Mainnet/genesis parameters, tokenomics and feature activation remain subject to testing, audits, legal review and final protocol decisions.</w:t>
      </w:r>
    </w:p>
    <w:p>
      <w:pPr>
        <w:pStyle w:val="BodyText"/>
      </w:pPr>
      <w:r>
        <w:t>Comparative statements describe architectural positioning. They should not be interpreted as claims that QRX is the first or only project to implement any individual technology.</w:t>
      </w:r>
    </w:p>
    <w:p>
      <w:pPr>
        <w:spacing w:before="360"/>
      </w:pPr>
      <w:r>
        <w:rPr>
          <w:color w:val="8EA3B8"/>
          <w:sz w:val="16"/>
        </w:rPr>
        <w:t>© 2026 QRX / ARES Computer • Technical Vision Paper</w:t>
      </w:r>
    </w:p>
    <w:sectPr w:rsidR="00FC693F" w:rsidRPr="0006063C" w:rsidSect="00034616">
      <w:footerReference w:type="default" r:id="rId9"/>
      <w:pgSz w:w="12240" w:h="15840"/>
      <w:pgMar w:top="936" w:right="1037" w:bottom="86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EA3B8"/>
        <w:sz w:val="16"/>
      </w:rPr>
      <w:t xml:space="preserve">QRX CHAIN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018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7111F"/>
      <w:sz w:val="4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D7FF9"/>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8057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7111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2D7FF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color w:val="101828"/>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rxchain.org" TargetMode="External"/><Relationship Id="rId11" Type="http://schemas.openxmlformats.org/officeDocument/2006/relationships/hyperlink" Target="https://qrxscan.com" TargetMode="External"/><Relationship Id="rId12" Type="http://schemas.openxmlformats.org/officeDocument/2006/relationships/hyperlink" Target="https://qrxchain.org/docs/" TargetMode="External"/><Relationship Id="rId13" Type="http://schemas.openxmlformats.org/officeDocument/2006/relationships/hyperlink" Target="https://github.com/phoenixkonsole/qrx" TargetMode="External"/><Relationship Id="rId14" Type="http://schemas.openxmlformats.org/officeDocument/2006/relationships/hyperlink" Target="https://qrxchain.org/" TargetMode="External"/><Relationship Id="rId15" Type="http://schemas.openxmlformats.org/officeDocument/2006/relationships/hyperlink" Target="https://bitcointalk.org/index.php?topic=5580957.0" TargetMode="External"/><Relationship Id="rId16" Type="http://schemas.openxmlformats.org/officeDocument/2006/relationships/hyperlink" Target="https://csrc.nist.gov/pubs/fips/204/final" TargetMode="External"/><Relationship Id="rId17" Type="http://schemas.openxmlformats.org/officeDocument/2006/relationships/hyperlink" Target="https://github.com/FareedKhan-dev/kimi-k3-i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QRX Chain White Paper — Genesis to 0.0.9</dc:title>
  <dc:subject>QRX Chain architecture, USP, novelties and roadmap</dc:subject>
  <dc:creator>QRX / ARES Computer</dc:creator>
  <cp:keywords>QRX, QubitCoin, QUB, blockchain, post-quantum, AI agents, proof of storage, distributed compute</cp:keywords>
  <dc:description>generated by python-docx</dc:description>
  <cp:lastModifiedBy/>
  <cp:revision>1</cp:revision>
  <dcterms:created xsi:type="dcterms:W3CDTF">2013-12-23T23:15:00Z</dcterms:created>
  <dcterms:modified xsi:type="dcterms:W3CDTF">2013-12-23T23:15:00Z</dcterms:modified>
  <cp:category/>
</cp:coreProperties>
</file>