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color w:val="606060"/>
          <w:sz w:val="26"/>
        </w:rPr>
        <w:t>Airtel Africa — Oracle E-Business Suite R12.2</w:t>
      </w:r>
    </w:p>
    <w:p>
      <w:pPr>
        <w:jc w:val="center"/>
      </w:pPr>
      <w:r>
        <w:rPr>
          <w:b/>
          <w:color w:val="C00000"/>
          <w:sz w:val="52"/>
        </w:rPr>
        <w:t>Low Level Design (LLD)</w:t>
      </w:r>
    </w:p>
    <w:p>
      <w:pPr>
        <w:jc w:val="center"/>
      </w:pPr>
      <w:r>
        <w:rPr>
          <w:b/>
          <w:sz w:val="36"/>
        </w:rPr>
        <w:t>Exit and Movement of Employee</w:t>
      </w:r>
    </w:p>
    <w:p>
      <w:pPr>
        <w:jc w:val="center"/>
      </w:pPr>
      <w:r>
        <w:rPr>
          <w:sz w:val="28"/>
        </w:rPr>
        <w:t>CR# 2026-02-0585</w:t>
      </w:r>
    </w:p>
    <w:p>
      <w:pPr>
        <w:jc w:val="center"/>
      </w:pPr>
      <w:r>
        <w:rPr>
          <w:i/>
          <w:sz w:val="22"/>
        </w:rPr>
        <w:t>Technical Design — As Built</w:t>
      </w:r>
    </w:p>
    <w:p/>
    <w:p/>
    <w:p/>
    <w:p/>
    <w:tbl>
      <w:tblPr>
        <w:tblStyle w:val="TableGrid"/>
        <w:tblW w:type="auto" w:w="0"/>
        <w:jc w:val="center"/>
        <w:tblLook w:firstColumn="1" w:firstRow="1" w:lastColumn="0" w:lastRow="0" w:noHBand="0" w:noVBand="1" w:val="04A0"/>
      </w:tblPr>
      <w:tblGrid>
        <w:gridCol w:w="4320"/>
        <w:gridCol w:w="4320"/>
      </w:tblGrid>
      <w:tr>
        <w:tc>
          <w:tcPr>
            <w:tcW w:type="dxa" w:w="2880"/>
            <w:shd w:val="clear" w:fill="D9D9D9"/>
          </w:tcPr>
          <w:p>
            <w:r>
              <w:rPr>
                <w:b/>
                <w:sz w:val="19"/>
              </w:rPr>
            </w:r>
          </w:p>
        </w:tc>
        <w:tc>
          <w:tcPr>
            <w:tcW w:type="dxa" w:w="6048"/>
            <w:shd w:val="clear" w:fill="D9D9D9"/>
          </w:tcPr>
          <w:p>
            <w:r>
              <w:rPr>
                <w:b/>
                <w:sz w:val="19"/>
              </w:rPr>
            </w:r>
          </w:p>
        </w:tc>
      </w:tr>
      <w:tr>
        <w:tc>
          <w:tcPr>
            <w:tcW w:type="dxa" w:w="2880"/>
          </w:tcPr>
          <w:p>
            <w:r>
              <w:rPr>
                <w:sz w:val="19"/>
              </w:rPr>
              <w:t>Document Version</w:t>
            </w:r>
          </w:p>
        </w:tc>
        <w:tc>
          <w:tcPr>
            <w:tcW w:type="dxa" w:w="6048"/>
          </w:tcPr>
          <w:p>
            <w:r>
              <w:rPr>
                <w:sz w:val="19"/>
              </w:rPr>
              <w:t>1.0</w:t>
            </w:r>
          </w:p>
        </w:tc>
      </w:tr>
      <w:tr>
        <w:tc>
          <w:tcPr>
            <w:tcW w:type="dxa" w:w="2880"/>
          </w:tcPr>
          <w:p>
            <w:r>
              <w:rPr>
                <w:sz w:val="19"/>
              </w:rPr>
              <w:t>Status</w:t>
            </w:r>
          </w:p>
        </w:tc>
        <w:tc>
          <w:tcPr>
            <w:tcW w:type="dxa" w:w="6048"/>
          </w:tcPr>
          <w:p>
            <w:r>
              <w:rPr>
                <w:sz w:val="19"/>
              </w:rPr>
              <w:t>Draft for Review</w:t>
            </w:r>
          </w:p>
        </w:tc>
      </w:tr>
      <w:tr>
        <w:tc>
          <w:tcPr>
            <w:tcW w:type="dxa" w:w="2880"/>
          </w:tcPr>
          <w:p>
            <w:r>
              <w:rPr>
                <w:sz w:val="19"/>
              </w:rPr>
              <w:t>Date</w:t>
            </w:r>
          </w:p>
        </w:tc>
        <w:tc>
          <w:tcPr>
            <w:tcW w:type="dxa" w:w="6048"/>
          </w:tcPr>
          <w:p>
            <w:r>
              <w:rPr>
                <w:sz w:val="19"/>
              </w:rPr>
              <w:t>11-Jun-2026</w:t>
            </w:r>
          </w:p>
        </w:tc>
      </w:tr>
      <w:tr>
        <w:tc>
          <w:tcPr>
            <w:tcW w:type="dxa" w:w="2880"/>
          </w:tcPr>
          <w:p>
            <w:r>
              <w:rPr>
                <w:sz w:val="19"/>
              </w:rPr>
              <w:t>Instance</w:t>
            </w:r>
          </w:p>
        </w:tc>
        <w:tc>
          <w:tcPr>
            <w:tcW w:type="dxa" w:w="6048"/>
          </w:tcPr>
          <w:p>
            <w:r>
              <w:rPr>
                <w:sz w:val="19"/>
              </w:rPr>
              <w:t>FINUAT (UAT)</w:t>
            </w:r>
          </w:p>
        </w:tc>
      </w:tr>
      <w:tr>
        <w:tc>
          <w:tcPr>
            <w:tcW w:type="dxa" w:w="2880"/>
          </w:tcPr>
          <w:p>
            <w:r>
              <w:rPr>
                <w:sz w:val="19"/>
              </w:rPr>
              <w:t>Custom Application</w:t>
            </w:r>
          </w:p>
        </w:tc>
        <w:tc>
          <w:tcPr>
            <w:tcW w:type="dxa" w:w="6048"/>
          </w:tcPr>
          <w:p>
            <w:r>
              <w:rPr>
                <w:sz w:val="19"/>
              </w:rPr>
              <w:t>BTVL (data schema) / APPS (code)  —  object prefix ASI_FDOA_</w:t>
            </w:r>
          </w:p>
        </w:tc>
      </w:tr>
      <w:tr>
        <w:tc>
          <w:tcPr>
            <w:tcW w:type="dxa" w:w="2880"/>
          </w:tcPr>
          <w:p>
            <w:r>
              <w:rPr>
                <w:sz w:val="19"/>
              </w:rPr>
              <w:t>Prepared By</w:t>
            </w:r>
          </w:p>
        </w:tc>
        <w:tc>
          <w:tcPr>
            <w:tcW w:type="dxa" w:w="6048"/>
          </w:tcPr>
          <w:p>
            <w:r>
              <w:rPr>
                <w:sz w:val="19"/>
              </w:rPr>
              <w:t>Sourav Sengupta</w:t>
            </w:r>
          </w:p>
        </w:tc>
      </w:tr>
      <w:tr>
        <w:tc>
          <w:tcPr>
            <w:tcW w:type="dxa" w:w="2880"/>
          </w:tcPr>
          <w:p>
            <w:r>
              <w:rPr>
                <w:sz w:val="19"/>
              </w:rPr>
              <w:t>Reviewed By</w:t>
            </w:r>
          </w:p>
        </w:tc>
        <w:tc>
          <w:tcPr>
            <w:tcW w:type="dxa" w:w="6048"/>
          </w:tcPr>
          <w:p>
            <w:r>
              <w:rPr>
                <w:sz w:val="19"/>
              </w:rPr>
            </w:r>
          </w:p>
        </w:tc>
      </w:tr>
      <w:tr>
        <w:tc>
          <w:tcPr>
            <w:tcW w:type="dxa" w:w="2880"/>
          </w:tcPr>
          <w:p>
            <w:r>
              <w:rPr>
                <w:sz w:val="19"/>
              </w:rPr>
              <w:t>Approved By</w:t>
            </w:r>
          </w:p>
        </w:tc>
        <w:tc>
          <w:tcPr>
            <w:tcW w:type="dxa" w:w="6048"/>
          </w:tcPr>
          <w:p>
            <w:r>
              <w:rPr>
                <w:sz w:val="19"/>
              </w:rPr>
            </w:r>
          </w:p>
        </w:tc>
      </w:tr>
    </w:tbl>
    <w:p/>
    <w:p>
      <w:r>
        <w:br w:type="page"/>
      </w:r>
    </w:p>
    <w:p>
      <w:pPr>
        <w:pStyle w:val="Heading1"/>
      </w:pPr>
      <w:r>
        <w:t>Document Control</w:t>
      </w:r>
    </w:p>
    <w:p>
      <w:r>
        <w:rPr>
          <w:b/>
          <w:i w:val="0"/>
          <w:sz w:val="21"/>
        </w:rPr>
        <w:t>Revision History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52"/>
            <w:shd w:val="clear" w:fill="D9D9D9"/>
          </w:tcPr>
          <w:p>
            <w:r>
              <w:rPr>
                <w:b/>
                <w:sz w:val="19"/>
              </w:rPr>
              <w:t>Version</w:t>
            </w:r>
          </w:p>
        </w:tc>
        <w:tc>
          <w:tcPr>
            <w:tcW w:type="dxa" w:w="1584"/>
            <w:shd w:val="clear" w:fill="D9D9D9"/>
          </w:tcPr>
          <w:p>
            <w:r>
              <w:rPr>
                <w:b/>
                <w:sz w:val="19"/>
              </w:rPr>
              <w:t>Date</w:t>
            </w:r>
          </w:p>
        </w:tc>
        <w:tc>
          <w:tcPr>
            <w:tcW w:type="dxa" w:w="2304"/>
            <w:shd w:val="clear" w:fill="D9D9D9"/>
          </w:tcPr>
          <w:p>
            <w:r>
              <w:rPr>
                <w:b/>
                <w:sz w:val="19"/>
              </w:rPr>
              <w:t>Author</w:t>
            </w:r>
          </w:p>
        </w:tc>
        <w:tc>
          <w:tcPr>
            <w:tcW w:type="dxa" w:w="4320"/>
            <w:shd w:val="clear" w:fill="D9D9D9"/>
          </w:tcPr>
          <w:p>
            <w:r>
              <w:rPr>
                <w:b/>
                <w:sz w:val="19"/>
              </w:rPr>
              <w:t>Description</w:t>
            </w:r>
          </w:p>
        </w:tc>
      </w:tr>
      <w:tr>
        <w:tc>
          <w:tcPr>
            <w:tcW w:type="dxa" w:w="1152"/>
          </w:tcPr>
          <w:p>
            <w:r>
              <w:rPr>
                <w:sz w:val="19"/>
              </w:rPr>
              <w:t>1.0</w:t>
            </w:r>
          </w:p>
        </w:tc>
        <w:tc>
          <w:tcPr>
            <w:tcW w:type="dxa" w:w="1584"/>
          </w:tcPr>
          <w:p>
            <w:r>
              <w:rPr>
                <w:sz w:val="19"/>
              </w:rPr>
              <w:t>11-Jun-2026</w:t>
            </w:r>
          </w:p>
        </w:tc>
        <w:tc>
          <w:tcPr>
            <w:tcW w:type="dxa" w:w="2304"/>
          </w:tcPr>
          <w:p>
            <w:r>
              <w:rPr>
                <w:sz w:val="19"/>
              </w:rPr>
              <w:t>Sourav Sengupta</w:t>
            </w:r>
          </w:p>
        </w:tc>
        <w:tc>
          <w:tcPr>
            <w:tcW w:type="dxa" w:w="4320"/>
          </w:tcPr>
          <w:p>
            <w:r>
              <w:rPr>
                <w:sz w:val="19"/>
              </w:rPr>
              <w:t>Initial version — as-built for FINUAT</w:t>
            </w:r>
          </w:p>
        </w:tc>
      </w:tr>
    </w:tbl>
    <w:p/>
    <w:p>
      <w:r>
        <w:rPr>
          <w:b/>
          <w:i w:val="0"/>
          <w:sz w:val="21"/>
        </w:rPr>
        <w:t>References</w:t>
      </w:r>
    </w:p>
    <w:tbl>
      <w:tblPr>
        <w:tblStyle w:val="TableGrid"/>
        <w:tblW w:type="auto" w:w="0"/>
        <w:jc w:val="center"/>
        <w:tblLook w:firstColumn="1" w:firstRow="1" w:lastColumn="0" w:lastRow="0" w:noHBand="0" w:noVBand="1" w:val="04A0"/>
      </w:tblPr>
      <w:tblGrid>
        <w:gridCol w:w="2880"/>
        <w:gridCol w:w="2880"/>
        <w:gridCol w:w="2880"/>
      </w:tblGrid>
      <w:tr>
        <w:tc>
          <w:tcPr>
            <w:tcW w:type="dxa" w:w="576"/>
            <w:shd w:val="clear" w:fill="D9D9D9"/>
          </w:tcPr>
          <w:p>
            <w:r>
              <w:rPr>
                <w:b/>
                <w:sz w:val="19"/>
              </w:rPr>
              <w:t>#</w:t>
            </w:r>
          </w:p>
        </w:tc>
        <w:tc>
          <w:tcPr>
            <w:tcW w:type="dxa" w:w="4464"/>
            <w:shd w:val="clear" w:fill="D9D9D9"/>
          </w:tcPr>
          <w:p>
            <w:r>
              <w:rPr>
                <w:b/>
                <w:sz w:val="19"/>
              </w:rPr>
              <w:t>Document</w:t>
            </w:r>
          </w:p>
        </w:tc>
        <w:tc>
          <w:tcPr>
            <w:tcW w:type="dxa" w:w="4320"/>
            <w:shd w:val="clear" w:fill="D9D9D9"/>
          </w:tcPr>
          <w:p>
            <w:r>
              <w:rPr>
                <w:b/>
                <w:sz w:val="19"/>
              </w:rPr>
              <w:t>Notes</w:t>
            </w:r>
          </w:p>
        </w:tc>
      </w:tr>
      <w:tr>
        <w:tc>
          <w:tcPr>
            <w:tcW w:type="dxa" w:w="576"/>
          </w:tcPr>
          <w:p>
            <w:r>
              <w:rPr>
                <w:sz w:val="19"/>
              </w:rPr>
              <w:t>1</w:t>
            </w:r>
          </w:p>
        </w:tc>
        <w:tc>
          <w:tcPr>
            <w:tcW w:type="dxa" w:w="4464"/>
          </w:tcPr>
          <w:p>
            <w:r>
              <w:rPr>
                <w:sz w:val="19"/>
              </w:rPr>
              <w:t>SSD — CR 2026-02-0585 Exit and Movement of Employee</w:t>
            </w:r>
          </w:p>
        </w:tc>
        <w:tc>
          <w:tcPr>
            <w:tcW w:type="dxa" w:w="4320"/>
          </w:tcPr>
          <w:p>
            <w:r>
              <w:rPr>
                <w:sz w:val="19"/>
              </w:rPr>
              <w:t>Solution/System Design (functional)</w:t>
            </w:r>
          </w:p>
        </w:tc>
      </w:tr>
      <w:tr>
        <w:tc>
          <w:tcPr>
            <w:tcW w:type="dxa" w:w="576"/>
          </w:tcPr>
          <w:p>
            <w:r>
              <w:rPr>
                <w:sz w:val="19"/>
              </w:rPr>
              <w:t>2</w:t>
            </w:r>
          </w:p>
        </w:tc>
        <w:tc>
          <w:tcPr>
            <w:tcW w:type="dxa" w:w="4464"/>
          </w:tcPr>
          <w:p>
            <w:r>
              <w:rPr>
                <w:sz w:val="19"/>
              </w:rPr>
              <w:t>HLD — Airtel Africa F-DOA</w:t>
            </w:r>
          </w:p>
        </w:tc>
        <w:tc>
          <w:tcPr>
            <w:tcW w:type="dxa" w:w="4320"/>
          </w:tcPr>
          <w:p>
            <w:r>
              <w:rPr>
                <w:sz w:val="19"/>
              </w:rPr>
              <w:t>High-level design; India replication callouts</w:t>
            </w:r>
          </w:p>
        </w:tc>
      </w:tr>
      <w:tr>
        <w:tc>
          <w:tcPr>
            <w:tcW w:type="dxa" w:w="576"/>
          </w:tcPr>
          <w:p>
            <w:r>
              <w:rPr>
                <w:sz w:val="19"/>
              </w:rPr>
              <w:t>3</w:t>
            </w:r>
          </w:p>
        </w:tc>
        <w:tc>
          <w:tcPr>
            <w:tcW w:type="dxa" w:w="4464"/>
          </w:tcPr>
          <w:p>
            <w:r>
              <w:rPr>
                <w:sz w:val="19"/>
              </w:rPr>
              <w:t>deploy_btvl_clean.sql / deploy_apps_clean.sql</w:t>
            </w:r>
          </w:p>
        </w:tc>
        <w:tc>
          <w:tcPr>
            <w:tcW w:type="dxa" w:w="4320"/>
          </w:tcPr>
          <w:p>
            <w:r>
              <w:rPr>
                <w:sz w:val="19"/>
              </w:rPr>
              <w:t>Authoritative DDL &amp; code (build/99_deploy)</w:t>
            </w:r>
          </w:p>
        </w:tc>
      </w:tr>
      <w:tr>
        <w:tc>
          <w:tcPr>
            <w:tcW w:type="dxa" w:w="576"/>
          </w:tcPr>
          <w:p>
            <w:r>
              <w:rPr>
                <w:sz w:val="19"/>
              </w:rPr>
              <w:t>4</w:t>
            </w:r>
          </w:p>
        </w:tc>
        <w:tc>
          <w:tcPr>
            <w:tcW w:type="dxa" w:w="4464"/>
          </w:tcPr>
          <w:p>
            <w:r>
              <w:rPr>
                <w:sz w:val="19"/>
              </w:rPr>
              <w:t>ASIFDOAN.wft</w:t>
            </w:r>
          </w:p>
        </w:tc>
        <w:tc>
          <w:tcPr>
            <w:tcW w:type="dxa" w:w="4320"/>
          </w:tcPr>
          <w:p>
            <w:r>
              <w:rPr>
                <w:sz w:val="19"/>
              </w:rPr>
              <w:t>Workflow definition (build/12_workflow)</w:t>
            </w:r>
          </w:p>
        </w:tc>
      </w:tr>
      <w:tr>
        <w:tc>
          <w:tcPr>
            <w:tcW w:type="dxa" w:w="576"/>
          </w:tcPr>
          <w:p>
            <w:r>
              <w:rPr>
                <w:sz w:val="19"/>
              </w:rPr>
              <w:t>5</w:t>
            </w:r>
          </w:p>
        </w:tc>
        <w:tc>
          <w:tcPr>
            <w:tcW w:type="dxa" w:w="4464"/>
          </w:tcPr>
          <w:p>
            <w:r>
              <w:rPr>
                <w:sz w:val="19"/>
              </w:rPr>
              <w:t>ASI_FDOA_{EXIT,MOVEMENT,SUPERUSER}_FMB.xml</w:t>
            </w:r>
          </w:p>
        </w:tc>
        <w:tc>
          <w:tcPr>
            <w:tcW w:type="dxa" w:w="4320"/>
          </w:tcPr>
          <w:p>
            <w:r>
              <w:rPr>
                <w:sz w:val="19"/>
              </w:rPr>
              <w:t>Form sources (build/13_forms)</w:t>
            </w:r>
          </w:p>
        </w:tc>
      </w:tr>
      <w:tr>
        <w:tc>
          <w:tcPr>
            <w:tcW w:type="dxa" w:w="576"/>
          </w:tcPr>
          <w:p>
            <w:r>
              <w:rPr>
                <w:sz w:val="19"/>
              </w:rPr>
              <w:t>6</w:t>
            </w:r>
          </w:p>
        </w:tc>
        <w:tc>
          <w:tcPr>
            <w:tcW w:type="dxa" w:w="4464"/>
          </w:tcPr>
          <w:p>
            <w:r>
              <w:rPr>
                <w:sz w:val="19"/>
              </w:rPr>
              <w:t>asi_fdoa_aol_access.sql</w:t>
            </w:r>
          </w:p>
        </w:tc>
        <w:tc>
          <w:tcPr>
            <w:tcW w:type="dxa" w:w="4320"/>
          </w:tcPr>
          <w:p>
            <w:r>
              <w:rPr>
                <w:sz w:val="19"/>
              </w:rPr>
              <w:t>AOL registration (build/14_responsibilities)</w:t>
            </w:r>
          </w:p>
        </w:tc>
      </w:tr>
    </w:tbl>
    <w:p/>
    <w:p>
      <w:r>
        <w:br w:type="page"/>
      </w:r>
    </w:p>
    <w:p>
      <w:pPr>
        <w:pStyle w:val="Heading1"/>
      </w:pPr>
      <w:r>
        <w:t>1. Introduction</w:t>
      </w:r>
    </w:p>
    <w:p>
      <w:pPr>
        <w:pStyle w:val="Heading2"/>
      </w:pPr>
      <w:r>
        <w:t>1.1 Purpose</w:t>
      </w:r>
    </w:p>
    <w:p>
      <w:r>
        <w:rPr>
          <w:b w:val="0"/>
          <w:i w:val="0"/>
          <w:sz w:val="21"/>
        </w:rPr>
        <w:t>This document describes the as-built technical design of CR# 2026-02-0585 'Exit and Movement of Employee' for Airtel Africa on Oracle EBS R12.2.14. It covers all custom database objects, PL/SQL packages, Oracle Workflow components, custom Forms, AOL registrations, concurrent programs, deployment and rollback procedures as implemented in FINUAT.</w:t>
      </w:r>
    </w:p>
    <w:p>
      <w:pPr>
        <w:pStyle w:val="Heading2"/>
      </w:pPr>
      <w:r>
        <w:t>1.2 Business Summary</w:t>
      </w:r>
    </w:p>
    <w:p>
      <w:r>
        <w:rPr>
          <w:b w:val="0"/>
          <w:i w:val="0"/>
          <w:sz w:val="21"/>
        </w:rPr>
        <w:t>The solution monitors HRMS for employee Exit (termination) and Movement (ORG_ID / cost-centre Segment-3 change) events, notifies the Reporting Manager (RM) at scheduled intervals to provide a replacement employee, auto-defaults the RM as replacement when no input is received within the window, and propagates the replacement to open Purchase Requisitions, Purchase Orders, the AP CSS DOA Mapping Quality Plan, and pending Workflow notifications.</w:t>
      </w:r>
    </w:p>
    <w:p>
      <w:pPr>
        <w:pStyle w:val="Heading2"/>
      </w:pPr>
      <w:r>
        <w:t>1.3 Scope</w:t>
      </w:r>
    </w:p>
    <w:p>
      <w:pPr>
        <w:pStyle w:val="ListBullet"/>
      </w:pPr>
      <w:r>
        <w:t>In scope: detection, FYI notifications, 3 replacement forms, propagation engine (PR/PO/QP/WF), 2 replacement reports, BCP integration switch, staggered OU enablement.</w:t>
      </w:r>
    </w:p>
    <w:p>
      <w:pPr>
        <w:pStyle w:val="ListBullet"/>
      </w:pPr>
      <w:r>
        <w:t>Out of scope: AME rule changes (approval logic untouched), Fusion-to-EBS sync (existing interface reused), Workflow Mailer infrastructure.</w:t>
      </w:r>
    </w:p>
    <w:p>
      <w:pPr>
        <w:pStyle w:val="Heading1"/>
      </w:pPr>
      <w:r>
        <w:t>2. Solution Architecture</w:t>
      </w:r>
    </w:p>
    <w:p>
      <w:pPr>
        <w:pStyle w:val="Heading2"/>
      </w:pPr>
      <w:r>
        <w:t>2.1 Logical Layers</w:t>
      </w:r>
    </w:p>
    <w:tbl>
      <w:tblPr>
        <w:tblStyle w:val="TableGrid"/>
        <w:tblW w:type="auto" w:w="0"/>
        <w:jc w:val="center"/>
        <w:tblLook w:firstColumn="1" w:firstRow="1" w:lastColumn="0" w:lastRow="0" w:noHBand="0" w:noVBand="1" w:val="04A0"/>
      </w:tblPr>
      <w:tblGrid>
        <w:gridCol w:w="2880"/>
        <w:gridCol w:w="2880"/>
        <w:gridCol w:w="2880"/>
      </w:tblGrid>
      <w:tr>
        <w:tc>
          <w:tcPr>
            <w:tcW w:type="dxa" w:w="1584"/>
            <w:shd w:val="clear" w:fill="D9D9D9"/>
          </w:tcPr>
          <w:p>
            <w:r>
              <w:rPr>
                <w:b/>
                <w:sz w:val="19"/>
              </w:rPr>
              <w:t>Layer</w:t>
            </w:r>
          </w:p>
        </w:tc>
        <w:tc>
          <w:tcPr>
            <w:tcW w:type="dxa" w:w="2592"/>
            <w:shd w:val="clear" w:fill="D9D9D9"/>
          </w:tcPr>
          <w:p>
            <w:r>
              <w:rPr>
                <w:b/>
                <w:sz w:val="19"/>
              </w:rPr>
              <w:t>Component</w:t>
            </w:r>
          </w:p>
        </w:tc>
        <w:tc>
          <w:tcPr>
            <w:tcW w:type="dxa" w:w="5184"/>
            <w:shd w:val="clear" w:fill="D9D9D9"/>
          </w:tcPr>
          <w:p>
            <w:r>
              <w:rPr>
                <w:b/>
                <w:sz w:val="19"/>
              </w:rPr>
              <w:t>Implementation</w:t>
            </w:r>
          </w:p>
        </w:tc>
      </w:tr>
      <w:tr>
        <w:tc>
          <w:tcPr>
            <w:tcW w:type="dxa" w:w="1584"/>
          </w:tcPr>
          <w:p>
            <w:r>
              <w:rPr>
                <w:sz w:val="19"/>
              </w:rPr>
              <w:t>1. Source</w:t>
            </w:r>
          </w:p>
        </w:tc>
        <w:tc>
          <w:tcPr>
            <w:tcW w:type="dxa" w:w="2592"/>
          </w:tcPr>
          <w:p>
            <w:r>
              <w:rPr>
                <w:sz w:val="19"/>
              </w:rPr>
              <w:t>HRMS tables</w:t>
            </w:r>
          </w:p>
        </w:tc>
        <w:tc>
          <w:tcPr>
            <w:tcW w:type="dxa" w:w="5184"/>
          </w:tcPr>
          <w:p>
            <w:r>
              <w:rPr>
                <w:sz w:val="19"/>
              </w:rPr>
              <w:t>PER_ALL_PEOPLE_F, PER_ALL_ASSIGNMENTS_F, PER_PERIODS_OF_SERVICE (read-only)</w:t>
            </w:r>
          </w:p>
        </w:tc>
      </w:tr>
      <w:tr>
        <w:tc>
          <w:tcPr>
            <w:tcW w:type="dxa" w:w="1584"/>
          </w:tcPr>
          <w:p>
            <w:r>
              <w:rPr>
                <w:sz w:val="19"/>
              </w:rPr>
              <w:t>2. Detection</w:t>
            </w:r>
          </w:p>
        </w:tc>
        <w:tc>
          <w:tcPr>
            <w:tcW w:type="dxa" w:w="2592"/>
          </w:tcPr>
          <w:p>
            <w:r>
              <w:rPr>
                <w:sz w:val="19"/>
              </w:rPr>
              <w:t>Exit/Movement detector</w:t>
            </w:r>
          </w:p>
        </w:tc>
        <w:tc>
          <w:tcPr>
            <w:tcW w:type="dxa" w:w="5184"/>
          </w:tcPr>
          <w:p>
            <w:r>
              <w:rPr>
                <w:sz w:val="19"/>
              </w:rPr>
              <w:t>ASI_FDOA_DETECTOR_PKG over ASI_FDOA_EXIT_EMPLOYEES_V / ASI_FDOA_MOVEMENT_EMP_V</w:t>
            </w:r>
          </w:p>
        </w:tc>
      </w:tr>
      <w:tr>
        <w:tc>
          <w:tcPr>
            <w:tcW w:type="dxa" w:w="1584"/>
          </w:tcPr>
          <w:p>
            <w:r>
              <w:rPr>
                <w:sz w:val="19"/>
              </w:rPr>
              <w:t>3. Staging</w:t>
            </w:r>
          </w:p>
        </w:tc>
        <w:tc>
          <w:tcPr>
            <w:tcW w:type="dxa" w:w="2592"/>
          </w:tcPr>
          <w:p>
            <w:r>
              <w:rPr>
                <w:sz w:val="19"/>
              </w:rPr>
              <w:t>Replacement capture</w:t>
            </w:r>
          </w:p>
        </w:tc>
        <w:tc>
          <w:tcPr>
            <w:tcW w:type="dxa" w:w="5184"/>
          </w:tcPr>
          <w:p>
            <w:r>
              <w:rPr>
                <w:sz w:val="19"/>
              </w:rPr>
              <w:t>BTVL.ASI_FDOA_REPLACEMENT_HDR_TBL / _DTL_TBL (+ APPS synonyms)</w:t>
            </w:r>
          </w:p>
        </w:tc>
      </w:tr>
      <w:tr>
        <w:tc>
          <w:tcPr>
            <w:tcW w:type="dxa" w:w="1584"/>
          </w:tcPr>
          <w:p>
            <w:r>
              <w:rPr>
                <w:sz w:val="19"/>
              </w:rPr>
              <w:t>4. Notification</w:t>
            </w:r>
          </w:p>
        </w:tc>
        <w:tc>
          <w:tcPr>
            <w:tcW w:type="dxa" w:w="2592"/>
          </w:tcPr>
          <w:p>
            <w:r>
              <w:rPr>
                <w:sz w:val="19"/>
              </w:rPr>
              <w:t>Oracle Workflow FYI</w:t>
            </w:r>
          </w:p>
        </w:tc>
        <w:tc>
          <w:tcPr>
            <w:tcW w:type="dxa" w:w="5184"/>
          </w:tcPr>
          <w:p>
            <w:r>
              <w:rPr>
                <w:sz w:val="19"/>
              </w:rPr>
              <w:t>Item type ASIFDOAN, formatted HTML via DOCUMENT attribute</w:t>
            </w:r>
          </w:p>
        </w:tc>
      </w:tr>
      <w:tr>
        <w:tc>
          <w:tcPr>
            <w:tcW w:type="dxa" w:w="1584"/>
          </w:tcPr>
          <w:p>
            <w:r>
              <w:rPr>
                <w:sz w:val="19"/>
              </w:rPr>
              <w:t>5. UI</w:t>
            </w:r>
          </w:p>
        </w:tc>
        <w:tc>
          <w:tcPr>
            <w:tcW w:type="dxa" w:w="2592"/>
          </w:tcPr>
          <w:p>
            <w:r>
              <w:rPr>
                <w:sz w:val="19"/>
              </w:rPr>
              <w:t>3 custom Forms</w:t>
            </w:r>
          </w:p>
        </w:tc>
        <w:tc>
          <w:tcPr>
            <w:tcW w:type="dxa" w:w="5184"/>
          </w:tcPr>
          <w:p>
            <w:r>
              <w:rPr>
                <w:sz w:val="19"/>
              </w:rPr>
              <w:t>ASI_FDOA_EXIT_FMB, ASI_FDOA_MOVEMENT_FMB, ASI_FDOA_SUPERUSER_FMB</w:t>
            </w:r>
          </w:p>
        </w:tc>
      </w:tr>
      <w:tr>
        <w:tc>
          <w:tcPr>
            <w:tcW w:type="dxa" w:w="1584"/>
          </w:tcPr>
          <w:p>
            <w:r>
              <w:rPr>
                <w:sz w:val="19"/>
              </w:rPr>
              <w:t>6. Propagation</w:t>
            </w:r>
          </w:p>
        </w:tc>
        <w:tc>
          <w:tcPr>
            <w:tcW w:type="dxa" w:w="2592"/>
          </w:tcPr>
          <w:p>
            <w:r>
              <w:rPr>
                <w:sz w:val="19"/>
              </w:rPr>
              <w:t>PR/PO/QP/WF update engine</w:t>
            </w:r>
          </w:p>
        </w:tc>
        <w:tc>
          <w:tcPr>
            <w:tcW w:type="dxa" w:w="5184"/>
          </w:tcPr>
          <w:p>
            <w:r>
              <w:rPr>
                <w:sz w:val="19"/>
              </w:rPr>
              <w:t>ASI_FDOA_PROPAGATION_PKG</w:t>
            </w:r>
          </w:p>
        </w:tc>
      </w:tr>
      <w:tr>
        <w:tc>
          <w:tcPr>
            <w:tcW w:type="dxa" w:w="1584"/>
          </w:tcPr>
          <w:p>
            <w:r>
              <w:rPr>
                <w:sz w:val="19"/>
              </w:rPr>
              <w:t>7. Reporting</w:t>
            </w:r>
          </w:p>
        </w:tc>
        <w:tc>
          <w:tcPr>
            <w:tcW w:type="dxa" w:w="2592"/>
          </w:tcPr>
          <w:p>
            <w:r>
              <w:rPr>
                <w:sz w:val="19"/>
              </w:rPr>
              <w:t>2 replacement reports</w:t>
            </w:r>
          </w:p>
        </w:tc>
        <w:tc>
          <w:tcPr>
            <w:tcW w:type="dxa" w:w="5184"/>
          </w:tcPr>
          <w:p>
            <w:r>
              <w:rPr>
                <w:sz w:val="19"/>
              </w:rPr>
              <w:t>Pipe-delimited TEXT concurrent programs (ASIFDOAMGRRPT, ASIFDOASURPT)</w:t>
            </w:r>
          </w:p>
        </w:tc>
      </w:tr>
    </w:tbl>
    <w:p/>
    <w:p>
      <w:pPr>
        <w:pStyle w:val="Heading2"/>
      </w:pPr>
      <w:r>
        <w:t>2.2 Process Flow</w:t>
      </w:r>
    </w:p>
    <w:p>
      <w:pPr>
        <w:pStyle w:val="ListBullet"/>
      </w:pPr>
      <w:r>
        <w:t>Daily 12:00 — ASIFDOANOTIF: detector identifies employees in exit window (actual_termination_date −15..+15 days) and movement window (ORG_ID or Segment-3 change, +1..+15 days); workflow notifies RM (CC DOA Superuser group on Exit DAY_5 / Movement DAY_10_AFTER).</w:t>
      </w:r>
    </w:p>
    <w:p>
      <w:pPr>
        <w:pStyle w:val="ListBullet"/>
      </w:pPr>
      <w:r>
        <w:t>RM enters replacement via Exit / Movement form; Superuser may override (EXIT only, within the 15-day pre-termination window).</w:t>
      </w:r>
    </w:p>
    <w:p>
      <w:pPr>
        <w:pStyle w:val="ListBullet"/>
      </w:pPr>
      <w:r>
        <w:t>No input by last working day (Exit) / Day-16 cut-off (Movement) — RM auto-defaulted as replacement (FALLBACK).</w:t>
      </w:r>
    </w:p>
    <w:p>
      <w:pPr>
        <w:pStyle w:val="ListBullet"/>
      </w:pPr>
      <w:r>
        <w:t>Daily 00:30 ASIFDOAPRPO and 00:35 ASIFDOAQP (after the 00:00 Fusion sync): propagate replacement to open PR lines, PO distributions / blanket header, QP approver columns; reassign pending WF notifications to the replacement.</w:t>
      </w:r>
    </w:p>
    <w:p>
      <w:pPr>
        <w:pStyle w:val="Heading2"/>
      </w:pPr>
      <w:r>
        <w:t>2.3 Key Design Decisions</w:t>
      </w:r>
    </w:p>
    <w:tbl>
      <w:tblPr>
        <w:tblStyle w:val="TableGrid"/>
        <w:tblW w:type="auto" w:w="0"/>
        <w:jc w:val="center"/>
        <w:tblLook w:firstColumn="1" w:firstRow="1" w:lastColumn="0" w:lastRow="0" w:noHBand="0" w:noVBand="1" w:val="04A0"/>
      </w:tblPr>
      <w:tblGrid>
        <w:gridCol w:w="2880"/>
        <w:gridCol w:w="2880"/>
        <w:gridCol w:w="2880"/>
      </w:tblGrid>
      <w:tr>
        <w:tc>
          <w:tcPr>
            <w:tcW w:type="dxa" w:w="576"/>
            <w:shd w:val="clear" w:fill="D9D9D9"/>
          </w:tcPr>
          <w:p>
            <w:r>
              <w:rPr>
                <w:b/>
                <w:sz w:val="19"/>
              </w:rPr>
              <w:t>#</w:t>
            </w:r>
          </w:p>
        </w:tc>
        <w:tc>
          <w:tcPr>
            <w:tcW w:type="dxa" w:w="4032"/>
            <w:shd w:val="clear" w:fill="D9D9D9"/>
          </w:tcPr>
          <w:p>
            <w:r>
              <w:rPr>
                <w:b/>
                <w:sz w:val="19"/>
              </w:rPr>
              <w:t>Decision</w:t>
            </w:r>
          </w:p>
        </w:tc>
        <w:tc>
          <w:tcPr>
            <w:tcW w:type="dxa" w:w="4752"/>
            <w:shd w:val="clear" w:fill="D9D9D9"/>
          </w:tcPr>
          <w:p>
            <w:r>
              <w:rPr>
                <w:b/>
                <w:sz w:val="19"/>
              </w:rPr>
              <w:t>Rationale</w:t>
            </w:r>
          </w:p>
        </w:tc>
      </w:tr>
      <w:tr>
        <w:tc>
          <w:tcPr>
            <w:tcW w:type="dxa" w:w="576"/>
          </w:tcPr>
          <w:p>
            <w:r>
              <w:rPr>
                <w:sz w:val="19"/>
              </w:rPr>
              <w:t>1</w:t>
            </w:r>
          </w:p>
        </w:tc>
        <w:tc>
          <w:tcPr>
            <w:tcW w:type="dxa" w:w="4032"/>
          </w:tcPr>
          <w:p>
            <w:r>
              <w:rPr>
                <w:sz w:val="19"/>
              </w:rPr>
              <w:t>Notification CP separated from propagation CPs</w:t>
            </w:r>
          </w:p>
        </w:tc>
        <w:tc>
          <w:tcPr>
            <w:tcW w:type="dxa" w:w="4752"/>
          </w:tcPr>
          <w:p>
            <w:r>
              <w:rPr>
                <w:sz w:val="19"/>
              </w:rPr>
              <w:t>Propagation runs after the 00:00 Fusion-to-ERP sync to avoid race on actual_termination_date</w:t>
            </w:r>
          </w:p>
        </w:tc>
      </w:tr>
      <w:tr>
        <w:tc>
          <w:tcPr>
            <w:tcW w:type="dxa" w:w="576"/>
          </w:tcPr>
          <w:p>
            <w:r>
              <w:rPr>
                <w:sz w:val="19"/>
              </w:rPr>
              <w:t>2</w:t>
            </w:r>
          </w:p>
        </w:tc>
        <w:tc>
          <w:tcPr>
            <w:tcW w:type="dxa" w:w="4032"/>
          </w:tcPr>
          <w:p>
            <w:r>
              <w:rPr>
                <w:sz w:val="19"/>
              </w:rPr>
              <w:t>Oracle Workflow FYI (not direct email)</w:t>
            </w:r>
          </w:p>
        </w:tc>
        <w:tc>
          <w:tcPr>
            <w:tcW w:type="dxa" w:w="4752"/>
          </w:tcPr>
          <w:p>
            <w:r>
              <w:rPr>
                <w:sz w:val="19"/>
              </w:rPr>
              <w:t>EBS standard, audit trail, CC support; HTML via DOCUMENT attribute (v1.3) to avoid WF token escaping</w:t>
            </w:r>
          </w:p>
        </w:tc>
      </w:tr>
      <w:tr>
        <w:tc>
          <w:tcPr>
            <w:tcW w:type="dxa" w:w="576"/>
          </w:tcPr>
          <w:p>
            <w:r>
              <w:rPr>
                <w:sz w:val="19"/>
              </w:rPr>
              <w:t>3</w:t>
            </w:r>
          </w:p>
        </w:tc>
        <w:tc>
          <w:tcPr>
            <w:tcW w:type="dxa" w:w="4032"/>
          </w:tcPr>
          <w:p>
            <w:r>
              <w:rPr>
                <w:sz w:val="19"/>
              </w:rPr>
              <w:t>Replacement staged in custom tables</w:t>
            </w:r>
          </w:p>
        </w:tc>
        <w:tc>
          <w:tcPr>
            <w:tcW w:type="dxa" w:w="4752"/>
          </w:tcPr>
          <w:p>
            <w:r>
              <w:rPr>
                <w:sz w:val="19"/>
              </w:rPr>
              <w:t>Audit trail, override window support, backdated/cancelled scenario handling</w:t>
            </w:r>
          </w:p>
        </w:tc>
      </w:tr>
      <w:tr>
        <w:tc>
          <w:tcPr>
            <w:tcW w:type="dxa" w:w="576"/>
          </w:tcPr>
          <w:p>
            <w:r>
              <w:rPr>
                <w:sz w:val="19"/>
              </w:rPr>
              <w:t>4</w:t>
            </w:r>
          </w:p>
        </w:tc>
        <w:tc>
          <w:tcPr>
            <w:tcW w:type="dxa" w:w="4032"/>
          </w:tcPr>
          <w:p>
            <w:r>
              <w:rPr>
                <w:sz w:val="19"/>
              </w:rPr>
              <w:t>Person_ID used in QP (not AUUID)</w:t>
            </w:r>
          </w:p>
        </w:tc>
        <w:tc>
          <w:tcPr>
            <w:tcW w:type="dxa" w:w="4752"/>
          </w:tcPr>
          <w:p>
            <w:r>
              <w:rPr>
                <w:sz w:val="19"/>
              </w:rPr>
              <w:t>Explicit HLD callout for AP CSS DOA Mapping</w:t>
            </w:r>
          </w:p>
        </w:tc>
      </w:tr>
      <w:tr>
        <w:tc>
          <w:tcPr>
            <w:tcW w:type="dxa" w:w="576"/>
          </w:tcPr>
          <w:p>
            <w:r>
              <w:rPr>
                <w:sz w:val="19"/>
              </w:rPr>
              <w:t>5</w:t>
            </w:r>
          </w:p>
        </w:tc>
        <w:tc>
          <w:tcPr>
            <w:tcW w:type="dxa" w:w="4032"/>
          </w:tcPr>
          <w:p>
            <w:r>
              <w:rPr>
                <w:sz w:val="19"/>
              </w:rPr>
              <w:t>RM is source of truth; SU override narrow (EXIT only)</w:t>
            </w:r>
          </w:p>
        </w:tc>
        <w:tc>
          <w:tcPr>
            <w:tcW w:type="dxa" w:w="4752"/>
          </w:tcPr>
          <w:p>
            <w:r>
              <w:rPr>
                <w:sz w:val="19"/>
              </w:rPr>
              <w:t>Manager accountability with DOA correction capability</w:t>
            </w:r>
          </w:p>
        </w:tc>
      </w:tr>
      <w:tr>
        <w:tc>
          <w:tcPr>
            <w:tcW w:type="dxa" w:w="576"/>
          </w:tcPr>
          <w:p>
            <w:r>
              <w:rPr>
                <w:sz w:val="19"/>
              </w:rPr>
              <w:t>6</w:t>
            </w:r>
          </w:p>
        </w:tc>
        <w:tc>
          <w:tcPr>
            <w:tcW w:type="dxa" w:w="4032"/>
          </w:tcPr>
          <w:p>
            <w:r>
              <w:rPr>
                <w:sz w:val="19"/>
              </w:rPr>
              <w:t>Skip-level escalation for inactive RM</w:t>
            </w:r>
          </w:p>
        </w:tc>
        <w:tc>
          <w:tcPr>
            <w:tcW w:type="dxa" w:w="4752"/>
          </w:tcPr>
          <w:p>
            <w:r>
              <w:rPr>
                <w:sz w:val="19"/>
              </w:rPr>
              <w:t>ASI_FDOA_HIERARCHY_PKG walks SUPERVISOR_ID chain</w:t>
            </w:r>
          </w:p>
        </w:tc>
      </w:tr>
      <w:tr>
        <w:tc>
          <w:tcPr>
            <w:tcW w:type="dxa" w:w="576"/>
          </w:tcPr>
          <w:p>
            <w:r>
              <w:rPr>
                <w:sz w:val="19"/>
              </w:rPr>
              <w:t>7</w:t>
            </w:r>
          </w:p>
        </w:tc>
        <w:tc>
          <w:tcPr>
            <w:tcW w:type="dxa" w:w="4032"/>
          </w:tcPr>
          <w:p>
            <w:r>
              <w:rPr>
                <w:sz w:val="19"/>
              </w:rPr>
              <w:t>Forms built standalone via headless Forms-XML pipeline</w:t>
            </w:r>
          </w:p>
        </w:tc>
        <w:tc>
          <w:tcPr>
            <w:tcW w:type="dxa" w:w="4752"/>
          </w:tcPr>
          <w:p>
            <w:r>
              <w:rPr>
                <w:sz w:val="19"/>
              </w:rPr>
              <w:t>Forms Builder unavailable; frmxml2f + frmcmp_batch on app tier (see §9.1)</w:t>
            </w:r>
          </w:p>
        </w:tc>
      </w:tr>
    </w:tbl>
    <w:p/>
    <w:p>
      <w:pPr>
        <w:pStyle w:val="Heading1"/>
      </w:pPr>
      <w:r>
        <w:t>3. Database Objects — BTVL Schema (data pass)</w:t>
      </w:r>
    </w:p>
    <w:p>
      <w:r>
        <w:rPr>
          <w:b w:val="0"/>
          <w:i w:val="0"/>
          <w:sz w:val="21"/>
        </w:rPr>
        <w:t>Deployed by deploy_btvl_clean.sql, run as BTVL. No TABLESPACE/PCTFREE/STORAGE clauses (site directive). Grants are issued by BTVL; synonyms are created in the APPS pass (BTVL lacks CREATE ANY SYNONYM).</w:t>
      </w:r>
    </w:p>
    <w:p>
      <w:pPr>
        <w:pStyle w:val="Heading2"/>
      </w:pPr>
      <w:r>
        <w:t>3.1 Sequences</w:t>
      </w:r>
    </w:p>
    <w:tbl>
      <w:tblPr>
        <w:tblStyle w:val="TableGrid"/>
        <w:tblW w:type="auto" w:w="0"/>
        <w:jc w:val="center"/>
        <w:tblLook w:firstColumn="1" w:firstRow="1" w:lastColumn="0" w:lastRow="0" w:noHBand="0" w:noVBand="1" w:val="04A0"/>
      </w:tblPr>
      <w:tblGrid>
        <w:gridCol w:w="4320"/>
        <w:gridCol w:w="4320"/>
      </w:tblGrid>
      <w:tr>
        <w:tc>
          <w:tcPr>
            <w:tcW w:type="dxa" w:w="3744"/>
            <w:shd w:val="clear" w:fill="D9D9D9"/>
          </w:tcPr>
          <w:p>
            <w:r>
              <w:rPr>
                <w:b/>
                <w:sz w:val="19"/>
              </w:rPr>
              <w:t>Sequence</w:t>
            </w:r>
          </w:p>
        </w:tc>
        <w:tc>
          <w:tcPr>
            <w:tcW w:type="dxa" w:w="5616"/>
            <w:shd w:val="clear" w:fill="D9D9D9"/>
          </w:tcPr>
          <w:p>
            <w:r>
              <w:rPr>
                <w:b/>
                <w:sz w:val="19"/>
              </w:rPr>
              <w:t>Purpose</w:t>
            </w:r>
          </w:p>
        </w:tc>
      </w:tr>
      <w:tr>
        <w:tc>
          <w:tcPr>
            <w:tcW w:type="dxa" w:w="3744"/>
          </w:tcPr>
          <w:p>
            <w:r>
              <w:rPr>
                <w:sz w:val="19"/>
              </w:rPr>
              <w:t>ASI_FDOA_REPLACEMENT_S</w:t>
            </w:r>
          </w:p>
        </w:tc>
        <w:tc>
          <w:tcPr>
            <w:tcW w:type="dxa" w:w="5616"/>
          </w:tcPr>
          <w:p>
            <w:r>
              <w:rPr>
                <w:sz w:val="19"/>
              </w:rPr>
              <w:t>Primary key for replacement header</w:t>
            </w:r>
          </w:p>
        </w:tc>
      </w:tr>
      <w:tr>
        <w:tc>
          <w:tcPr>
            <w:tcW w:type="dxa" w:w="3744"/>
          </w:tcPr>
          <w:p>
            <w:r>
              <w:rPr>
                <w:sz w:val="19"/>
              </w:rPr>
              <w:t>ASI_FDOA_NOTIF_LOG_S</w:t>
            </w:r>
          </w:p>
        </w:tc>
        <w:tc>
          <w:tcPr>
            <w:tcW w:type="dxa" w:w="5616"/>
          </w:tcPr>
          <w:p>
            <w:r>
              <w:rPr>
                <w:sz w:val="19"/>
              </w:rPr>
              <w:t>Primary key for notification log</w:t>
            </w:r>
          </w:p>
        </w:tc>
      </w:tr>
    </w:tbl>
    <w:p/>
    <w:p>
      <w:pPr>
        <w:pStyle w:val="Heading2"/>
      </w:pPr>
      <w:r>
        <w:t>3.2 Tables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D9D9"/>
          </w:tcPr>
          <w:p>
            <w:r>
              <w:rPr>
                <w:b/>
                <w:sz w:val="19"/>
              </w:rPr>
              <w:t>Table</w:t>
            </w:r>
          </w:p>
        </w:tc>
        <w:tc>
          <w:tcPr>
            <w:tcW w:type="dxa" w:w="3168"/>
            <w:shd w:val="clear" w:fill="D9D9D9"/>
          </w:tcPr>
          <w:p>
            <w:r>
              <w:rPr>
                <w:b/>
                <w:sz w:val="19"/>
              </w:rPr>
              <w:t>Purpose</w:t>
            </w:r>
          </w:p>
        </w:tc>
        <w:tc>
          <w:tcPr>
            <w:tcW w:type="dxa" w:w="3312"/>
            <w:shd w:val="clear" w:fill="D9D9D9"/>
          </w:tcPr>
          <w:p>
            <w:r>
              <w:rPr>
                <w:b/>
                <w:sz w:val="19"/>
              </w:rPr>
              <w:t>Key Columns (logical)</w:t>
            </w:r>
          </w:p>
        </w:tc>
      </w:tr>
      <w:tr>
        <w:tc>
          <w:tcPr>
            <w:tcW w:type="dxa" w:w="2880"/>
          </w:tcPr>
          <w:p>
            <w:r>
              <w:rPr>
                <w:sz w:val="19"/>
              </w:rPr>
              <w:t>ASI_FDOA_REPLACEMENT_HDR_TBL</w:t>
            </w:r>
          </w:p>
        </w:tc>
        <w:tc>
          <w:tcPr>
            <w:tcW w:type="dxa" w:w="3168"/>
          </w:tcPr>
          <w:p>
            <w:r>
              <w:rPr>
                <w:sz w:val="19"/>
              </w:rPr>
              <w:t>Header capturing replacement entries by RM or Superuser</w:t>
            </w:r>
          </w:p>
        </w:tc>
        <w:tc>
          <w:tcPr>
            <w:tcW w:type="dxa" w:w="3312"/>
          </w:tcPr>
          <w:p>
            <w:r>
              <w:rPr>
                <w:sz w:val="19"/>
              </w:rPr>
              <w:t>REPLACEMENT_ID (PK), DOC_TYPE, OLD_PERSON_ID, NEW_PERSON_ID, ENTERED_BY_ROLE (RM/SU), REMARKS, ORG_ID, WHO columns</w:t>
            </w:r>
          </w:p>
        </w:tc>
      </w:tr>
      <w:tr>
        <w:tc>
          <w:tcPr>
            <w:tcW w:type="dxa" w:w="2880"/>
          </w:tcPr>
          <w:p>
            <w:r>
              <w:rPr>
                <w:sz w:val="19"/>
              </w:rPr>
              <w:t>ASI_FDOA_REPLACEMENT_DTL_TBL</w:t>
            </w:r>
          </w:p>
        </w:tc>
        <w:tc>
          <w:tcPr>
            <w:tcW w:type="dxa" w:w="3168"/>
          </w:tcPr>
          <w:p>
            <w:r>
              <w:rPr>
                <w:sz w:val="19"/>
              </w:rPr>
              <w:t>Audit detail of overrides and processing status</w:t>
            </w:r>
          </w:p>
        </w:tc>
        <w:tc>
          <w:tcPr>
            <w:tcW w:type="dxa" w:w="3312"/>
          </w:tcPr>
          <w:p>
            <w:r>
              <w:rPr>
                <w:sz w:val="19"/>
              </w:rPr>
              <w:t>DETAIL_ID (PK), REPLACEMENT_ID (FK), ACTION_TYPE, PROCESSED_FLAG, PROCESSED_DATE, ERROR_MSG</w:t>
            </w:r>
          </w:p>
        </w:tc>
      </w:tr>
      <w:tr>
        <w:tc>
          <w:tcPr>
            <w:tcW w:type="dxa" w:w="2880"/>
          </w:tcPr>
          <w:p>
            <w:r>
              <w:rPr>
                <w:sz w:val="19"/>
              </w:rPr>
              <w:t>ASI_FDOA_NOTIFICATION_LOG_TBL</w:t>
            </w:r>
          </w:p>
        </w:tc>
        <w:tc>
          <w:tcPr>
            <w:tcW w:type="dxa" w:w="3168"/>
          </w:tcPr>
          <w:p>
            <w:r>
              <w:rPr>
                <w:sz w:val="19"/>
              </w:rPr>
              <w:t>Per-notification log; idempotency key (person + doc type + interval + key date)</w:t>
            </w:r>
          </w:p>
        </w:tc>
        <w:tc>
          <w:tcPr>
            <w:tcW w:type="dxa" w:w="3312"/>
          </w:tcPr>
          <w:p>
            <w:r>
              <w:rPr>
                <w:sz w:val="19"/>
              </w:rPr>
              <w:t>LOG_ID, PERSON_ID, DOC_TYPE, NOTIF_INTERVAL, KEY_DATE, SENT_DATE, RECIPIENT, STATUS</w:t>
            </w:r>
          </w:p>
        </w:tc>
      </w:tr>
      <w:tr>
        <w:tc>
          <w:tcPr>
            <w:tcW w:type="dxa" w:w="2880"/>
          </w:tcPr>
          <w:p>
            <w:r>
              <w:rPr>
                <w:sz w:val="19"/>
              </w:rPr>
              <w:t>ASI_FDOA_PROCESSING_LOG_TBL</w:t>
            </w:r>
          </w:p>
        </w:tc>
        <w:tc>
          <w:tcPr>
            <w:tcW w:type="dxa" w:w="3168"/>
          </w:tcPr>
          <w:p>
            <w:r>
              <w:rPr>
                <w:sz w:val="19"/>
              </w:rPr>
              <w:t>Run statistics of propagation batches</w:t>
            </w:r>
          </w:p>
        </w:tc>
        <w:tc>
          <w:tcPr>
            <w:tcW w:type="dxa" w:w="3312"/>
          </w:tcPr>
          <w:p>
            <w:r>
              <w:rPr>
                <w:sz w:val="19"/>
              </w:rPr>
              <w:t>RUN_ID, RUN_DATE, RECORDS_PROCESSED, RECORDS_UPDATED, ERROR_COUNT</w:t>
            </w:r>
          </w:p>
        </w:tc>
      </w:tr>
    </w:tbl>
    <w:p/>
    <w:p>
      <w:r>
        <w:rPr>
          <w:b w:val="0"/>
          <w:i/>
          <w:sz w:val="18"/>
        </w:rPr>
        <w:t>Authoritative column-level DDL: deploy_btvl_clean.sql.</w:t>
      </w:r>
    </w:p>
    <w:p>
      <w:pPr>
        <w:pStyle w:val="Heading2"/>
      </w:pPr>
      <w:r>
        <w:t>3.3 Indexes and Grants</w:t>
      </w:r>
    </w:p>
    <w:p>
      <w:pPr>
        <w:pStyle w:val="ListBullet"/>
      </w:pPr>
      <w:r>
        <w:t>6 indexes total: 4 PK-backing + ASI_FDOA_REPLACEMENT_HDR_N1_IDX + ASI_FDOA_NOTIF_LOG_N1_IDX (post-install check expects 6).</w:t>
      </w:r>
    </w:p>
    <w:p>
      <w:pPr>
        <w:pStyle w:val="ListBullet"/>
      </w:pPr>
      <w:r>
        <w:t>Grants to APPS: SELECT on both sequences; SELECT, INSERT, UPDATE, DELETE on all four tables (regrant_btvl.sql repairs grants).</w:t>
      </w:r>
    </w:p>
    <w:p>
      <w:pPr>
        <w:pStyle w:val="ListBullet"/>
      </w:pPr>
      <w:r>
        <w:t>Trigger ASI_FDOA_REPLACEMENT_HDR_BIU_TRG (owned in APPS pass) maintains defaults/WHO on the header table.</w:t>
      </w:r>
    </w:p>
    <w:p>
      <w:pPr>
        <w:pStyle w:val="Heading1"/>
      </w:pPr>
      <w:r>
        <w:t>4. APPS Layer (code pass)</w:t>
      </w:r>
    </w:p>
    <w:p>
      <w:r>
        <w:rPr>
          <w:b w:val="0"/>
          <w:i w:val="0"/>
          <w:sz w:val="21"/>
        </w:rPr>
        <w:t>Deployed by deploy_apps_clean.sql, run as APPS, on the same database as the BTVL pass. Contains v1.1 + v1.2 + v1.3 patch content.</w:t>
      </w:r>
    </w:p>
    <w:p>
      <w:pPr>
        <w:pStyle w:val="Heading2"/>
      </w:pPr>
      <w:r>
        <w:t>4.1 Synonyms</w:t>
      </w:r>
    </w:p>
    <w:p>
      <w:r>
        <w:rPr>
          <w:b w:val="0"/>
          <w:i w:val="0"/>
          <w:sz w:val="21"/>
        </w:rPr>
        <w:t>6 synonyms APPS -&gt; BTVL (2 sequences + 4 tables).</w:t>
      </w:r>
    </w:p>
    <w:p>
      <w:pPr>
        <w:pStyle w:val="Heading2"/>
      </w:pPr>
      <w:r>
        <w:t>4.2 Views</w:t>
      </w:r>
    </w:p>
    <w:tbl>
      <w:tblPr>
        <w:tblStyle w:val="TableGrid"/>
        <w:tblW w:type="auto" w:w="0"/>
        <w:jc w:val="center"/>
        <w:tblLook w:firstColumn="1" w:firstRow="1" w:lastColumn="0" w:lastRow="0" w:noHBand="0" w:noVBand="1" w:val="04A0"/>
      </w:tblPr>
      <w:tblGrid>
        <w:gridCol w:w="4320"/>
        <w:gridCol w:w="4320"/>
      </w:tblGrid>
      <w:tr>
        <w:tc>
          <w:tcPr>
            <w:tcW w:type="dxa" w:w="3168"/>
            <w:shd w:val="clear" w:fill="D9D9D9"/>
          </w:tcPr>
          <w:p>
            <w:r>
              <w:rPr>
                <w:b/>
                <w:sz w:val="19"/>
              </w:rPr>
              <w:t>View</w:t>
            </w:r>
          </w:p>
        </w:tc>
        <w:tc>
          <w:tcPr>
            <w:tcW w:type="dxa" w:w="6192"/>
            <w:shd w:val="clear" w:fill="D9D9D9"/>
          </w:tcPr>
          <w:p>
            <w:r>
              <w:rPr>
                <w:b/>
                <w:sz w:val="19"/>
              </w:rPr>
              <w:t>Purpose / Notable implementation detail</w:t>
            </w:r>
          </w:p>
        </w:tc>
      </w:tr>
      <w:tr>
        <w:tc>
          <w:tcPr>
            <w:tcW w:type="dxa" w:w="3168"/>
          </w:tcPr>
          <w:p>
            <w:r>
              <w:rPr>
                <w:sz w:val="19"/>
              </w:rPr>
              <w:t>ASI_FDOA_EXIT_EMPLOYEES_V</w:t>
            </w:r>
          </w:p>
        </w:tc>
        <w:tc>
          <w:tcPr>
            <w:tcW w:type="dxa" w:w="6192"/>
          </w:tcPr>
          <w:p>
            <w:r>
              <w:rPr>
                <w:sz w:val="19"/>
              </w:rPr>
              <w:t>Employees with actual_termination_date within the −15..+15 day window; backs Exit form LOV. Cost-centre via pay_cost_allocation_keyflex.segment3 join (pay_cost_allocations_f has no SEGMENT3).</w:t>
            </w:r>
          </w:p>
        </w:tc>
      </w:tr>
      <w:tr>
        <w:tc>
          <w:tcPr>
            <w:tcW w:type="dxa" w:w="3168"/>
          </w:tcPr>
          <w:p>
            <w:r>
              <w:rPr>
                <w:sz w:val="19"/>
              </w:rPr>
              <w:t>ASI_FDOA_MOVEMENT_EMP_V</w:t>
            </w:r>
          </w:p>
        </w:tc>
        <w:tc>
          <w:tcPr>
            <w:tcW w:type="dxa" w:w="6192"/>
          </w:tcPr>
          <w:p>
            <w:r>
              <w:rPr>
                <w:sz w:val="19"/>
              </w:rPr>
              <w:t>Employees whose latest assignment shows ORG_ID or Segment-3 change (+1..+15 days); backs Movement form LOV; exposes old/new segment3 and old_rm_supervisor_id.</w:t>
            </w:r>
          </w:p>
        </w:tc>
      </w:tr>
      <w:tr>
        <w:tc>
          <w:tcPr>
            <w:tcW w:type="dxa" w:w="3168"/>
          </w:tcPr>
          <w:p>
            <w:r>
              <w:rPr>
                <w:sz w:val="19"/>
              </w:rPr>
              <w:t>ASI_FDOA_RM_DIRECT_REPORTS_V</w:t>
            </w:r>
          </w:p>
        </w:tc>
        <w:tc>
          <w:tcPr>
            <w:tcW w:type="dxa" w:w="6192"/>
          </w:tcPr>
          <w:p>
            <w:r>
              <w:rPr>
                <w:sz w:val="19"/>
              </w:rPr>
              <w:t>RM direct reports at effective date (SUPERVISOR_ID); backs the replacement LOV for RM forms.</w:t>
            </w:r>
          </w:p>
        </w:tc>
      </w:tr>
      <w:tr>
        <w:tc>
          <w:tcPr>
            <w:tcW w:type="dxa" w:w="3168"/>
          </w:tcPr>
          <w:p>
            <w:r>
              <w:rPr>
                <w:sz w:val="19"/>
              </w:rPr>
              <w:t>ASI_FDOA_OPEN_PR_LINES_V</w:t>
            </w:r>
          </w:p>
        </w:tc>
        <w:tc>
          <w:tcPr>
            <w:tcW w:type="dxa" w:w="6192"/>
          </w:tcPr>
          <w:p>
            <w:r>
              <w:rPr>
                <w:sz w:val="19"/>
              </w:rPr>
              <w:t>Open PR lines: Approved, Pending Approval/In Process, On Hold, Requires Reapproval.</w:t>
            </w:r>
          </w:p>
        </w:tc>
      </w:tr>
      <w:tr>
        <w:tc>
          <w:tcPr>
            <w:tcW w:type="dxa" w:w="3168"/>
          </w:tcPr>
          <w:p>
            <w:r>
              <w:rPr>
                <w:sz w:val="19"/>
              </w:rPr>
              <w:t>ASI_FDOA_OPEN_PO_LINES_V</w:t>
            </w:r>
          </w:p>
        </w:tc>
        <w:tc>
          <w:tcPr>
            <w:tcW w:type="dxa" w:w="6192"/>
          </w:tcPr>
          <w:p>
            <w:r>
              <w:rPr>
                <w:sz w:val="19"/>
              </w:rPr>
              <w:t>Open Standard &amp; Blanket PO lines; exposes PO_DISTRIBUTION_ID (PO requester = po_distributions_all.deliver_to_person_id; po_line_locations_all has no requester_id).</w:t>
            </w:r>
          </w:p>
        </w:tc>
      </w:tr>
      <w:tr>
        <w:tc>
          <w:tcPr>
            <w:tcW w:type="dxa" w:w="3168"/>
          </w:tcPr>
          <w:p>
            <w:r>
              <w:rPr>
                <w:sz w:val="19"/>
              </w:rPr>
              <w:t>ASI_FDOA_DOA_CC_GROUP_V</w:t>
            </w:r>
          </w:p>
        </w:tc>
        <w:tc>
          <w:tcPr>
            <w:tcW w:type="dxa" w:w="6192"/>
          </w:tcPr>
          <w:p>
            <w:r>
              <w:rPr>
                <w:sz w:val="19"/>
              </w:rPr>
              <w:t>DOA Superuser group from QP; drives CC list at runtime (not hardcoded).</w:t>
            </w:r>
          </w:p>
        </w:tc>
      </w:tr>
    </w:tbl>
    <w:p/>
    <w:p>
      <w:pPr>
        <w:pStyle w:val="Heading2"/>
      </w:pPr>
      <w:r>
        <w:t>4.3 PL/SQL Packages</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fill="D9D9D9"/>
          </w:tcPr>
          <w:p>
            <w:r>
              <w:rPr>
                <w:b/>
                <w:sz w:val="19"/>
              </w:rPr>
              <w:t>Package</w:t>
            </w:r>
          </w:p>
        </w:tc>
        <w:tc>
          <w:tcPr>
            <w:tcW w:type="dxa" w:w="2736"/>
            <w:shd w:val="clear" w:fill="D9D9D9"/>
          </w:tcPr>
          <w:p>
            <w:r>
              <w:rPr>
                <w:b/>
                <w:sz w:val="19"/>
              </w:rPr>
              <w:t>Responsibility</w:t>
            </w:r>
          </w:p>
        </w:tc>
        <w:tc>
          <w:tcPr>
            <w:tcW w:type="dxa" w:w="4176"/>
            <w:shd w:val="clear" w:fill="D9D9D9"/>
          </w:tcPr>
          <w:p>
            <w:r>
              <w:rPr>
                <w:b/>
                <w:sz w:val="19"/>
              </w:rPr>
              <w:t>Key Public Routines</w:t>
            </w:r>
          </w:p>
        </w:tc>
      </w:tr>
      <w:tr>
        <w:tc>
          <w:tcPr>
            <w:tcW w:type="dxa" w:w="2448"/>
          </w:tcPr>
          <w:p>
            <w:r>
              <w:rPr>
                <w:sz w:val="19"/>
              </w:rPr>
              <w:t>ASI_FDOA_UTIL_PKG</w:t>
            </w:r>
          </w:p>
        </w:tc>
        <w:tc>
          <w:tcPr>
            <w:tcW w:type="dxa" w:w="2736"/>
          </w:tcPr>
          <w:p>
            <w:r>
              <w:rPr>
                <w:sz w:val="19"/>
              </w:rPr>
              <w:t>Common helpers; OU gate</w:t>
            </w:r>
          </w:p>
        </w:tc>
        <w:tc>
          <w:tcPr>
            <w:tcW w:type="dxa" w:w="4176"/>
          </w:tcPr>
          <w:p>
            <w:r>
              <w:rPr>
                <w:sz w:val="19"/>
              </w:rPr>
              <w:t>IS_OU_ENABLED (gates detector via ASI_FDOA_OU_ENABLE_LK), logging, lookup access</w:t>
            </w:r>
          </w:p>
        </w:tc>
      </w:tr>
      <w:tr>
        <w:tc>
          <w:tcPr>
            <w:tcW w:type="dxa" w:w="2448"/>
          </w:tcPr>
          <w:p>
            <w:r>
              <w:rPr>
                <w:sz w:val="19"/>
              </w:rPr>
              <w:t>ASI_FDOA_HIERARCHY_PKG</w:t>
            </w:r>
          </w:p>
        </w:tc>
        <w:tc>
          <w:tcPr>
            <w:tcW w:type="dxa" w:w="2736"/>
          </w:tcPr>
          <w:p>
            <w:r>
              <w:rPr>
                <w:sz w:val="19"/>
              </w:rPr>
              <w:t>RM resolution &amp; escalation</w:t>
            </w:r>
          </w:p>
        </w:tc>
        <w:tc>
          <w:tcPr>
            <w:tcW w:type="dxa" w:w="4176"/>
          </w:tcPr>
          <w:p>
            <w:r>
              <w:rPr>
                <w:sz w:val="19"/>
              </w:rPr>
              <w:t>GET_NEXT_ACTIVE_MANAGER (skip-level via SUPERVISOR_ID), active-status checks</w:t>
            </w:r>
          </w:p>
        </w:tc>
      </w:tr>
      <w:tr>
        <w:tc>
          <w:tcPr>
            <w:tcW w:type="dxa" w:w="2448"/>
          </w:tcPr>
          <w:p>
            <w:r>
              <w:rPr>
                <w:sz w:val="19"/>
              </w:rPr>
              <w:t>ASI_FDOA_DETECTOR_PKG</w:t>
            </w:r>
          </w:p>
        </w:tc>
        <w:tc>
          <w:tcPr>
            <w:tcW w:type="dxa" w:w="2736"/>
          </w:tcPr>
          <w:p>
            <w:r>
              <w:rPr>
                <w:sz w:val="19"/>
              </w:rPr>
              <w:t>Identify exit/movement candidates for run date</w:t>
            </w:r>
          </w:p>
        </w:tc>
        <w:tc>
          <w:tcPr>
            <w:tcW w:type="dxa" w:w="4176"/>
          </w:tcPr>
          <w:p>
            <w:r>
              <w:rPr>
                <w:sz w:val="19"/>
              </w:rPr>
              <w:t>Exit/movement candidate cursors, backdated detection</w:t>
            </w:r>
          </w:p>
        </w:tc>
      </w:tr>
      <w:tr>
        <w:tc>
          <w:tcPr>
            <w:tcW w:type="dxa" w:w="2448"/>
          </w:tcPr>
          <w:p>
            <w:r>
              <w:rPr>
                <w:sz w:val="19"/>
              </w:rPr>
              <w:t>ASI_FDOA_NOTIFICATION_PKG</w:t>
            </w:r>
          </w:p>
        </w:tc>
        <w:tc>
          <w:tcPr>
            <w:tcW w:type="dxa" w:w="2736"/>
          </w:tcPr>
          <w:p>
            <w:r>
              <w:rPr>
                <w:sz w:val="19"/>
              </w:rPr>
              <w:t>Interval evaluation + WF launch + content</w:t>
            </w:r>
          </w:p>
        </w:tc>
        <w:tc>
          <w:tcPr>
            <w:tcW w:type="dxa" w:w="4176"/>
          </w:tcPr>
          <w:p>
            <w:r>
              <w:rPr>
                <w:sz w:val="19"/>
              </w:rPr>
              <w:t>LAUNCH_WORKFLOW, GET_RECIPIENT (selector), SET_EMAIL_CONTENT_EXIT/_MOVEMENT/_FALLBACK (v1.1), GEN_EMAIL_BODY_DOC (v1.3 DOCUMENT generator)</w:t>
            </w:r>
          </w:p>
        </w:tc>
      </w:tr>
      <w:tr>
        <w:tc>
          <w:tcPr>
            <w:tcW w:type="dxa" w:w="2448"/>
          </w:tcPr>
          <w:p>
            <w:r>
              <w:rPr>
                <w:sz w:val="19"/>
              </w:rPr>
              <w:t>ASI_FDOA_REPLACEMENT_PKG</w:t>
            </w:r>
          </w:p>
        </w:tc>
        <w:tc>
          <w:tcPr>
            <w:tcW w:type="dxa" w:w="2736"/>
          </w:tcPr>
          <w:p>
            <w:r>
              <w:rPr>
                <w:sz w:val="19"/>
              </w:rPr>
              <w:t>Validate &amp; persist form entries</w:t>
            </w:r>
          </w:p>
        </w:tc>
        <w:tc>
          <w:tcPr>
            <w:tcW w:type="dxa" w:w="4176"/>
          </w:tcPr>
          <w:p>
            <w:r>
              <w:rPr>
                <w:sz w:val="19"/>
              </w:rPr>
              <w:t>VALIDATE_REPLACEMENT, INSERT_REPLACEMENT, OVERRIDE_BY_SUPERUSER (EXIT-only, 15-day window check; error code SU_OUTSIDE_OVERRIDE_WINDOW)</w:t>
            </w:r>
          </w:p>
        </w:tc>
      </w:tr>
      <w:tr>
        <w:tc>
          <w:tcPr>
            <w:tcW w:type="dxa" w:w="2448"/>
          </w:tcPr>
          <w:p>
            <w:r>
              <w:rPr>
                <w:sz w:val="19"/>
              </w:rPr>
              <w:t>ASI_FDOA_PROPAGATION_PKG</w:t>
            </w:r>
          </w:p>
        </w:tc>
        <w:tc>
          <w:tcPr>
            <w:tcW w:type="dxa" w:w="2736"/>
          </w:tcPr>
          <w:p>
            <w:r>
              <w:rPr>
                <w:sz w:val="19"/>
              </w:rPr>
              <w:t>Apply replacement to PR/PO/QP/WF</w:t>
            </w:r>
          </w:p>
        </w:tc>
        <w:tc>
          <w:tcPr>
            <w:tcW w:type="dxa" w:w="4176"/>
          </w:tcPr>
          <w:p>
            <w:r>
              <w:rPr>
                <w:sz w:val="19"/>
              </w:rPr>
              <w:t>UPDATE_PR/PO_REQUESTOR (distributions for STANDARD, header agent_id for BLANKET), UPDATE_QP_APPROVER (dynamic UPDATE over ASI_FDOA_QP_APPROVER_COLS_LK), REASSIGN_OPEN_NOTIFICATIONS (WF_NOTIFICATION.TRANSFER, v1.2)</w:t>
            </w:r>
          </w:p>
        </w:tc>
      </w:tr>
      <w:tr>
        <w:tc>
          <w:tcPr>
            <w:tcW w:type="dxa" w:w="2448"/>
          </w:tcPr>
          <w:p>
            <w:r>
              <w:rPr>
                <w:sz w:val="19"/>
              </w:rPr>
              <w:t>ASI_FDOA_MGR_REPORT_PKG</w:t>
            </w:r>
          </w:p>
        </w:tc>
        <w:tc>
          <w:tcPr>
            <w:tcW w:type="dxa" w:w="2736"/>
          </w:tcPr>
          <w:p>
            <w:r>
              <w:rPr>
                <w:sz w:val="19"/>
              </w:rPr>
              <w:t>Manager replacement report (TEXT)</w:t>
            </w:r>
          </w:p>
        </w:tc>
        <w:tc>
          <w:tcPr>
            <w:tcW w:type="dxa" w:w="4176"/>
          </w:tcPr>
          <w:p>
            <w:r>
              <w:rPr>
                <w:sz w:val="19"/>
              </w:rPr>
              <w:t>Report driver</w:t>
            </w:r>
          </w:p>
        </w:tc>
      </w:tr>
      <w:tr>
        <w:tc>
          <w:tcPr>
            <w:tcW w:type="dxa" w:w="2448"/>
          </w:tcPr>
          <w:p>
            <w:r>
              <w:rPr>
                <w:sz w:val="19"/>
              </w:rPr>
              <w:t>ASI_FDOA_SU_REPORT_PKG</w:t>
            </w:r>
          </w:p>
        </w:tc>
        <w:tc>
          <w:tcPr>
            <w:tcW w:type="dxa" w:w="2736"/>
          </w:tcPr>
          <w:p>
            <w:r>
              <w:rPr>
                <w:sz w:val="19"/>
              </w:rPr>
              <w:t>Superuser replacement report (TEXT)</w:t>
            </w:r>
          </w:p>
        </w:tc>
        <w:tc>
          <w:tcPr>
            <w:tcW w:type="dxa" w:w="4176"/>
          </w:tcPr>
          <w:p>
            <w:r>
              <w:rPr>
                <w:sz w:val="19"/>
              </w:rPr>
              <w:t>Report driver</w:t>
            </w:r>
          </w:p>
        </w:tc>
      </w:tr>
    </w:tbl>
    <w:p/>
    <w:p>
      <w:r>
        <w:rPr>
          <w:b/>
          <w:i w:val="0"/>
          <w:sz w:val="21"/>
        </w:rPr>
        <w:t>Form-facing API signatures (as built):</w:t>
      </w:r>
    </w:p>
    <w:p>
      <w:pPr>
        <w:ind w:left="360"/>
      </w:pPr>
      <w:r>
        <w:rPr>
          <w:rFonts w:ascii="Consolas" w:hAnsi="Consolas"/>
          <w:sz w:val="17"/>
        </w:rPr>
        <w:t>PROCEDURE INSERT_REPLACEMENT</w:t>
        <w:br/>
        <w:t xml:space="preserve">  ( p_doc_type              IN  VARCHAR2   -- EXIT / MOVEMENT</w:t>
        <w:br/>
        <w:t xml:space="preserve">  , p_old_person_id         IN  NUMBER</w:t>
        <w:br/>
        <w:t xml:space="preserve">  , p_new_person_id         IN  NUMBER</w:t>
        <w:br/>
        <w:t xml:space="preserve">  , p_role                  IN  VARCHAR2   -- 'RM'</w:t>
        <w:br/>
        <w:t xml:space="preserve">  , p_entered_by_person_id  IN  NUMBER</w:t>
        <w:br/>
        <w:t xml:space="preserve">  , p_remarks               IN  VARCHAR2</w:t>
        <w:br/>
        <w:t xml:space="preserve">  , p_org_id                IN  NUMBER</w:t>
        <w:br/>
        <w:t xml:space="preserve">  , x_replacement_id        OUT NUMBER );</w:t>
        <w:br/>
        <w:br/>
        <w:t>PROCEDURE OVERRIDE_BY_SUPERUSER</w:t>
        <w:br/>
        <w:t xml:space="preserve">  ( p_doc_type              IN  VARCHAR2</w:t>
        <w:br/>
        <w:t xml:space="preserve">  , p_old_person_id         IN  NUMBER</w:t>
        <w:br/>
        <w:t xml:space="preserve">  , p_new_person_id         IN  NUMBER</w:t>
        <w:br/>
        <w:t xml:space="preserve">  , p_entered_by_person_id  IN  NUMBER</w:t>
        <w:br/>
        <w:t xml:space="preserve">  , p_remarks               IN  VARCHAR2</w:t>
        <w:br/>
        <w:t xml:space="preserve">  , p_org_id                IN  NUMBER</w:t>
        <w:br/>
        <w:t xml:space="preserve">  , x_replacement_id        OUT NUMBER );</w:t>
      </w:r>
    </w:p>
    <w:p>
      <w:pPr>
        <w:pStyle w:val="Heading2"/>
      </w:pPr>
      <w:r>
        <w:t>4.4 Lookups and Value Sets</w:t>
      </w:r>
    </w:p>
    <w:tbl>
      <w:tblPr>
        <w:tblStyle w:val="TableGrid"/>
        <w:tblW w:type="auto" w:w="0"/>
        <w:jc w:val="center"/>
        <w:tblLook w:firstColumn="1" w:firstRow="1" w:lastColumn="0" w:lastRow="0" w:noHBand="0" w:noVBand="1" w:val="04A0"/>
      </w:tblPr>
      <w:tblGrid>
        <w:gridCol w:w="2880"/>
        <w:gridCol w:w="2880"/>
        <w:gridCol w:w="2880"/>
      </w:tblGrid>
      <w:tr>
        <w:tc>
          <w:tcPr>
            <w:tcW w:type="dxa" w:w="3024"/>
            <w:shd w:val="clear" w:fill="D9D9D9"/>
          </w:tcPr>
          <w:p>
            <w:r>
              <w:rPr>
                <w:b/>
                <w:sz w:val="19"/>
              </w:rPr>
              <w:t>Object</w:t>
            </w:r>
          </w:p>
        </w:tc>
        <w:tc>
          <w:tcPr>
            <w:tcW w:type="dxa" w:w="1296"/>
            <w:shd w:val="clear" w:fill="D9D9D9"/>
          </w:tcPr>
          <w:p>
            <w:r>
              <w:rPr>
                <w:b/>
                <w:sz w:val="19"/>
              </w:rPr>
              <w:t>Type</w:t>
            </w:r>
          </w:p>
        </w:tc>
        <w:tc>
          <w:tcPr>
            <w:tcW w:type="dxa" w:w="5040"/>
            <w:shd w:val="clear" w:fill="D9D9D9"/>
          </w:tcPr>
          <w:p>
            <w:r>
              <w:rPr>
                <w:b/>
                <w:sz w:val="19"/>
              </w:rPr>
              <w:t>Purpose</w:t>
            </w:r>
          </w:p>
        </w:tc>
      </w:tr>
      <w:tr>
        <w:tc>
          <w:tcPr>
            <w:tcW w:type="dxa" w:w="3024"/>
          </w:tcPr>
          <w:p>
            <w:r>
              <w:rPr>
                <w:sz w:val="19"/>
              </w:rPr>
              <w:t>ASI_FDOA_DOC_TYPE_LK</w:t>
            </w:r>
          </w:p>
        </w:tc>
        <w:tc>
          <w:tcPr>
            <w:tcW w:type="dxa" w:w="1296"/>
          </w:tcPr>
          <w:p>
            <w:r>
              <w:rPr>
                <w:sz w:val="19"/>
              </w:rPr>
              <w:t>Lookup</w:t>
            </w:r>
          </w:p>
        </w:tc>
        <w:tc>
          <w:tcPr>
            <w:tcW w:type="dxa" w:w="5040"/>
          </w:tcPr>
          <w:p>
            <w:r>
              <w:rPr>
                <w:sz w:val="19"/>
              </w:rPr>
              <w:t>EXIT / MOVEMENT — drives Superuser form Document Type LOV</w:t>
            </w:r>
          </w:p>
        </w:tc>
      </w:tr>
      <w:tr>
        <w:tc>
          <w:tcPr>
            <w:tcW w:type="dxa" w:w="3024"/>
          </w:tcPr>
          <w:p>
            <w:r>
              <w:rPr>
                <w:sz w:val="19"/>
              </w:rPr>
              <w:t>ASI_FDOA_NOTIF_INTERVAL_LK</w:t>
            </w:r>
          </w:p>
        </w:tc>
        <w:tc>
          <w:tcPr>
            <w:tcW w:type="dxa" w:w="1296"/>
          </w:tcPr>
          <w:p>
            <w:r>
              <w:rPr>
                <w:sz w:val="19"/>
              </w:rPr>
              <w:t>Lookup</w:t>
            </w:r>
          </w:p>
        </w:tc>
        <w:tc>
          <w:tcPr>
            <w:tcW w:type="dxa" w:w="5040"/>
          </w:tcPr>
          <w:p>
            <w:r>
              <w:rPr>
                <w:sz w:val="19"/>
              </w:rPr>
              <w:t>DAY_15, DAY_10, DAY_5, LAST_DAY, DAY_1_AFTER, DAY_5_AFTER, DAY_10_AFTER, DAY_15_AFTER</w:t>
            </w:r>
          </w:p>
        </w:tc>
      </w:tr>
      <w:tr>
        <w:tc>
          <w:tcPr>
            <w:tcW w:type="dxa" w:w="3024"/>
          </w:tcPr>
          <w:p>
            <w:r>
              <w:rPr>
                <w:sz w:val="19"/>
              </w:rPr>
              <w:t>ASI_FDOA_INTEG_SWITCH_LK</w:t>
            </w:r>
          </w:p>
        </w:tc>
        <w:tc>
          <w:tcPr>
            <w:tcW w:type="dxa" w:w="1296"/>
          </w:tcPr>
          <w:p>
            <w:r>
              <w:rPr>
                <w:sz w:val="19"/>
              </w:rPr>
              <w:t>Lookup</w:t>
            </w:r>
          </w:p>
        </w:tc>
        <w:tc>
          <w:tcPr>
            <w:tcW w:type="dxa" w:w="5040"/>
          </w:tcPr>
          <w:p>
            <w:r>
              <w:rPr>
                <w:sz w:val="19"/>
              </w:rPr>
              <w:t>BCP/DR integration switch: ON / FUSION_ONLY / OFF</w:t>
            </w:r>
          </w:p>
        </w:tc>
      </w:tr>
      <w:tr>
        <w:tc>
          <w:tcPr>
            <w:tcW w:type="dxa" w:w="3024"/>
          </w:tcPr>
          <w:p>
            <w:r>
              <w:rPr>
                <w:sz w:val="19"/>
              </w:rPr>
              <w:t>ASI_FDOA_OU_ENABLE_LK</w:t>
            </w:r>
          </w:p>
        </w:tc>
        <w:tc>
          <w:tcPr>
            <w:tcW w:type="dxa" w:w="1296"/>
          </w:tcPr>
          <w:p>
            <w:r>
              <w:rPr>
                <w:sz w:val="19"/>
              </w:rPr>
              <w:t>Lookup</w:t>
            </w:r>
          </w:p>
        </w:tc>
        <w:tc>
          <w:tcPr>
            <w:tcW w:type="dxa" w:w="5040"/>
          </w:tcPr>
          <w:p>
            <w:r>
              <w:rPr>
                <w:sz w:val="19"/>
              </w:rPr>
              <w:t>Staggered OU enablement: one enabled row per live ORG_ID (template row SAMPLE_ORG_ID disabled)</w:t>
            </w:r>
          </w:p>
        </w:tc>
      </w:tr>
      <w:tr>
        <w:tc>
          <w:tcPr>
            <w:tcW w:type="dxa" w:w="3024"/>
          </w:tcPr>
          <w:p>
            <w:r>
              <w:rPr>
                <w:sz w:val="19"/>
              </w:rPr>
              <w:t>ASI_FDOA_QP_APPROVER_COLS_LK</w:t>
            </w:r>
          </w:p>
        </w:tc>
        <w:tc>
          <w:tcPr>
            <w:tcW w:type="dxa" w:w="1296"/>
          </w:tcPr>
          <w:p>
            <w:r>
              <w:rPr>
                <w:sz w:val="19"/>
              </w:rPr>
              <w:t>Lookup</w:t>
            </w:r>
          </w:p>
        </w:tc>
        <w:tc>
          <w:tcPr>
            <w:tcW w:type="dxa" w:w="5040"/>
          </w:tcPr>
          <w:p>
            <w:r>
              <w:rPr>
                <w:sz w:val="19"/>
              </w:rPr>
              <w:t>Approver person_id column names of ASI_AP_CSS_DOA_MAPPING_QP (consumed by UPDATE_QP_APPROVER) — seeding open (item O1/#4)</w:t>
            </w:r>
          </w:p>
        </w:tc>
      </w:tr>
      <w:tr>
        <w:tc>
          <w:tcPr>
            <w:tcW w:type="dxa" w:w="3024"/>
          </w:tcPr>
          <w:p>
            <w:r>
              <w:rPr>
                <w:sz w:val="19"/>
              </w:rPr>
              <w:t>ASI_FDOA_DOC_TYPE_VS</w:t>
            </w:r>
          </w:p>
        </w:tc>
        <w:tc>
          <w:tcPr>
            <w:tcW w:type="dxa" w:w="1296"/>
          </w:tcPr>
          <w:p>
            <w:r>
              <w:rPr>
                <w:sz w:val="19"/>
              </w:rPr>
              <w:t>Value Set</w:t>
            </w:r>
          </w:p>
        </w:tc>
        <w:tc>
          <w:tcPr>
            <w:tcW w:type="dxa" w:w="5040"/>
          </w:tcPr>
          <w:p>
            <w:r>
              <w:rPr>
                <w:sz w:val="19"/>
              </w:rPr>
              <w:t>Independent set EXIT/MOVEMENT/BOTH (table-validated set rejected by instance dictionary — see §13)</w:t>
            </w:r>
          </w:p>
        </w:tc>
      </w:tr>
      <w:tr>
        <w:tc>
          <w:tcPr>
            <w:tcW w:type="dxa" w:w="3024"/>
          </w:tcPr>
          <w:p>
            <w:r>
              <w:rPr>
                <w:sz w:val="19"/>
              </w:rPr>
              <w:t>ASI_FDOA_DATE_VS / _YESNO_VS / _NUM_VS</w:t>
            </w:r>
          </w:p>
        </w:tc>
        <w:tc>
          <w:tcPr>
            <w:tcW w:type="dxa" w:w="1296"/>
          </w:tcPr>
          <w:p>
            <w:r>
              <w:rPr>
                <w:sz w:val="19"/>
              </w:rPr>
              <w:t>Value Sets</w:t>
            </w:r>
          </w:p>
        </w:tc>
        <w:tc>
          <w:tcPr>
            <w:tcW w:type="dxa" w:w="5040"/>
          </w:tcPr>
          <w:p>
            <w:r>
              <w:rPr>
                <w:sz w:val="19"/>
              </w:rPr>
              <w:t>CP parameter validation</w:t>
            </w:r>
          </w:p>
        </w:tc>
      </w:tr>
    </w:tbl>
    <w:p/>
    <w:p>
      <w:pPr>
        <w:pStyle w:val="Heading1"/>
      </w:pPr>
      <w:r>
        <w:t>5. Concurrent Programs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D9D9"/>
          </w:tcPr>
          <w:p>
            <w:r>
              <w:rPr>
                <w:b/>
                <w:sz w:val="19"/>
              </w:rPr>
              <w:t>Program (short name)</w:t>
            </w:r>
          </w:p>
        </w:tc>
        <w:tc>
          <w:tcPr>
            <w:tcW w:type="dxa" w:w="2304"/>
            <w:shd w:val="clear" w:fill="D9D9D9"/>
          </w:tcPr>
          <w:p>
            <w:r>
              <w:rPr>
                <w:b/>
                <w:sz w:val="19"/>
              </w:rPr>
              <w:t>Type</w:t>
            </w:r>
          </w:p>
        </w:tc>
        <w:tc>
          <w:tcPr>
            <w:tcW w:type="dxa" w:w="1440"/>
            <w:shd w:val="clear" w:fill="D9D9D9"/>
          </w:tcPr>
          <w:p>
            <w:r>
              <w:rPr>
                <w:b/>
                <w:sz w:val="19"/>
              </w:rPr>
              <w:t>Schedule</w:t>
            </w:r>
          </w:p>
        </w:tc>
        <w:tc>
          <w:tcPr>
            <w:tcW w:type="dxa" w:w="3456"/>
            <w:shd w:val="clear" w:fill="D9D9D9"/>
          </w:tcPr>
          <w:p>
            <w:r>
              <w:rPr>
                <w:b/>
                <w:sz w:val="19"/>
              </w:rPr>
              <w:t>Purpose</w:t>
            </w:r>
          </w:p>
        </w:tc>
      </w:tr>
      <w:tr>
        <w:tc>
          <w:tcPr>
            <w:tcW w:type="dxa" w:w="2160"/>
          </w:tcPr>
          <w:p>
            <w:r>
              <w:rPr>
                <w:sz w:val="19"/>
              </w:rPr>
              <w:t>ASIFDOANOTIF</w:t>
            </w:r>
          </w:p>
        </w:tc>
        <w:tc>
          <w:tcPr>
            <w:tcW w:type="dxa" w:w="2304"/>
          </w:tcPr>
          <w:p>
            <w:r>
              <w:rPr>
                <w:sz w:val="19"/>
              </w:rPr>
              <w:t>PL/SQL (ASI_FDOA_NOTIF_CP_PRC)</w:t>
            </w:r>
          </w:p>
        </w:tc>
        <w:tc>
          <w:tcPr>
            <w:tcW w:type="dxa" w:w="1440"/>
          </w:tcPr>
          <w:p>
            <w:r>
              <w:rPr>
                <w:sz w:val="19"/>
              </w:rPr>
              <w:t>Daily 12:00</w:t>
            </w:r>
          </w:p>
        </w:tc>
        <w:tc>
          <w:tcPr>
            <w:tcW w:type="dxa" w:w="3456"/>
          </w:tcPr>
          <w:p>
            <w:r>
              <w:rPr>
                <w:sz w:val="19"/>
              </w:rPr>
              <w:t>Master driver — detection + notification orchestration</w:t>
            </w:r>
          </w:p>
        </w:tc>
      </w:tr>
      <w:tr>
        <w:tc>
          <w:tcPr>
            <w:tcW w:type="dxa" w:w="2160"/>
          </w:tcPr>
          <w:p>
            <w:r>
              <w:rPr>
                <w:sz w:val="19"/>
              </w:rPr>
              <w:t>ASIFDOAPRPO</w:t>
            </w:r>
          </w:p>
        </w:tc>
        <w:tc>
          <w:tcPr>
            <w:tcW w:type="dxa" w:w="2304"/>
          </w:tcPr>
          <w:p>
            <w:r>
              <w:rPr>
                <w:sz w:val="19"/>
              </w:rPr>
              <w:t>PL/SQL</w:t>
            </w:r>
          </w:p>
        </w:tc>
        <w:tc>
          <w:tcPr>
            <w:tcW w:type="dxa" w:w="1440"/>
          </w:tcPr>
          <w:p>
            <w:r>
              <w:rPr>
                <w:sz w:val="19"/>
              </w:rPr>
              <w:t>Daily 00:30</w:t>
            </w:r>
          </w:p>
        </w:tc>
        <w:tc>
          <w:tcPr>
            <w:tcW w:type="dxa" w:w="3456"/>
          </w:tcPr>
          <w:p>
            <w:r>
              <w:rPr>
                <w:sz w:val="19"/>
              </w:rPr>
              <w:t>PR/PO requestor propagation (after 00:00 Fusion sync)</w:t>
            </w:r>
          </w:p>
        </w:tc>
      </w:tr>
      <w:tr>
        <w:tc>
          <w:tcPr>
            <w:tcW w:type="dxa" w:w="2160"/>
          </w:tcPr>
          <w:p>
            <w:r>
              <w:rPr>
                <w:sz w:val="19"/>
              </w:rPr>
              <w:t>ASIFDOAQP</w:t>
            </w:r>
          </w:p>
        </w:tc>
        <w:tc>
          <w:tcPr>
            <w:tcW w:type="dxa" w:w="2304"/>
          </w:tcPr>
          <w:p>
            <w:r>
              <w:rPr>
                <w:sz w:val="19"/>
              </w:rPr>
              <w:t>PL/SQL</w:t>
            </w:r>
          </w:p>
        </w:tc>
        <w:tc>
          <w:tcPr>
            <w:tcW w:type="dxa" w:w="1440"/>
          </w:tcPr>
          <w:p>
            <w:r>
              <w:rPr>
                <w:sz w:val="19"/>
              </w:rPr>
              <w:t>Daily 00:35</w:t>
            </w:r>
          </w:p>
        </w:tc>
        <w:tc>
          <w:tcPr>
            <w:tcW w:type="dxa" w:w="3456"/>
          </w:tcPr>
          <w:p>
            <w:r>
              <w:rPr>
                <w:sz w:val="19"/>
              </w:rPr>
              <w:t>QP AP CSS DOA Mapping approver update</w:t>
            </w:r>
          </w:p>
        </w:tc>
      </w:tr>
      <w:tr>
        <w:tc>
          <w:tcPr>
            <w:tcW w:type="dxa" w:w="2160"/>
          </w:tcPr>
          <w:p>
            <w:r>
              <w:rPr>
                <w:sz w:val="19"/>
              </w:rPr>
              <w:t>ASIFDOAMGRRPT</w:t>
            </w:r>
          </w:p>
        </w:tc>
        <w:tc>
          <w:tcPr>
            <w:tcW w:type="dxa" w:w="2304"/>
          </w:tcPr>
          <w:p>
            <w:r>
              <w:rPr>
                <w:sz w:val="19"/>
              </w:rPr>
              <w:t>PL/SQL — TEXT output</w:t>
            </w:r>
          </w:p>
        </w:tc>
        <w:tc>
          <w:tcPr>
            <w:tcW w:type="dxa" w:w="1440"/>
          </w:tcPr>
          <w:p>
            <w:r>
              <w:rPr>
                <w:sz w:val="19"/>
              </w:rPr>
              <w:t>On demand</w:t>
            </w:r>
          </w:p>
        </w:tc>
        <w:tc>
          <w:tcPr>
            <w:tcW w:type="dxa" w:w="3456"/>
          </w:tcPr>
          <w:p>
            <w:r>
              <w:rPr>
                <w:sz w:val="19"/>
              </w:rPr>
              <w:t>Manager Replacement Report (pipe-delimited)</w:t>
            </w:r>
          </w:p>
        </w:tc>
      </w:tr>
      <w:tr>
        <w:tc>
          <w:tcPr>
            <w:tcW w:type="dxa" w:w="2160"/>
          </w:tcPr>
          <w:p>
            <w:r>
              <w:rPr>
                <w:sz w:val="19"/>
              </w:rPr>
              <w:t>ASIFDOASURPT</w:t>
            </w:r>
          </w:p>
        </w:tc>
        <w:tc>
          <w:tcPr>
            <w:tcW w:type="dxa" w:w="2304"/>
          </w:tcPr>
          <w:p>
            <w:r>
              <w:rPr>
                <w:sz w:val="19"/>
              </w:rPr>
              <w:t>PL/SQL — TEXT output</w:t>
            </w:r>
          </w:p>
        </w:tc>
        <w:tc>
          <w:tcPr>
            <w:tcW w:type="dxa" w:w="1440"/>
          </w:tcPr>
          <w:p>
            <w:r>
              <w:rPr>
                <w:sz w:val="19"/>
              </w:rPr>
              <w:t>On demand</w:t>
            </w:r>
          </w:p>
        </w:tc>
        <w:tc>
          <w:tcPr>
            <w:tcW w:type="dxa" w:w="3456"/>
          </w:tcPr>
          <w:p>
            <w:r>
              <w:rPr>
                <w:sz w:val="19"/>
              </w:rPr>
              <w:t>Superuser Replacement Report (pipe-delimited; + Remarks)</w:t>
            </w:r>
          </w:p>
        </w:tc>
      </w:tr>
    </w:tbl>
    <w:p/>
    <w:p>
      <w:r>
        <w:rPr>
          <w:b w:val="0"/>
          <w:i w:val="0"/>
          <w:sz w:val="21"/>
        </w:rPr>
        <w:t>12 parameters across the 5 programs (run date / doc type / debug / person filter / date from-to). Both reports are executed from the Superuser responsibility per HLD §22. Scheduling is performed via SRS (Periodically, every 1 day, apply from start of prior run).</w:t>
      </w:r>
    </w:p>
    <w:p>
      <w:pPr>
        <w:pStyle w:val="Heading1"/>
      </w:pPr>
      <w:r>
        <w:t>6. Workflow Design — Item Type ASIFDOAN</w:t>
      </w:r>
    </w:p>
    <w:tbl>
      <w:tblPr>
        <w:tblStyle w:val="TableGrid"/>
        <w:tblW w:type="auto" w:w="0"/>
        <w:jc w:val="center"/>
        <w:tblLook w:firstColumn="1" w:firstRow="1" w:lastColumn="0" w:lastRow="0" w:noHBand="0" w:noVBand="1" w:val="04A0"/>
      </w:tblPr>
      <w:tblGrid>
        <w:gridCol w:w="4320"/>
        <w:gridCol w:w="4320"/>
      </w:tblGrid>
      <w:tr>
        <w:tc>
          <w:tcPr>
            <w:tcW w:type="dxa" w:w="2448"/>
            <w:shd w:val="clear" w:fill="D9D9D9"/>
          </w:tcPr>
          <w:p>
            <w:r>
              <w:rPr>
                <w:b/>
                <w:sz w:val="19"/>
              </w:rPr>
              <w:t>Property</w:t>
            </w:r>
          </w:p>
        </w:tc>
        <w:tc>
          <w:tcPr>
            <w:tcW w:type="dxa" w:w="6912"/>
            <w:shd w:val="clear" w:fill="D9D9D9"/>
          </w:tcPr>
          <w:p>
            <w:r>
              <w:rPr>
                <w:b/>
                <w:sz w:val="19"/>
              </w:rPr>
              <w:t>Value</w:t>
            </w:r>
          </w:p>
        </w:tc>
      </w:tr>
      <w:tr>
        <w:tc>
          <w:tcPr>
            <w:tcW w:type="dxa" w:w="2448"/>
          </w:tcPr>
          <w:p>
            <w:r>
              <w:rPr>
                <w:sz w:val="19"/>
              </w:rPr>
              <w:t>Internal name</w:t>
            </w:r>
          </w:p>
        </w:tc>
        <w:tc>
          <w:tcPr>
            <w:tcW w:type="dxa" w:w="6912"/>
          </w:tcPr>
          <w:p>
            <w:r>
              <w:rPr>
                <w:sz w:val="19"/>
              </w:rPr>
              <w:t>ASIFDOAN</w:t>
            </w:r>
          </w:p>
        </w:tc>
      </w:tr>
      <w:tr>
        <w:tc>
          <w:tcPr>
            <w:tcW w:type="dxa" w:w="2448"/>
          </w:tcPr>
          <w:p>
            <w:r>
              <w:rPr>
                <w:sz w:val="19"/>
              </w:rPr>
              <w:t>Persistence</w:t>
            </w:r>
          </w:p>
        </w:tc>
        <w:tc>
          <w:tcPr>
            <w:tcW w:type="dxa" w:w="6912"/>
          </w:tcPr>
          <w:p>
            <w:r>
              <w:rPr>
                <w:sz w:val="19"/>
              </w:rPr>
              <w:t>Persistent (FYI history retained)</w:t>
            </w:r>
          </w:p>
        </w:tc>
      </w:tr>
      <w:tr>
        <w:tc>
          <w:tcPr>
            <w:tcW w:type="dxa" w:w="2448"/>
          </w:tcPr>
          <w:p>
            <w:r>
              <w:rPr>
                <w:sz w:val="19"/>
              </w:rPr>
              <w:t>Selector</w:t>
            </w:r>
          </w:p>
        </w:tc>
        <w:tc>
          <w:tcPr>
            <w:tcW w:type="dxa" w:w="6912"/>
          </w:tcPr>
          <w:p>
            <w:r>
              <w:rPr>
                <w:sz w:val="19"/>
              </w:rPr>
              <w:t>ASI_FDOA_NOTIFICATION_PKG.GET_RECIPIENT</w:t>
            </w:r>
          </w:p>
        </w:tc>
      </w:tr>
      <w:tr>
        <w:tc>
          <w:tcPr>
            <w:tcW w:type="dxa" w:w="2448"/>
          </w:tcPr>
          <w:p>
            <w:r>
              <w:rPr>
                <w:sz w:val="19"/>
              </w:rPr>
              <w:t>Processes (runnable)</w:t>
            </w:r>
          </w:p>
        </w:tc>
        <w:tc>
          <w:tcPr>
            <w:tcW w:type="dxa" w:w="6912"/>
          </w:tcPr>
          <w:p>
            <w:r>
              <w:rPr>
                <w:sz w:val="19"/>
              </w:rPr>
              <w:t>EXIT_NOTIFY_PROCESS, MOVEMENT_NOTIFY_PROCESS, FALLBACK_REASSIGN_PROCESS</w:t>
            </w:r>
          </w:p>
        </w:tc>
      </w:tr>
      <w:tr>
        <w:tc>
          <w:tcPr>
            <w:tcW w:type="dxa" w:w="2448"/>
          </w:tcPr>
          <w:p>
            <w:r>
              <w:rPr>
                <w:sz w:val="19"/>
              </w:rPr>
              <w:t>Messages / notifications</w:t>
            </w:r>
          </w:p>
        </w:tc>
        <w:tc>
          <w:tcPr>
            <w:tcW w:type="dxa" w:w="6912"/>
          </w:tcPr>
          <w:p>
            <w:r>
              <w:rPr>
                <w:sz w:val="19"/>
              </w:rPr>
              <w:t>3 FYI messages / 3 notification activities</w:t>
            </w:r>
          </w:p>
        </w:tc>
      </w:tr>
      <w:tr>
        <w:tc>
          <w:tcPr>
            <w:tcW w:type="dxa" w:w="2448"/>
          </w:tcPr>
          <w:p>
            <w:r>
              <w:rPr>
                <w:sz w:val="19"/>
              </w:rPr>
              <w:t>Attributes</w:t>
            </w:r>
          </w:p>
        </w:tc>
        <w:tc>
          <w:tcPr>
            <w:tcW w:type="dxa" w:w="6912"/>
          </w:tcPr>
          <w:p>
            <w:r>
              <w:rPr>
                <w:sz w:val="19"/>
              </w:rPr>
              <w:t>12 — context set per LAUNCH_WORKFLOW (doc type, interval, employee id/name/number, key date, RM id/username, CC e-mails, form URL) + content set EMAIL_SUBJECT, EMAIL_BODY_HTML, EMAIL_BODY_DOC</w:t>
            </w:r>
          </w:p>
        </w:tc>
      </w:tr>
      <w:tr>
        <w:tc>
          <w:tcPr>
            <w:tcW w:type="dxa" w:w="2448"/>
          </w:tcPr>
          <w:p>
            <w:r>
              <w:rPr>
                <w:sz w:val="19"/>
              </w:rPr>
              <w:t>HTML rendering</w:t>
            </w:r>
          </w:p>
        </w:tc>
        <w:tc>
          <w:tcPr>
            <w:tcW w:type="dxa" w:w="6912"/>
          </w:tcPr>
          <w:p>
            <w:r>
              <w:rPr>
                <w:sz w:val="19"/>
              </w:rPr>
              <w:t>EMAIL_BODY_DOC is a DOCUMENT attribute resolving to PLSQL:ASI_FDOA_NOTIFICATION_PKG.GEN_EMAIL_BODY_DOC/&lt;itemtype&gt;:&lt;itemkey&gt; — returns text/html (and stripped text/plain); avoids WF's HTML-escaping of VARCHAR2 tokens (v1.3)</w:t>
            </w:r>
          </w:p>
        </w:tc>
      </w:tr>
      <w:tr>
        <w:tc>
          <w:tcPr>
            <w:tcW w:type="dxa" w:w="2448"/>
          </w:tcPr>
          <w:p>
            <w:r>
              <w:rPr>
                <w:sz w:val="19"/>
              </w:rPr>
              <w:t>Dedup</w:t>
            </w:r>
          </w:p>
        </w:tc>
        <w:tc>
          <w:tcPr>
            <w:tcW w:type="dxa" w:w="6912"/>
          </w:tcPr>
          <w:p>
            <w:r>
              <w:rPr>
                <w:sz w:val="19"/>
              </w:rPr>
              <w:t>Item key derived from (doc_type, person_id, interval, key_date); duplicate launch raises ORA-20002</w:t>
            </w:r>
          </w:p>
        </w:tc>
      </w:tr>
      <w:tr>
        <w:tc>
          <w:tcPr>
            <w:tcW w:type="dxa" w:w="2448"/>
          </w:tcPr>
          <w:p>
            <w:r>
              <w:rPr>
                <w:sz w:val="19"/>
              </w:rPr>
              <w:t>Deployment</w:t>
            </w:r>
          </w:p>
        </w:tc>
        <w:tc>
          <w:tcPr>
            <w:tcW w:type="dxa" w:w="6912"/>
          </w:tcPr>
          <w:p>
            <w:r>
              <w:rPr>
                <w:sz w:val="19"/>
              </w:rPr>
              <w:t>WFLOAD on app tier (run edition); DB-resident definition, not editioned; no service bounce; in-flight item keys retain their start revision</w:t>
            </w:r>
          </w:p>
        </w:tc>
      </w:tr>
    </w:tbl>
    <w:p/>
    <w:p>
      <w:pPr>
        <w:pStyle w:val="Heading2"/>
      </w:pPr>
      <w:r>
        <w:t>6.1 Notification Schedule and CC Rules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40"/>
            <w:shd w:val="clear" w:fill="D9D9D9"/>
          </w:tcPr>
          <w:p>
            <w:r>
              <w:rPr>
                <w:b/>
                <w:sz w:val="19"/>
              </w:rPr>
              <w:t>Doc Type</w:t>
            </w:r>
          </w:p>
        </w:tc>
        <w:tc>
          <w:tcPr>
            <w:tcW w:type="dxa" w:w="3456"/>
            <w:shd w:val="clear" w:fill="D9D9D9"/>
          </w:tcPr>
          <w:p>
            <w:r>
              <w:rPr>
                <w:b/>
                <w:sz w:val="19"/>
              </w:rPr>
              <w:t>Intervals</w:t>
            </w:r>
          </w:p>
        </w:tc>
        <w:tc>
          <w:tcPr>
            <w:tcW w:type="dxa" w:w="2304"/>
            <w:shd w:val="clear" w:fill="D9D9D9"/>
          </w:tcPr>
          <w:p>
            <w:r>
              <w:rPr>
                <w:b/>
                <w:sz w:val="19"/>
              </w:rPr>
              <w:t>To</w:t>
            </w:r>
          </w:p>
        </w:tc>
        <w:tc>
          <w:tcPr>
            <w:tcW w:type="dxa" w:w="2160"/>
            <w:shd w:val="clear" w:fill="D9D9D9"/>
          </w:tcPr>
          <w:p>
            <w:r>
              <w:rPr>
                <w:b/>
                <w:sz w:val="19"/>
              </w:rPr>
              <w:t>CC (DOA Superuser group)</w:t>
            </w:r>
          </w:p>
        </w:tc>
      </w:tr>
      <w:tr>
        <w:tc>
          <w:tcPr>
            <w:tcW w:type="dxa" w:w="1440"/>
          </w:tcPr>
          <w:p>
            <w:r>
              <w:rPr>
                <w:sz w:val="19"/>
              </w:rPr>
              <w:t>EXIT</w:t>
            </w:r>
          </w:p>
        </w:tc>
        <w:tc>
          <w:tcPr>
            <w:tcW w:type="dxa" w:w="3456"/>
          </w:tcPr>
          <w:p>
            <w:r>
              <w:rPr>
                <w:sz w:val="19"/>
              </w:rPr>
              <w:t>DAY_15, DAY_10, DAY_5, LAST_DAY (T−15/−10/−5/0)</w:t>
            </w:r>
          </w:p>
        </w:tc>
        <w:tc>
          <w:tcPr>
            <w:tcW w:type="dxa" w:w="2304"/>
          </w:tcPr>
          <w:p>
            <w:r>
              <w:rPr>
                <w:sz w:val="19"/>
              </w:rPr>
              <w:t>Reporting Manager</w:t>
            </w:r>
          </w:p>
        </w:tc>
        <w:tc>
          <w:tcPr>
            <w:tcW w:type="dxa" w:w="2160"/>
          </w:tcPr>
          <w:p>
            <w:r>
              <w:rPr>
                <w:sz w:val="19"/>
              </w:rPr>
              <w:t>On DAY_5 only</w:t>
            </w:r>
          </w:p>
        </w:tc>
      </w:tr>
      <w:tr>
        <w:tc>
          <w:tcPr>
            <w:tcW w:type="dxa" w:w="1440"/>
          </w:tcPr>
          <w:p>
            <w:r>
              <w:rPr>
                <w:sz w:val="19"/>
              </w:rPr>
              <w:t>MOVEMENT</w:t>
            </w:r>
          </w:p>
        </w:tc>
        <w:tc>
          <w:tcPr>
            <w:tcW w:type="dxa" w:w="3456"/>
          </w:tcPr>
          <w:p>
            <w:r>
              <w:rPr>
                <w:sz w:val="19"/>
              </w:rPr>
              <w:t>DAY_1/5/10/15_AFTER (effective date +1/+5/+10/+15)</w:t>
            </w:r>
          </w:p>
        </w:tc>
        <w:tc>
          <w:tcPr>
            <w:tcW w:type="dxa" w:w="2304"/>
          </w:tcPr>
          <w:p>
            <w:r>
              <w:rPr>
                <w:sz w:val="19"/>
              </w:rPr>
              <w:t>Old RM</w:t>
            </w:r>
          </w:p>
        </w:tc>
        <w:tc>
          <w:tcPr>
            <w:tcW w:type="dxa" w:w="2160"/>
          </w:tcPr>
          <w:p>
            <w:r>
              <w:rPr>
                <w:sz w:val="19"/>
              </w:rPr>
              <w:t>On DAY_10_AFTER only</w:t>
            </w:r>
          </w:p>
        </w:tc>
      </w:tr>
      <w:tr>
        <w:tc>
          <w:tcPr>
            <w:tcW w:type="dxa" w:w="1440"/>
          </w:tcPr>
          <w:p>
            <w:r>
              <w:rPr>
                <w:sz w:val="19"/>
              </w:rPr>
              <w:t>FALLBACK</w:t>
            </w:r>
          </w:p>
        </w:tc>
        <w:tc>
          <w:tcPr>
            <w:tcW w:type="dxa" w:w="3456"/>
          </w:tcPr>
          <w:p>
            <w:r>
              <w:rPr>
                <w:sz w:val="19"/>
              </w:rPr>
              <w:t>Last working day (Exit) / Day-16 cut-off (Movement)</w:t>
            </w:r>
          </w:p>
        </w:tc>
        <w:tc>
          <w:tcPr>
            <w:tcW w:type="dxa" w:w="2304"/>
          </w:tcPr>
          <w:p>
            <w:r>
              <w:rPr>
                <w:sz w:val="19"/>
              </w:rPr>
              <w:t>RM (informed of auto-default)</w:t>
            </w:r>
          </w:p>
        </w:tc>
        <w:tc>
          <w:tcPr>
            <w:tcW w:type="dxa" w:w="2160"/>
          </w:tcPr>
          <w:p>
            <w:r>
              <w:rPr>
                <w:sz w:val="19"/>
              </w:rPr>
              <w:t>—</w:t>
            </w:r>
          </w:p>
        </w:tc>
      </w:tr>
    </w:tbl>
    <w:p/>
    <w:p>
      <w:pPr>
        <w:pStyle w:val="Heading2"/>
      </w:pPr>
      <w:r>
        <w:t>6.2 Suppression / Exception Rules</w:t>
      </w:r>
    </w:p>
    <w:p>
      <w:pPr>
        <w:pStyle w:val="ListBullet"/>
      </w:pPr>
      <w:r>
        <w:t>Replacement already provided — no further notifications.</w:t>
      </w:r>
    </w:p>
    <w:p>
      <w:pPr>
        <w:pStyle w:val="ListBullet"/>
      </w:pPr>
      <w:r>
        <w:t>Backdated Exit/Movement — no notifications; immediate auto-default to RM (prior RM submission honoured: Movement next day, Exit after termination date).</w:t>
      </w:r>
    </w:p>
    <w:p>
      <w:pPr>
        <w:pStyle w:val="ListBullet"/>
      </w:pPr>
      <w:r>
        <w:t>Exit cancelled (date cleared) — notifications stop, replacement nullified.</w:t>
      </w:r>
    </w:p>
    <w:p>
      <w:pPr>
        <w:pStyle w:val="ListBullet"/>
      </w:pPr>
      <w:r>
        <w:t>Postpone — fresh evaluation against new date; old cycle abandoned.</w:t>
      </w:r>
    </w:p>
    <w:p>
      <w:pPr>
        <w:pStyle w:val="ListBullet"/>
      </w:pPr>
      <w:r>
        <w:t>Prepone into notice window — Last-Day notification fired immediately.</w:t>
      </w:r>
    </w:p>
    <w:p>
      <w:pPr>
        <w:pStyle w:val="Heading1"/>
      </w:pPr>
      <w:r>
        <w:t>7. Propagation Engine</w:t>
      </w:r>
    </w:p>
    <w:p>
      <w:pPr>
        <w:pStyle w:val="Heading2"/>
      </w:pPr>
      <w:r>
        <w:t>7.1 Documents in Scope</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fill="D9D9D9"/>
          </w:tcPr>
          <w:p>
            <w:r>
              <w:rPr>
                <w:b/>
                <w:sz w:val="19"/>
              </w:rPr>
              <w:t>Document</w:t>
            </w:r>
          </w:p>
        </w:tc>
        <w:tc>
          <w:tcPr>
            <w:tcW w:type="dxa" w:w="4032"/>
            <w:shd w:val="clear" w:fill="D9D9D9"/>
          </w:tcPr>
          <w:p>
            <w:r>
              <w:rPr>
                <w:b/>
                <w:sz w:val="19"/>
              </w:rPr>
              <w:t>Treated as Open</w:t>
            </w:r>
          </w:p>
        </w:tc>
        <w:tc>
          <w:tcPr>
            <w:tcW w:type="dxa" w:w="3024"/>
            <w:shd w:val="clear" w:fill="D9D9D9"/>
          </w:tcPr>
          <w:p>
            <w:r>
              <w:rPr>
                <w:b/>
                <w:sz w:val="19"/>
              </w:rPr>
              <w:t>Excluded</w:t>
            </w:r>
          </w:p>
        </w:tc>
      </w:tr>
      <w:tr>
        <w:tc>
          <w:tcPr>
            <w:tcW w:type="dxa" w:w="2304"/>
          </w:tcPr>
          <w:p>
            <w:r>
              <w:rPr>
                <w:sz w:val="19"/>
              </w:rPr>
              <w:t>Purchase Requisition</w:t>
            </w:r>
          </w:p>
        </w:tc>
        <w:tc>
          <w:tcPr>
            <w:tcW w:type="dxa" w:w="4032"/>
          </w:tcPr>
          <w:p>
            <w:r>
              <w:rPr>
                <w:sz w:val="19"/>
              </w:rPr>
              <w:t>Approved, Pending Approval / In Process, On Hold, Requires Reapproval</w:t>
            </w:r>
          </w:p>
        </w:tc>
        <w:tc>
          <w:tcPr>
            <w:tcW w:type="dxa" w:w="3024"/>
          </w:tcPr>
          <w:p>
            <w:r>
              <w:rPr>
                <w:sz w:val="19"/>
              </w:rPr>
              <w:t>Cancelled, Rejected, Returned</w:t>
            </w:r>
          </w:p>
        </w:tc>
      </w:tr>
      <w:tr>
        <w:tc>
          <w:tcPr>
            <w:tcW w:type="dxa" w:w="2304"/>
          </w:tcPr>
          <w:p>
            <w:r>
              <w:rPr>
                <w:sz w:val="19"/>
              </w:rPr>
              <w:t>Purchase Order (Standard, Blanket)</w:t>
            </w:r>
          </w:p>
        </w:tc>
        <w:tc>
          <w:tcPr>
            <w:tcW w:type="dxa" w:w="4032"/>
          </w:tcPr>
          <w:p>
            <w:r>
              <w:rPr>
                <w:sz w:val="19"/>
              </w:rPr>
              <w:t>In Process, Approved, Requires Reapproval, On Hold, closure status Open</w:t>
            </w:r>
          </w:p>
        </w:tc>
        <w:tc>
          <w:tcPr>
            <w:tcW w:type="dxa" w:w="3024"/>
          </w:tcPr>
          <w:p>
            <w:r>
              <w:rPr>
                <w:sz w:val="19"/>
              </w:rPr>
              <w:t>Closed, Finally Closed, Cancelled</w:t>
            </w:r>
          </w:p>
        </w:tc>
      </w:tr>
    </w:tbl>
    <w:p/>
    <w:p>
      <w:pPr>
        <w:pStyle w:val="Heading2"/>
      </w:pPr>
      <w:r>
        <w:t>7.2 Update Mechanics</w:t>
      </w:r>
    </w:p>
    <w:p>
      <w:pPr>
        <w:pStyle w:val="ListBullet"/>
      </w:pPr>
      <w:r>
        <w:t>PR: po_requisition_lines_all.to_person_id = new person.</w:t>
      </w:r>
    </w:p>
    <w:p>
      <w:pPr>
        <w:pStyle w:val="ListBullet"/>
      </w:pPr>
      <w:r>
        <w:t>PO Standard: po_distributions_all.deliver_to_person_id; PO Blanket: header agent_id.</w:t>
      </w:r>
    </w:p>
    <w:p>
      <w:pPr>
        <w:pStyle w:val="ListBullet"/>
      </w:pPr>
      <w:r>
        <w:t>QP: dynamic UPDATE over ASI_AP_CSS_DOA_MAPPING_QP for every approver column listed in ASI_FDOA_QP_APPROVER_COLS_LK where value = old person_id; all occurrences updated; approved/cancelled/rejected invoices skipped.</w:t>
      </w:r>
    </w:p>
    <w:p>
      <w:pPr>
        <w:pStyle w:val="ListBullet"/>
      </w:pPr>
      <w:r>
        <w:t>WF: pending notifications reassigned via WF_NOTIFICATION.TRANSFER (v1.2). Notification lookup path: wf_item_activity_statuses (wf_notifications has no item_type/item_key).</w:t>
      </w:r>
    </w:p>
    <w:p>
      <w:pPr>
        <w:pStyle w:val="ListBullet"/>
      </w:pPr>
      <w:r>
        <w:t>Approval flows are NOT re-initiated; only the person identifier changes. Failures are isolated per employee; the batch continues.</w:t>
      </w:r>
    </w:p>
    <w:p>
      <w:pPr>
        <w:pStyle w:val="Heading2"/>
      </w:pPr>
      <w:r>
        <w:t>7.3 Trigger Timing</w:t>
      </w:r>
    </w:p>
    <w:p>
      <w:pPr>
        <w:pStyle w:val="ListBullet"/>
      </w:pPr>
      <w:r>
        <w:t>Exit — day after actual_termination_date (RM-provided, auto-default, or SU override value).</w:t>
      </w:r>
    </w:p>
    <w:p>
      <w:pPr>
        <w:pStyle w:val="ListBullet"/>
      </w:pPr>
      <w:r>
        <w:t>Movement — day after RM submission; Day 17 (effective_date + 17) with RM default when no input.</w:t>
      </w:r>
    </w:p>
    <w:p>
      <w:pPr>
        <w:pStyle w:val="Heading1"/>
      </w:pPr>
      <w:r>
        <w:t>8. BCP / Integration Switch and OU Enablement</w:t>
      </w:r>
    </w:p>
    <w:p>
      <w:pPr>
        <w:pStyle w:val="ListBullet"/>
      </w:pPr>
      <w:r>
        <w:t>ASI_FDOA_INTEG_SWITCH_LK: ON (normal), FUSION_ONLY, OFF — consulted by the detector/propagation layer for DR scenarios.</w:t>
      </w:r>
    </w:p>
    <w:p>
      <w:pPr>
        <w:pStyle w:val="ListBullet"/>
      </w:pPr>
      <w:r>
        <w:t>ASI_FDOA_OU_ENABLE_LK: detector processes only ORG_IDs with an enabled row (ASI_FDOA_UTIL_PKG.IS_OU_ENABLED); enables staggered OPCO go-live. Template row SAMPLE_ORG_ID ships disabled.</w:t>
      </w:r>
    </w:p>
    <w:p>
      <w:pPr>
        <w:pStyle w:val="Heading1"/>
      </w:pPr>
      <w:r>
        <w:t>9. Custom Forms</w:t>
      </w:r>
    </w:p>
    <w:p>
      <w:pPr>
        <w:pStyle w:val="Heading2"/>
      </w:pPr>
      <w:r>
        <w:t>9.1 Build Approach — Headless Forms-XML Pipeline</w:t>
      </w:r>
    </w:p>
    <w:p>
      <w:r>
        <w:rPr>
          <w:b w:val="0"/>
          <w:i w:val="0"/>
          <w:sz w:val="21"/>
        </w:rPr>
        <w:t>All three forms are standalone Forms 10.1.2 modules built without Forms Builder: hand-maintained Forms-XML converted on the application tier with frmxml2f.sh and compiled with frmcmp_batch (userid=apps). Known constraint: frmxml2f cannot rebuild TEMPLATE/APPSTAND-subclassed modules (Jdapi NPE), hence the standalone design — standard EBS toolbar/calendar/folder behaviour is not available; FND_STANDARD.FORM_INFO, APP_STANDARD events and APP_CUSTOM are wired in and the attached libraries (APPCORE, FNDSQF, CUSTOM, etc.) resolve at compile time via FORMS_PATH.</w:t>
      </w:r>
    </w:p>
    <w:p>
      <w:pPr>
        <w:ind w:left="360"/>
      </w:pPr>
      <w:r>
        <w:rPr>
          <w:rFonts w:ascii="Consolas" w:hAnsi="Consolas"/>
          <w:sz w:val="17"/>
        </w:rPr>
        <w:t>export O_JDK_HOME=$ORACLE_HOME/jdk</w:t>
        <w:br/>
        <w:t>export FORMS_API_TK_BYPASS=TRUE</w:t>
        <w:br/>
        <w:t>export FORMS_PATH=$AU_TOP/forms/US:$FORMS_PATH</w:t>
        <w:br/>
        <w:t>frmxml2f.sh OVERWRITE=YES &lt;FORM&gt;.xml</w:t>
        <w:br/>
        <w:t>frmcmp_batch module=&lt;FORM&gt;.fmb userid=apps/*** output_file=&lt;FORM&gt;.fmx \</w:t>
        <w:br/>
        <w:t xml:space="preserve">  module_type=form compile_all=special</w:t>
      </w:r>
    </w:p>
    <w:p>
      <w:r>
        <w:rPr>
          <w:b w:val="0"/>
          <w:i w:val="0"/>
          <w:sz w:val="21"/>
        </w:rPr>
        <w:t>Design rules applied to all three modules: static record groups with explicit columns (query record groups lose their columns in headless conversion), repopulated on every LOV invocation in KEY-LISTVAL via POPULATE_GROUP_WITH_QUERY (values concatenated, not :item binds); LOV column mappings keyed to record-group column names; hidden _PERSON_ID return items; WHO/context from FND_GLOBAL.</w:t>
      </w:r>
    </w:p>
    <w:p>
      <w:pPr>
        <w:pStyle w:val="Heading2"/>
      </w:pPr>
      <w:r>
        <w:t>9.2 ASI_FDOA_EXIT_FMB — RM Exit Replacement</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fill="D9D9D9"/>
          </w:tcPr>
          <w:p>
            <w:r>
              <w:rPr>
                <w:b/>
                <w:sz w:val="19"/>
              </w:rPr>
              <w:t>Item</w:t>
            </w:r>
          </w:p>
        </w:tc>
        <w:tc>
          <w:tcPr>
            <w:tcW w:type="dxa" w:w="2448"/>
            <w:shd w:val="clear" w:fill="D9D9D9"/>
          </w:tcPr>
          <w:p>
            <w:r>
              <w:rPr>
                <w:b/>
                <w:sz w:val="19"/>
              </w:rPr>
              <w:t>Type</w:t>
            </w:r>
          </w:p>
        </w:tc>
        <w:tc>
          <w:tcPr>
            <w:tcW w:type="dxa" w:w="4464"/>
            <w:shd w:val="clear" w:fill="D9D9D9"/>
          </w:tcPr>
          <w:p>
            <w:r>
              <w:rPr>
                <w:b/>
                <w:sz w:val="19"/>
              </w:rPr>
              <w:t>Notes</w:t>
            </w:r>
          </w:p>
        </w:tc>
      </w:tr>
      <w:tr>
        <w:tc>
          <w:tcPr>
            <w:tcW w:type="dxa" w:w="2448"/>
          </w:tcPr>
          <w:p>
            <w:r>
              <w:rPr>
                <w:sz w:val="19"/>
              </w:rPr>
              <w:t>DOC_TYPE_DISPLAY</w:t>
            </w:r>
          </w:p>
        </w:tc>
        <w:tc>
          <w:tcPr>
            <w:tcW w:type="dxa" w:w="2448"/>
          </w:tcPr>
          <w:p>
            <w:r>
              <w:rPr>
                <w:sz w:val="19"/>
              </w:rPr>
              <w:t>Display (Char)</w:t>
            </w:r>
          </w:p>
        </w:tc>
        <w:tc>
          <w:tcPr>
            <w:tcW w:type="dxa" w:w="4464"/>
          </w:tcPr>
          <w:p>
            <w:r>
              <w:rPr>
                <w:sz w:val="19"/>
              </w:rPr>
              <w:t>Fixed 'EXIT' at WHEN-NEW-FORM-INSTANCE</w:t>
            </w:r>
          </w:p>
        </w:tc>
      </w:tr>
      <w:tr>
        <w:tc>
          <w:tcPr>
            <w:tcW w:type="dxa" w:w="2448"/>
          </w:tcPr>
          <w:p>
            <w:r>
              <w:rPr>
                <w:sz w:val="19"/>
              </w:rPr>
              <w:t>OLD_EMPLOYEE_DISP</w:t>
            </w:r>
          </w:p>
        </w:tc>
        <w:tc>
          <w:tcPr>
            <w:tcW w:type="dxa" w:w="2448"/>
          </w:tcPr>
          <w:p>
            <w:r>
              <w:rPr>
                <w:sz w:val="19"/>
              </w:rPr>
              <w:t>Text + LOV_OLD_EMP_EXIT</w:t>
            </w:r>
          </w:p>
        </w:tc>
        <w:tc>
          <w:tcPr>
            <w:tcW w:type="dxa" w:w="4464"/>
          </w:tcPr>
          <w:p>
            <w:r>
              <w:rPr>
                <w:sz w:val="19"/>
              </w:rPr>
              <w:t>Exiting direct reports (supervisor_id = logged person); WVI validates person against ASI_FDOA_EXIT_EMPLOYEES_V</w:t>
            </w:r>
          </w:p>
        </w:tc>
      </w:tr>
      <w:tr>
        <w:tc>
          <w:tcPr>
            <w:tcW w:type="dxa" w:w="2448"/>
          </w:tcPr>
          <w:p>
            <w:r>
              <w:rPr>
                <w:sz w:val="19"/>
              </w:rPr>
              <w:t>ACTUAL_TERM_DATE / DEPARTMENT</w:t>
            </w:r>
          </w:p>
        </w:tc>
        <w:tc>
          <w:tcPr>
            <w:tcW w:type="dxa" w:w="2448"/>
          </w:tcPr>
          <w:p>
            <w:r>
              <w:rPr>
                <w:sz w:val="19"/>
              </w:rPr>
              <w:t>Display</w:t>
            </w:r>
          </w:p>
        </w:tc>
        <w:tc>
          <w:tcPr>
            <w:tcW w:type="dxa" w:w="4464"/>
          </w:tcPr>
          <w:p>
            <w:r>
              <w:rPr>
                <w:sz w:val="19"/>
              </w:rPr>
              <w:t>Returned by LOV</w:t>
            </w:r>
          </w:p>
        </w:tc>
      </w:tr>
      <w:tr>
        <w:tc>
          <w:tcPr>
            <w:tcW w:type="dxa" w:w="2448"/>
          </w:tcPr>
          <w:p>
            <w:r>
              <w:rPr>
                <w:sz w:val="19"/>
              </w:rPr>
              <w:t>NEW_EMPLOYEE_DISP</w:t>
            </w:r>
          </w:p>
        </w:tc>
        <w:tc>
          <w:tcPr>
            <w:tcW w:type="dxa" w:w="2448"/>
          </w:tcPr>
          <w:p>
            <w:r>
              <w:rPr>
                <w:sz w:val="19"/>
              </w:rPr>
              <w:t>Text + LOV_NEW_EMP_RM</w:t>
            </w:r>
          </w:p>
        </w:tc>
        <w:tc>
          <w:tcPr>
            <w:tcW w:type="dxa" w:w="4464"/>
          </w:tcPr>
          <w:p>
            <w:r>
              <w:rPr>
                <w:sz w:val="19"/>
              </w:rPr>
              <w:t>RM direct reports + '*** Self (RM) ***'; WVI blocks Old = New</w:t>
            </w:r>
          </w:p>
        </w:tc>
      </w:tr>
      <w:tr>
        <w:tc>
          <w:tcPr>
            <w:tcW w:type="dxa" w:w="2448"/>
          </w:tcPr>
          <w:p>
            <w:r>
              <w:rPr>
                <w:sz w:val="19"/>
              </w:rPr>
              <w:t>REMARKS</w:t>
            </w:r>
          </w:p>
        </w:tc>
        <w:tc>
          <w:tcPr>
            <w:tcW w:type="dxa" w:w="2448"/>
          </w:tcPr>
          <w:p>
            <w:r>
              <w:rPr>
                <w:sz w:val="19"/>
              </w:rPr>
              <w:t>Text (2000, multiline)</w:t>
            </w:r>
          </w:p>
        </w:tc>
        <w:tc>
          <w:tcPr>
            <w:tcW w:type="dxa" w:w="4464"/>
          </w:tcPr>
          <w:p>
            <w:r>
              <w:rPr>
                <w:sz w:val="19"/>
              </w:rPr>
              <w:t>Optional</w:t>
            </w:r>
          </w:p>
        </w:tc>
      </w:tr>
      <w:tr>
        <w:tc>
          <w:tcPr>
            <w:tcW w:type="dxa" w:w="2448"/>
          </w:tcPr>
          <w:p>
            <w:r>
              <w:rPr>
                <w:sz w:val="19"/>
              </w:rPr>
              <w:t>SAVE_BTN / EXIT_BTN</w:t>
            </w:r>
          </w:p>
        </w:tc>
        <w:tc>
          <w:tcPr>
            <w:tcW w:type="dxa" w:w="2448"/>
          </w:tcPr>
          <w:p>
            <w:r>
              <w:rPr>
                <w:sz w:val="19"/>
              </w:rPr>
              <w:t>Buttons</w:t>
            </w:r>
          </w:p>
        </w:tc>
        <w:tc>
          <w:tcPr>
            <w:tcW w:type="dxa" w:w="4464"/>
          </w:tcPr>
          <w:p>
            <w:r>
              <w:rPr>
                <w:sz w:val="19"/>
              </w:rPr>
              <w:t>Save calls INSERT_REPLACEMENT (p_doc_type='EXIT', p_role='RM'); commit; confirmation with replacement id; clear</w:t>
            </w:r>
          </w:p>
        </w:tc>
      </w:tr>
    </w:tbl>
    <w:p/>
    <w:p>
      <w:pPr>
        <w:pStyle w:val="Heading2"/>
      </w:pPr>
      <w:r>
        <w:t>9.3 ASI_FDOA_MOVEMENT_FMB — RM Movement Replacement</w:t>
      </w:r>
    </w:p>
    <w:p>
      <w:r>
        <w:rPr>
          <w:b w:val="0"/>
          <w:i w:val="0"/>
          <w:sz w:val="21"/>
        </w:rPr>
        <w:t>Structurally identical to the Exit form. Differences: DOC_TYPE_DISPLAY fixed 'MOVEMENT'; LOV_OLD_EMP_MOVE over ASI_FDOA_MOVEMENT_EMP_V (filter old_rm_supervisor_id = logged person) returning EFFECTIVE_DATE, OLD_DEPARTMENT and NEW_DEPARTMENT displays; save calls INSERT_REPLACEMENT with p_doc_type='MOVEMENT'.</w:t>
      </w:r>
    </w:p>
    <w:p>
      <w:pPr>
        <w:pStyle w:val="Heading2"/>
      </w:pPr>
      <w:r>
        <w:t>9.4 ASI_FDOA_SUPERUSER_FMB — Combined Superuser Form</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fill="D9D9D9"/>
          </w:tcPr>
          <w:p>
            <w:r>
              <w:rPr>
                <w:b/>
                <w:sz w:val="19"/>
              </w:rPr>
              <w:t>Item</w:t>
            </w:r>
          </w:p>
        </w:tc>
        <w:tc>
          <w:tcPr>
            <w:tcW w:type="dxa" w:w="2448"/>
            <w:shd w:val="clear" w:fill="D9D9D9"/>
          </w:tcPr>
          <w:p>
            <w:r>
              <w:rPr>
                <w:b/>
                <w:sz w:val="19"/>
              </w:rPr>
              <w:t>Type</w:t>
            </w:r>
          </w:p>
        </w:tc>
        <w:tc>
          <w:tcPr>
            <w:tcW w:type="dxa" w:w="4464"/>
            <w:shd w:val="clear" w:fill="D9D9D9"/>
          </w:tcPr>
          <w:p>
            <w:r>
              <w:rPr>
                <w:b/>
                <w:sz w:val="19"/>
              </w:rPr>
              <w:t>Notes</w:t>
            </w:r>
          </w:p>
        </w:tc>
      </w:tr>
      <w:tr>
        <w:tc>
          <w:tcPr>
            <w:tcW w:type="dxa" w:w="2448"/>
          </w:tcPr>
          <w:p>
            <w:r>
              <w:rPr>
                <w:sz w:val="19"/>
              </w:rPr>
              <w:t>DOC_TYPE</w:t>
            </w:r>
          </w:p>
        </w:tc>
        <w:tc>
          <w:tcPr>
            <w:tcW w:type="dxa" w:w="2448"/>
          </w:tcPr>
          <w:p>
            <w:r>
              <w:rPr>
                <w:sz w:val="19"/>
              </w:rPr>
              <w:t>Text + LOV_DOC_TYPE</w:t>
            </w:r>
          </w:p>
        </w:tc>
        <w:tc>
          <w:tcPr>
            <w:tcW w:type="dxa" w:w="4464"/>
          </w:tcPr>
          <w:p>
            <w:r>
              <w:rPr>
                <w:sz w:val="19"/>
              </w:rPr>
              <w:t>LOV over ASI_FDOA_DOC_TYPE_LK (EXIT/MOVEMENT); defaults EXIT; WVI clears Old/New/Key Date on change</w:t>
            </w:r>
          </w:p>
        </w:tc>
      </w:tr>
      <w:tr>
        <w:tc>
          <w:tcPr>
            <w:tcW w:type="dxa" w:w="2448"/>
          </w:tcPr>
          <w:p>
            <w:r>
              <w:rPr>
                <w:sz w:val="19"/>
              </w:rPr>
              <w:t>OLD_EMPLOYEE_DISP</w:t>
            </w:r>
          </w:p>
        </w:tc>
        <w:tc>
          <w:tcPr>
            <w:tcW w:type="dxa" w:w="2448"/>
          </w:tcPr>
          <w:p>
            <w:r>
              <w:rPr>
                <w:sz w:val="19"/>
              </w:rPr>
              <w:t>Text + LOV_OLD_EMP_SU</w:t>
            </w:r>
          </w:p>
        </w:tc>
        <w:tc>
          <w:tcPr>
            <w:tcW w:type="dxa" w:w="4464"/>
          </w:tcPr>
          <w:p>
            <w:r>
              <w:rPr>
                <w:sz w:val="19"/>
              </w:rPr>
              <w:t>Org-wide; LOV branches on DOC_TYPE (exit view / movement view); returns KEY_DATE</w:t>
            </w:r>
          </w:p>
        </w:tc>
      </w:tr>
      <w:tr>
        <w:tc>
          <w:tcPr>
            <w:tcW w:type="dxa" w:w="2448"/>
          </w:tcPr>
          <w:p>
            <w:r>
              <w:rPr>
                <w:sz w:val="19"/>
              </w:rPr>
              <w:t>KEY_DATE</w:t>
            </w:r>
          </w:p>
        </w:tc>
        <w:tc>
          <w:tcPr>
            <w:tcW w:type="dxa" w:w="2448"/>
          </w:tcPr>
          <w:p>
            <w:r>
              <w:rPr>
                <w:sz w:val="19"/>
              </w:rPr>
              <w:t>Display (Date)</w:t>
            </w:r>
          </w:p>
        </w:tc>
        <w:tc>
          <w:tcPr>
            <w:tcW w:type="dxa" w:w="4464"/>
          </w:tcPr>
          <w:p>
            <w:r>
              <w:rPr>
                <w:sz w:val="19"/>
              </w:rPr>
              <w:t>Termination or effective date</w:t>
            </w:r>
          </w:p>
        </w:tc>
      </w:tr>
      <w:tr>
        <w:tc>
          <w:tcPr>
            <w:tcW w:type="dxa" w:w="2448"/>
          </w:tcPr>
          <w:p>
            <w:r>
              <w:rPr>
                <w:sz w:val="19"/>
              </w:rPr>
              <w:t>NEW_EMPLOYEE_DISP</w:t>
            </w:r>
          </w:p>
        </w:tc>
        <w:tc>
          <w:tcPr>
            <w:tcW w:type="dxa" w:w="2448"/>
          </w:tcPr>
          <w:p>
            <w:r>
              <w:rPr>
                <w:sz w:val="19"/>
              </w:rPr>
              <w:t>Text + LOV_NEW_EMP_SU</w:t>
            </w:r>
          </w:p>
        </w:tc>
        <w:tc>
          <w:tcPr>
            <w:tcW w:type="dxa" w:w="4464"/>
          </w:tcPr>
          <w:p>
            <w:r>
              <w:rPr>
                <w:sz w:val="19"/>
              </w:rPr>
              <w:t>All active employees org-wide (PER_ALL_PEOPLE_F / ASSIGNMENTS, ACTIVE_ASSIGN)</w:t>
            </w:r>
          </w:p>
        </w:tc>
      </w:tr>
      <w:tr>
        <w:tc>
          <w:tcPr>
            <w:tcW w:type="dxa" w:w="2448"/>
          </w:tcPr>
          <w:p>
            <w:r>
              <w:rPr>
                <w:sz w:val="19"/>
              </w:rPr>
              <w:t>REMARKS</w:t>
            </w:r>
          </w:p>
        </w:tc>
        <w:tc>
          <w:tcPr>
            <w:tcW w:type="dxa" w:w="2448"/>
          </w:tcPr>
          <w:p>
            <w:r>
              <w:rPr>
                <w:sz w:val="19"/>
              </w:rPr>
              <w:t>Text (2000, multiline)</w:t>
            </w:r>
          </w:p>
        </w:tc>
        <w:tc>
          <w:tcPr>
            <w:tcW w:type="dxa" w:w="4464"/>
          </w:tcPr>
          <w:p>
            <w:r>
              <w:rPr>
                <w:sz w:val="19"/>
              </w:rPr>
              <w:t>Optional; SU remarks not visible to RM and vice-versa (visibility rule §8.3 SSD)</w:t>
            </w:r>
          </w:p>
        </w:tc>
      </w:tr>
      <w:tr>
        <w:tc>
          <w:tcPr>
            <w:tcW w:type="dxa" w:w="2448"/>
          </w:tcPr>
          <w:p>
            <w:r>
              <w:rPr>
                <w:sz w:val="19"/>
              </w:rPr>
              <w:t>SAVE_BTN / EXIT_BTN</w:t>
            </w:r>
          </w:p>
        </w:tc>
        <w:tc>
          <w:tcPr>
            <w:tcW w:type="dxa" w:w="2448"/>
          </w:tcPr>
          <w:p>
            <w:r>
              <w:rPr>
                <w:sz w:val="19"/>
              </w:rPr>
              <w:t>Buttons</w:t>
            </w:r>
          </w:p>
        </w:tc>
        <w:tc>
          <w:tcPr>
            <w:tcW w:type="dxa" w:w="4464"/>
          </w:tcPr>
          <w:p>
            <w:r>
              <w:rPr>
                <w:sz w:val="19"/>
              </w:rPr>
              <w:t>Save calls OVERRIDE_BY_SUPERUSER; backend enforces EXIT-only within 15-day window (SU_OUTSIDE_OVERRIDE_WINDOW)</w:t>
            </w:r>
          </w:p>
        </w:tc>
      </w:tr>
    </w:tbl>
    <w:p/>
    <w:p>
      <w:pPr>
        <w:pStyle w:val="Heading1"/>
      </w:pPr>
      <w:r>
        <w:t>10. AOL Registration</w:t>
      </w:r>
    </w:p>
    <w:tbl>
      <w:tblPr>
        <w:tblStyle w:val="TableGrid"/>
        <w:tblW w:type="auto" w:w="0"/>
        <w:jc w:val="center"/>
        <w:tblLook w:firstColumn="1" w:firstRow="1" w:lastColumn="0" w:lastRow="0" w:noHBand="0" w:noVBand="1" w:val="04A0"/>
      </w:tblPr>
      <w:tblGrid>
        <w:gridCol w:w="2880"/>
        <w:gridCol w:w="2880"/>
        <w:gridCol w:w="2880"/>
      </w:tblGrid>
      <w:tr>
        <w:tc>
          <w:tcPr>
            <w:tcW w:type="dxa" w:w="1584"/>
            <w:shd w:val="clear" w:fill="D9D9D9"/>
          </w:tcPr>
          <w:p>
            <w:r>
              <w:rPr>
                <w:b/>
                <w:sz w:val="19"/>
              </w:rPr>
              <w:t>Object</w:t>
            </w:r>
          </w:p>
        </w:tc>
        <w:tc>
          <w:tcPr>
            <w:tcW w:type="dxa" w:w="3456"/>
            <w:shd w:val="clear" w:fill="D9D9D9"/>
          </w:tcPr>
          <w:p>
            <w:r>
              <w:rPr>
                <w:b/>
                <w:sz w:val="19"/>
              </w:rPr>
              <w:t>Name</w:t>
            </w:r>
          </w:p>
        </w:tc>
        <w:tc>
          <w:tcPr>
            <w:tcW w:type="dxa" w:w="4320"/>
            <w:shd w:val="clear" w:fill="D9D9D9"/>
          </w:tcPr>
          <w:p>
            <w:r>
              <w:rPr>
                <w:b/>
                <w:sz w:val="19"/>
              </w:rPr>
              <w:t>Detail</w:t>
            </w:r>
          </w:p>
        </w:tc>
      </w:tr>
      <w:tr>
        <w:tc>
          <w:tcPr>
            <w:tcW w:type="dxa" w:w="1584"/>
          </w:tcPr>
          <w:p>
            <w:r>
              <w:rPr>
                <w:sz w:val="19"/>
              </w:rPr>
              <w:t>Forms (3)</w:t>
            </w:r>
          </w:p>
        </w:tc>
        <w:tc>
          <w:tcPr>
            <w:tcW w:type="dxa" w:w="3456"/>
          </w:tcPr>
          <w:p>
            <w:r>
              <w:rPr>
                <w:sz w:val="19"/>
              </w:rPr>
              <w:t>ASI_FDOA_{EXIT,MOVEMENT,SUPERUSER}_FMB</w:t>
            </w:r>
          </w:p>
        </w:tc>
        <w:tc>
          <w:tcPr>
            <w:tcW w:type="dxa" w:w="4320"/>
          </w:tcPr>
          <w:p>
            <w:r>
              <w:rPr>
                <w:sz w:val="19"/>
              </w:rPr>
              <w:t>Application BTVL; .fmx in $BTVL_TOP/forms/US</w:t>
            </w:r>
          </w:p>
        </w:tc>
      </w:tr>
      <w:tr>
        <w:tc>
          <w:tcPr>
            <w:tcW w:type="dxa" w:w="1584"/>
          </w:tcPr>
          <w:p>
            <w:r>
              <w:rPr>
                <w:sz w:val="19"/>
              </w:rPr>
              <w:t>Functions (3)</w:t>
            </w:r>
          </w:p>
        </w:tc>
        <w:tc>
          <w:tcPr>
            <w:tcW w:type="dxa" w:w="3456"/>
          </w:tcPr>
          <w:p>
            <w:r>
              <w:rPr>
                <w:sz w:val="19"/>
              </w:rPr>
              <w:t>ASI_FDOA_{EXIT,MOVEMENT,SUPERUSER}_FN</w:t>
            </w:r>
          </w:p>
        </w:tc>
        <w:tc>
          <w:tcPr>
            <w:tcW w:type="dxa" w:w="4320"/>
          </w:tcPr>
          <w:p>
            <w:r>
              <w:rPr>
                <w:sz w:val="19"/>
              </w:rPr>
              <w:t>Type FORM; context dependence RESP</w:t>
            </w:r>
          </w:p>
        </w:tc>
      </w:tr>
      <w:tr>
        <w:tc>
          <w:tcPr>
            <w:tcW w:type="dxa" w:w="1584"/>
          </w:tcPr>
          <w:p>
            <w:r>
              <w:rPr>
                <w:sz w:val="19"/>
              </w:rPr>
              <w:t>Menu</w:t>
            </w:r>
          </w:p>
        </w:tc>
        <w:tc>
          <w:tcPr>
            <w:tcW w:type="dxa" w:w="3456"/>
          </w:tcPr>
          <w:p>
            <w:r>
              <w:rPr>
                <w:sz w:val="19"/>
              </w:rPr>
              <w:t>ASI_FDOA_MGR_MN</w:t>
            </w:r>
          </w:p>
        </w:tc>
        <w:tc>
          <w:tcPr>
            <w:tcW w:type="dxa" w:w="4320"/>
          </w:tcPr>
          <w:p>
            <w:r>
              <w:rPr>
                <w:sz w:val="19"/>
              </w:rPr>
              <w:t>Entries: Exit Replacement, Movement Replacement</w:t>
            </w:r>
          </w:p>
        </w:tc>
      </w:tr>
      <w:tr>
        <w:tc>
          <w:tcPr>
            <w:tcW w:type="dxa" w:w="1584"/>
          </w:tcPr>
          <w:p>
            <w:r>
              <w:rPr>
                <w:sz w:val="19"/>
              </w:rPr>
              <w:t>Menu</w:t>
            </w:r>
          </w:p>
        </w:tc>
        <w:tc>
          <w:tcPr>
            <w:tcW w:type="dxa" w:w="3456"/>
          </w:tcPr>
          <w:p>
            <w:r>
              <w:rPr>
                <w:sz w:val="19"/>
              </w:rPr>
              <w:t>ASI_FDOA_SU_MN</w:t>
            </w:r>
          </w:p>
        </w:tc>
        <w:tc>
          <w:tcPr>
            <w:tcW w:type="dxa" w:w="4320"/>
          </w:tcPr>
          <w:p>
            <w:r>
              <w:rPr>
                <w:sz w:val="19"/>
              </w:rPr>
              <w:t>Entry: Superuser Replacement</w:t>
            </w:r>
          </w:p>
        </w:tc>
      </w:tr>
      <w:tr>
        <w:tc>
          <w:tcPr>
            <w:tcW w:type="dxa" w:w="1584"/>
          </w:tcPr>
          <w:p>
            <w:r>
              <w:rPr>
                <w:sz w:val="19"/>
              </w:rPr>
              <w:t>Attach</w:t>
            </w:r>
          </w:p>
        </w:tc>
        <w:tc>
          <w:tcPr>
            <w:tcW w:type="dxa" w:w="3456"/>
          </w:tcPr>
          <w:p>
            <w:r>
              <w:rPr>
                <w:sz w:val="19"/>
              </w:rPr>
              <w:t>Airtel Africa Manager Responsibility Approvals</w:t>
            </w:r>
          </w:p>
        </w:tc>
        <w:tc>
          <w:tcPr>
            <w:tcW w:type="dxa" w:w="4320"/>
          </w:tcPr>
          <w:p>
            <w:r>
              <w:rPr>
                <w:sz w:val="19"/>
              </w:rPr>
              <w:t>Root menu += ASI_FDOA_MGR_MN, prompt 'ASI FDOA Replacement'</w:t>
            </w:r>
          </w:p>
        </w:tc>
      </w:tr>
      <w:tr>
        <w:tc>
          <w:tcPr>
            <w:tcW w:type="dxa" w:w="1584"/>
          </w:tcPr>
          <w:p>
            <w:r>
              <w:rPr>
                <w:sz w:val="19"/>
              </w:rPr>
              <w:t>Attach</w:t>
            </w:r>
          </w:p>
        </w:tc>
        <w:tc>
          <w:tcPr>
            <w:tcW w:type="dxa" w:w="3456"/>
          </w:tcPr>
          <w:p>
            <w:r>
              <w:rPr>
                <w:sz w:val="19"/>
              </w:rPr>
              <w:t>ASI Invoice DOA Access</w:t>
            </w:r>
          </w:p>
        </w:tc>
        <w:tc>
          <w:tcPr>
            <w:tcW w:type="dxa" w:w="4320"/>
          </w:tcPr>
          <w:p>
            <w:r>
              <w:rPr>
                <w:sz w:val="19"/>
              </w:rPr>
              <w:t>Root menu += ASI_FDOA_SU_MN, prompt 'ASI FDOA Replacement'</w:t>
            </w:r>
          </w:p>
        </w:tc>
      </w:tr>
      <w:tr>
        <w:tc>
          <w:tcPr>
            <w:tcW w:type="dxa" w:w="1584"/>
          </w:tcPr>
          <w:p>
            <w:r>
              <w:rPr>
                <w:sz w:val="19"/>
              </w:rPr>
              <w:t>Post-step</w:t>
            </w:r>
          </w:p>
        </w:tc>
        <w:tc>
          <w:tcPr>
            <w:tcW w:type="dxa" w:w="3456"/>
          </w:tcPr>
          <w:p>
            <w:r>
              <w:rPr>
                <w:sz w:val="19"/>
              </w:rPr>
              <w:t>Compile Security (FNDSCMPI)</w:t>
            </w:r>
          </w:p>
        </w:tc>
        <w:tc>
          <w:tcPr>
            <w:tcW w:type="dxa" w:w="4320"/>
          </w:tcPr>
          <w:p>
            <w:r>
              <w:rPr>
                <w:sz w:val="19"/>
              </w:rPr>
              <w:t>Submitted after attach</w:t>
            </w:r>
          </w:p>
        </w:tc>
      </w:tr>
    </w:tbl>
    <w:p/>
    <w:p>
      <w:r>
        <w:rPr>
          <w:b w:val="0"/>
          <w:i w:val="0"/>
          <w:sz w:val="21"/>
        </w:rPr>
        <w:t>Registered via asi_fdoa_aol_access.sql (idempotent, self-reporting). Instance specifics: FND_MENUS has no MENU_TYPE column; responsibility lookup must use responsibility_name via FND_RESPONSIBILITY_VL.</w:t>
      </w:r>
    </w:p>
    <w:p>
      <w:pPr>
        <w:pStyle w:val="Heading1"/>
      </w:pPr>
      <w:r>
        <w:t>11. Error Handling and Logging</w:t>
      </w:r>
    </w:p>
    <w:p>
      <w:pPr>
        <w:pStyle w:val="ListBullet"/>
      </w:pPr>
      <w:r>
        <w:t>Concurrent programs: FND_FILE run-level summary; verbose per-employee lines in DEBUG mode.</w:t>
      </w:r>
    </w:p>
    <w:p>
      <w:pPr>
        <w:pStyle w:val="ListBullet"/>
      </w:pPr>
      <w:r>
        <w:t>ASI_FDOA_PROCESSING_LOG_TBL: per-run statistics (candidates, notifications, updates, errors).</w:t>
      </w:r>
    </w:p>
    <w:p>
      <w:pPr>
        <w:pStyle w:val="ListBullet"/>
      </w:pPr>
      <w:r>
        <w:t>ASI_FDOA_NOTIFICATION_LOG_TBL: per-notification record = idempotency key (no duplicate person+interval).</w:t>
      </w:r>
    </w:p>
    <w:p>
      <w:pPr>
        <w:pStyle w:val="ListBullet"/>
      </w:pPr>
      <w:r>
        <w:t>Propagation failures isolated per employee; workflow errors via WF Background Engine retry.</w:t>
      </w:r>
    </w:p>
    <w:p>
      <w:pPr>
        <w:pStyle w:val="ListBullet"/>
      </w:pPr>
      <w:r>
        <w:t>Forms: user errors raised via FND_MESSAGE with 'CR# 2026-02-0585' prefix; unexpected errors rolled back and surfaced from SQLERRM.</w:t>
      </w:r>
    </w:p>
    <w:p>
      <w:pPr>
        <w:pStyle w:val="Heading1"/>
      </w:pPr>
      <w:r>
        <w:t>12. Deployment and Rollback</w:t>
      </w:r>
    </w:p>
    <w:p>
      <w:pPr>
        <w:pStyle w:val="Heading2"/>
      </w:pPr>
      <w:r>
        <w:t>12.1 Clean Install Order</w:t>
      </w:r>
    </w:p>
    <w:p>
      <w:pPr>
        <w:ind w:left="360"/>
      </w:pPr>
      <w:r>
        <w:rPr>
          <w:rFonts w:ascii="Consolas" w:hAnsi="Consolas"/>
          <w:sz w:val="17"/>
        </w:rPr>
        <w:t>STEP 1   as APPS   @teardown_apps.sql         (skip on clean schema)</w:t>
        <w:br/>
        <w:t>STEP 2   as BTVL   @teardown_btvl.sql         (skip on clean schema)</w:t>
        <w:br/>
        <w:t>STEP 3   as BTVL   @deploy_btvl_clean.sql     2 seq, 4 tbl, 2 idx, grants</w:t>
        <w:br/>
        <w:t>STEP 3b  as BTVL   @regrant_btvl.sql</w:t>
        <w:br/>
        <w:t>STEP 4   as APPS   @deploy_apps_clean.sql     synonyms, trigger, lookups, VS, views, pkgs, CPs</w:t>
        <w:br/>
        <w:t>STEP 5   as APPS   @post_install_checks.sql   expect 0 invalid; counts as inventory</w:t>
        <w:br/>
        <w:t>STEP 6   app tier  WFLOAD apps/*** 0 Y UPLOAD ASIFDOAN.wft</w:t>
        <w:br/>
        <w:t>STEP 7   app tier  forms pipeline (see 9.1) x3 ; cp *.fmx $BTVL_TOP/forms/US/</w:t>
        <w:br/>
        <w:t>STEP 8   as APPS   @asi_fdoa_aol_access.sql ; Compile Security</w:t>
        <w:br/>
        <w:t>STEP 9   SRS       schedule ASIFDOANOTIF 12:00 / ASIFDOAPRPO 00:30 / ASIFDOAQP 00:35</w:t>
      </w:r>
    </w:p>
    <w:p>
      <w:r>
        <w:rPr>
          <w:b w:val="0"/>
          <w:i w:val="0"/>
          <w:sz w:val="21"/>
        </w:rPr>
        <w:t>All BTVL/APPS steps must run on the same database. Workflow definitions are DB-resident (not editioned): run-edition load or hotpatch when shipped inside a patch; no oacore/apache bounce; in-flight items keep their start revision.</w:t>
      </w:r>
    </w:p>
    <w:p>
      <w:pPr>
        <w:pStyle w:val="Heading2"/>
      </w:pPr>
      <w:r>
        <w:t>12.2 Rollback</w:t>
      </w:r>
    </w:p>
    <w:p>
      <w:pPr>
        <w:pStyle w:val="ListBullet"/>
      </w:pPr>
      <w:r>
        <w:t>DB: teardown_apps.sql + teardown_btvl.sql (full removal) or re-run prior deploy scripts.</w:t>
      </w:r>
    </w:p>
    <w:p>
      <w:pPr>
        <w:pStyle w:val="ListBullet"/>
      </w:pPr>
      <w:r>
        <w:t>Workflow: reload the previously DOWNLOADed ASIFDOAN.wft (always capture current definition before load).</w:t>
      </w:r>
    </w:p>
    <w:p>
      <w:pPr>
        <w:pStyle w:val="ListBullet"/>
      </w:pPr>
      <w:r>
        <w:t>Forms: remove .fmx from $BTVL_TOP/forms/US; AOL entries are idempotent rows that can be end-dated/deleted by reversing asi_fdoa_aol_access.sql inserts.</w:t>
      </w:r>
    </w:p>
    <w:p>
      <w:pPr>
        <w:pStyle w:val="ListBullet"/>
      </w:pPr>
      <w:r>
        <w:t>CP schedules: cancel pending scheduled requests.</w:t>
      </w:r>
    </w:p>
    <w:p>
      <w:pPr>
        <w:pStyle w:val="Heading1"/>
      </w:pPr>
      <w:r>
        <w:t>13. Environment Notes / Known Instance Quirks (FINUAT)</w:t>
      </w:r>
    </w:p>
    <w:p>
      <w:pPr>
        <w:pStyle w:val="ListBullet"/>
      </w:pPr>
      <w:r>
        <w:t>SQL Developer Run Script (F5): scripts must be fully inline — no PROMPT, no @@ includes; WHENEVER SQLERROR CONTINUE; self-reporting OK-/FAIL- blocks.</w:t>
      </w:r>
    </w:p>
    <w:p>
      <w:pPr>
        <w:pStyle w:val="ListBullet"/>
      </w:pPr>
      <w:r>
        <w:t>BTVL schema locked down: no user_objects/dba_objects access — checks use explicit object names.</w:t>
      </w:r>
    </w:p>
    <w:p>
      <w:pPr>
        <w:pStyle w:val="ListBullet"/>
      </w:pPr>
      <w:r>
        <w:t>GRANT ... TO APPS must run as BTVL (ORA-01749 otherwise); no storage clauses anywhere.</w:t>
      </w:r>
    </w:p>
    <w:p>
      <w:pPr>
        <w:pStyle w:val="ListBullet"/>
      </w:pPr>
      <w:r>
        <w:t>FND_LOOKUP_TYPES is base + _TL on this instance; value sets need PROTECTED_FLAG and SECURITY_ENABLED_FLAG; table-validated sets need COMPILED_ATTRIBUTE_COLUMN_NAME (hence independent ASI_FDOA_DOC_TYPE_VS).</w:t>
      </w:r>
    </w:p>
    <w:p>
      <w:pPr>
        <w:pStyle w:val="ListBullet"/>
      </w:pPr>
      <w:r>
        <w:t>FND_PROGRAM.register: style=&gt;/output_type=&gt;, application =&gt; display name from fnd_application_vl; parameter token=&gt;NULL; display_size &lt;= value-set maximum_size.</w:t>
      </w:r>
    </w:p>
    <w:p>
      <w:pPr>
        <w:pStyle w:val="ListBullet"/>
      </w:pPr>
      <w:r>
        <w:t>FND_MENUS has no MENU_TYPE column; responsibility attach via responsibility_name (FND_RESPONSIBILITY_VL).</w:t>
      </w:r>
    </w:p>
    <w:p>
      <w:pPr>
        <w:pStyle w:val="ListBullet"/>
      </w:pPr>
      <w:r>
        <w:t>WF Builder 2.6.3 cannot connect to 19c (ORA-28040) — offline edits + WFLOAD only; VARCHAR2 attribute format cap 4000.</w:t>
      </w:r>
    </w:p>
    <w:p>
      <w:pPr>
        <w:pStyle w:val="ListBullet"/>
      </w:pPr>
      <w:r>
        <w:t>frmxml2f cannot rebuild EBS-template (APPSTAND-subclassed) forms — standalone form design is mandatory for the headless pipeline.</w:t>
      </w:r>
    </w:p>
    <w:p>
      <w:pPr>
        <w:pStyle w:val="Heading1"/>
      </w:pPr>
      <w:r>
        <w:t>14. Open Items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52"/>
            <w:shd w:val="clear" w:fill="D9D9D9"/>
          </w:tcPr>
          <w:p>
            <w:r>
              <w:rPr>
                <w:b/>
                <w:sz w:val="19"/>
              </w:rPr>
              <w:t>#</w:t>
            </w:r>
          </w:p>
        </w:tc>
        <w:tc>
          <w:tcPr>
            <w:tcW w:type="dxa" w:w="4320"/>
            <w:shd w:val="clear" w:fill="D9D9D9"/>
          </w:tcPr>
          <w:p>
            <w:r>
              <w:rPr>
                <w:b/>
                <w:sz w:val="19"/>
              </w:rPr>
              <w:t>Item</w:t>
            </w:r>
          </w:p>
        </w:tc>
        <w:tc>
          <w:tcPr>
            <w:tcW w:type="dxa" w:w="1872"/>
            <w:shd w:val="clear" w:fill="D9D9D9"/>
          </w:tcPr>
          <w:p>
            <w:r>
              <w:rPr>
                <w:b/>
                <w:sz w:val="19"/>
              </w:rPr>
              <w:t>Owner</w:t>
            </w:r>
          </w:p>
        </w:tc>
        <w:tc>
          <w:tcPr>
            <w:tcW w:type="dxa" w:w="2016"/>
            <w:shd w:val="clear" w:fill="D9D9D9"/>
          </w:tcPr>
          <w:p>
            <w:r>
              <w:rPr>
                <w:b/>
                <w:sz w:val="19"/>
              </w:rPr>
              <w:t>Status</w:t>
            </w:r>
          </w:p>
        </w:tc>
      </w:tr>
      <w:tr>
        <w:tc>
          <w:tcPr>
            <w:tcW w:type="dxa" w:w="1152"/>
          </w:tcPr>
          <w:p>
            <w:r>
              <w:rPr>
                <w:sz w:val="19"/>
              </w:rPr>
              <w:t>O1 / #4</w:t>
            </w:r>
          </w:p>
        </w:tc>
        <w:tc>
          <w:tcPr>
            <w:tcW w:type="dxa" w:w="4320"/>
          </w:tcPr>
          <w:p>
            <w:r>
              <w:rPr>
                <w:sz w:val="19"/>
              </w:rPr>
              <w:t>Seed ASI_FDOA_QP_APPROVER_COLS_LK from actual ASI_AP_CSS_DOA_MAPPING_QP column names</w:t>
            </w:r>
          </w:p>
        </w:tc>
        <w:tc>
          <w:tcPr>
            <w:tcW w:type="dxa" w:w="1872"/>
          </w:tcPr>
          <w:p>
            <w:r>
              <w:rPr>
                <w:sz w:val="19"/>
              </w:rPr>
              <w:t>Functional / Tech</w:t>
            </w:r>
          </w:p>
        </w:tc>
        <w:tc>
          <w:tcPr>
            <w:tcW w:type="dxa" w:w="2016"/>
          </w:tcPr>
          <w:p>
            <w:r>
              <w:rPr>
                <w:sz w:val="19"/>
              </w:rPr>
              <w:t>Parked until QP object exists in instance</w:t>
            </w:r>
          </w:p>
        </w:tc>
      </w:tr>
      <w:tr>
        <w:tc>
          <w:tcPr>
            <w:tcW w:type="dxa" w:w="1152"/>
          </w:tcPr>
          <w:p>
            <w:r>
              <w:rPr>
                <w:sz w:val="19"/>
              </w:rPr>
              <w:t>#6</w:t>
            </w:r>
          </w:p>
        </w:tc>
        <w:tc>
          <w:tcPr>
            <w:tcW w:type="dxa" w:w="4320"/>
          </w:tcPr>
          <w:p>
            <w:r>
              <w:rPr>
                <w:sz w:val="19"/>
              </w:rPr>
              <w:t>Execute SRS schedules (12:00 / 00:30 / 00:35)</w:t>
            </w:r>
          </w:p>
        </w:tc>
        <w:tc>
          <w:tcPr>
            <w:tcW w:type="dxa" w:w="1872"/>
          </w:tcPr>
          <w:p>
            <w:r>
              <w:rPr>
                <w:sz w:val="19"/>
              </w:rPr>
              <w:t>DBA / Tech</w:t>
            </w:r>
          </w:p>
        </w:tc>
        <w:tc>
          <w:tcPr>
            <w:tcW w:type="dxa" w:w="2016"/>
          </w:tcPr>
          <w:p>
            <w:r>
              <w:rPr>
                <w:sz w:val="19"/>
              </w:rPr>
              <w:t>Steps provided</w:t>
            </w:r>
          </w:p>
        </w:tc>
      </w:tr>
      <w:tr>
        <w:tc>
          <w:tcPr>
            <w:tcW w:type="dxa" w:w="1152"/>
          </w:tcPr>
          <w:p>
            <w:r>
              <w:rPr>
                <w:sz w:val="19"/>
              </w:rPr>
              <w:t>#7</w:t>
            </w:r>
          </w:p>
        </w:tc>
        <w:tc>
          <w:tcPr>
            <w:tcW w:type="dxa" w:w="4320"/>
          </w:tcPr>
          <w:p>
            <w:r>
              <w:rPr>
                <w:sz w:val="19"/>
              </w:rPr>
              <w:t>Enable live ORG_IDs in ASI_FDOA_OU_ENABLE_LK</w:t>
            </w:r>
          </w:p>
        </w:tc>
        <w:tc>
          <w:tcPr>
            <w:tcW w:type="dxa" w:w="1872"/>
          </w:tcPr>
          <w:p>
            <w:r>
              <w:rPr>
                <w:sz w:val="19"/>
              </w:rPr>
              <w:t>Business / Tech</w:t>
            </w:r>
          </w:p>
        </w:tc>
        <w:tc>
          <w:tcPr>
            <w:tcW w:type="dxa" w:w="2016"/>
          </w:tcPr>
          <w:p>
            <w:r>
              <w:rPr>
                <w:sz w:val="19"/>
              </w:rPr>
              <w:t>At go-live</w:t>
            </w:r>
          </w:p>
        </w:tc>
      </w:tr>
      <w:tr>
        <w:tc>
          <w:tcPr>
            <w:tcW w:type="dxa" w:w="1152"/>
          </w:tcPr>
          <w:p>
            <w:r>
              <w:rPr>
                <w:sz w:val="19"/>
              </w:rPr>
              <w:t>O2</w:t>
            </w:r>
          </w:p>
        </w:tc>
        <w:tc>
          <w:tcPr>
            <w:tcW w:type="dxa" w:w="4320"/>
          </w:tcPr>
          <w:p>
            <w:r>
              <w:rPr>
                <w:sz w:val="19"/>
              </w:rPr>
              <w:t>'Long leave' threshold for RM-inactive rule</w:t>
            </w:r>
          </w:p>
        </w:tc>
        <w:tc>
          <w:tcPr>
            <w:tcW w:type="dxa" w:w="1872"/>
          </w:tcPr>
          <w:p>
            <w:r>
              <w:rPr>
                <w:sz w:val="19"/>
              </w:rPr>
              <w:t>Business</w:t>
            </w:r>
          </w:p>
        </w:tc>
        <w:tc>
          <w:tcPr>
            <w:tcW w:type="dxa" w:w="2016"/>
          </w:tcPr>
          <w:p>
            <w:r>
              <w:rPr>
                <w:sz w:val="19"/>
              </w:rPr>
              <w:t>Open</w:t>
            </w:r>
          </w:p>
        </w:tc>
      </w:tr>
      <w:tr>
        <w:tc>
          <w:tcPr>
            <w:tcW w:type="dxa" w:w="1152"/>
          </w:tcPr>
          <w:p>
            <w:r>
              <w:rPr>
                <w:sz w:val="19"/>
              </w:rPr>
              <w:t>O3</w:t>
            </w:r>
          </w:p>
        </w:tc>
        <w:tc>
          <w:tcPr>
            <w:tcW w:type="dxa" w:w="4320"/>
          </w:tcPr>
          <w:p>
            <w:r>
              <w:rPr>
                <w:sz w:val="19"/>
              </w:rPr>
              <w:t>Blanket Releases in scope for requestor update?</w:t>
            </w:r>
          </w:p>
        </w:tc>
        <w:tc>
          <w:tcPr>
            <w:tcW w:type="dxa" w:w="1872"/>
          </w:tcPr>
          <w:p>
            <w:r>
              <w:rPr>
                <w:sz w:val="19"/>
              </w:rPr>
              <w:t>Business</w:t>
            </w:r>
          </w:p>
        </w:tc>
        <w:tc>
          <w:tcPr>
            <w:tcW w:type="dxa" w:w="2016"/>
          </w:tcPr>
          <w:p>
            <w:r>
              <w:rPr>
                <w:sz w:val="19"/>
              </w:rPr>
              <w:t>Open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CR# 2026-02-0585  —  Low Level Design  v1.0    |    Page </w:t>
    </w:r>
    <w:r>
      <w:rPr>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7"/>
      </w:rPr>
      <w:t>Airtel Africa  |  CR# 2026-02-0585  Exit and Movement of Employee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C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C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