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ami-reconciliation-initial-report"/>
    <w:p>
      <w:pPr>
        <w:pStyle w:val="Heading1"/>
      </w:pPr>
      <w:r>
        <w:t xml:space="preserve">AMI Reconciliation Initial Report</w:t>
      </w:r>
    </w:p>
    <w:bookmarkStart w:id="21" w:name="how-the-four-documents-fit-together"/>
    <w:p>
      <w:pPr>
        <w:pStyle w:val="Heading2"/>
      </w:pPr>
      <w:r>
        <w:t xml:space="preserve">How the four documents fit together</w:t>
      </w:r>
    </w:p>
    <w:p>
      <w:pPr>
        <w:pStyle w:val="FirstParagraph"/>
      </w:pPr>
      <w:r>
        <w:t xml:space="preserve">Taken together, the four documents describe one system, but not one flat implementation backlog. The whitepaper is the constitutional and scientific frame for AMI as a governed research system; the artifact protocol is the canonical reconstruction and reconciliation layer that decides what counts as current truth in the repository; the forward observatory is the orderless, forward-evidence capture layer; and the chart-native extension is a proposed research extension that should sit on top of already-stable event, cycle, timing, and evidence infrastructure rather than bypass it. The documents are therefore complementary, but only if they are read in precedence order instead of as simultaneous build demands. fileciteturn0file0L59-L60 fileciteturn0file1L50-L67 fileciteturn0file2L5-L10 fileciteturn0file3L7-L11</w:t>
      </w:r>
    </w:p>
    <w:p>
      <w:pPr>
        <w:pStyle w:val="BodyText"/>
      </w:pPr>
      <w:r>
        <w:t xml:space="preserve">The strongest reconciliation rule is the one the user already proposed, and the documents largely support it: frozen experiment specification and decision records should outrank mutable narrative summaries; the artifact protocol should govern canonical selection, supersession, lineage, and contradiction preservation; the whitepaper should govern evidence hierarchy, permissions, benchmarks, question-family logic, and general build philosophy; the forward observatory should govern orderless forward collection and forward-facing dashboards; and the chart-native file should be treated as a proposed extension that explicitly depends on the parent whitepaper and instructs the implementer to read the whitepaper, artifact protocol, and forward observatory first. fileciteturn0file1L376-L440 fileciteturn0file0L4755-L4818 fileciteturn0file3L8-L11 fileciteturn0file3L2118-L2145</w:t>
      </w:r>
    </w:p>
    <w:p>
      <w:pPr>
        <w:pStyle w:val="BodyText"/>
      </w:pPr>
      <w:r>
        <w:t xml:space="preserve">A practical precedence stack for these four documents is therefore: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Effective authority</w:t>
            </w:r>
          </w:p>
        </w:tc>
        <w:tc>
          <w:tcPr/>
          <w:p>
            <w:pPr>
              <w:pStyle w:val="Compact"/>
            </w:pPr>
            <w:r>
              <w:t xml:space="preserve">Dominant classification</w:t>
            </w:r>
          </w:p>
        </w:tc>
        <w:tc>
          <w:tcPr/>
          <w:p>
            <w:pPr>
              <w:pStyle w:val="Compact"/>
            </w:pPr>
            <w:r>
              <w:t xml:space="preserve">What it should not be allowed to do</w:t>
            </w:r>
          </w:p>
        </w:tc>
      </w:tr>
      <w:tr>
        <w:tc>
          <w:tcPr/>
          <w:p>
            <w:pPr>
              <w:pStyle w:val="Compact"/>
            </w:pPr>
            <w:r>
              <w:rPr>
                <w:b/>
                <w:bCs/>
              </w:rPr>
              <w:t xml:space="preserve">AMI Whitepaper</w:t>
            </w:r>
          </w:p>
        </w:tc>
        <w:tc>
          <w:tcPr/>
          <w:p>
            <w:pPr>
              <w:pStyle w:val="Compact"/>
            </w:pPr>
            <w:r>
              <w:t xml:space="preserve">Governs constitutional principles, evidence ladder, knowledge model, question families, validation ladder, benchmark expectations, and broad implementation order. fileciteturn0file0L4755-L4818 fileciteturn0file0L6495-L6609</w:t>
            </w:r>
          </w:p>
        </w:tc>
        <w:tc>
          <w:tcPr/>
          <w:p>
            <w:pPr>
              <w:pStyle w:val="Compact"/>
            </w:pPr>
            <w:r>
              <w:rPr>
                <w:rStyle w:val="VerbatimChar"/>
              </w:rPr>
              <w:t xml:space="preserve">CONSTITUTIONAL_REQUIREMENT</w:t>
            </w:r>
            <w:r>
              <w:t xml:space="preserve">,</w:t>
            </w:r>
            <w:r>
              <w:t xml:space="preserve"> </w:t>
            </w:r>
            <w:r>
              <w:rPr>
                <w:rStyle w:val="VerbatimChar"/>
              </w:rPr>
              <w:t xml:space="preserve">ENGINEERING_FOUNDATION</w:t>
            </w:r>
            <w:r>
              <w:t xml:space="preserve">,</w:t>
            </w:r>
            <w:r>
              <w:t xml:space="preserve"> </w:t>
            </w:r>
            <w:r>
              <w:rPr>
                <w:rStyle w:val="VerbatimChar"/>
              </w:rPr>
              <w:t xml:space="preserve">HISTORICAL_RESEARCH</w:t>
            </w:r>
            <w:r>
              <w:t xml:space="preserve">,</w:t>
            </w:r>
            <w:r>
              <w:t xml:space="preserve"> </w:t>
            </w:r>
            <w:r>
              <w:rPr>
                <w:rStyle w:val="VerbatimChar"/>
              </w:rPr>
              <w:t xml:space="preserve">FORWARD_OBSERVER</w:t>
            </w:r>
            <w:r>
              <w:t xml:space="preserve">,</w:t>
            </w:r>
            <w:r>
              <w:t xml:space="preserve"> </w:t>
            </w:r>
            <w:r>
              <w:rPr>
                <w:rStyle w:val="VerbatimChar"/>
              </w:rPr>
              <w:t xml:space="preserve">FUTURE_RESEARCH</w:t>
            </w:r>
          </w:p>
        </w:tc>
        <w:tc>
          <w:tcPr/>
          <w:p>
            <w:pPr>
              <w:pStyle w:val="Compact"/>
            </w:pPr>
            <w:r>
              <w:t xml:space="preserve">It explicitly says not to “implement everything immediately,” to build foundations first, and that no phase grants live permission automatically. fileciteturn0file0L1482-L1495 fileciteturn0file0L7121-L7170</w:t>
            </w:r>
          </w:p>
        </w:tc>
      </w:tr>
      <w:tr>
        <w:tc>
          <w:tcPr/>
          <w:p>
            <w:pPr>
              <w:pStyle w:val="Compact"/>
            </w:pPr>
            <w:r>
              <w:rPr>
                <w:b/>
                <w:bCs/>
              </w:rPr>
              <w:t xml:space="preserve">Artifact Reconstruction Protocol</w:t>
            </w:r>
          </w:p>
        </w:tc>
        <w:tc>
          <w:tcPr/>
          <w:p>
            <w:pPr>
              <w:pStyle w:val="Compact"/>
            </w:pPr>
            <w:r>
              <w:t xml:space="preserve">Governs canonical state selection, artifact inventory, warehouse structure, supersession, contradiction preservation, separation of evidence layers, and operator decision queue. fileciteturn0file1L50-L67 fileciteturn0file1L560-L742 fileciteturn0file1L1867-L1895</w:t>
            </w:r>
          </w:p>
        </w:tc>
        <w:tc>
          <w:tcPr/>
          <w:p>
            <w:pPr>
              <w:pStyle w:val="Compact"/>
            </w:pPr>
            <w:r>
              <w:rPr>
                <w:rStyle w:val="VerbatimChar"/>
              </w:rPr>
              <w:t xml:space="preserve">CANONICAL_DATA_REQUIREMENT</w:t>
            </w:r>
            <w:r>
              <w:t xml:space="preserve">,</w:t>
            </w:r>
            <w:r>
              <w:t xml:space="preserve"> </w:t>
            </w:r>
            <w:r>
              <w:rPr>
                <w:rStyle w:val="VerbatimChar"/>
              </w:rPr>
              <w:t xml:space="preserve">ENGINEERING_FOUNDATION</w:t>
            </w:r>
            <w:r>
              <w:t xml:space="preserve">,</w:t>
            </w:r>
            <w:r>
              <w:t xml:space="preserve"> </w:t>
            </w:r>
            <w:r>
              <w:rPr>
                <w:rStyle w:val="VerbatimChar"/>
              </w:rPr>
              <w:t xml:space="preserve">HISTORICAL_RESEARCH</w:t>
            </w:r>
            <w:r>
              <w:t xml:space="preserve">,</w:t>
            </w:r>
            <w:r>
              <w:t xml:space="preserve"> </w:t>
            </w:r>
            <w:r>
              <w:rPr>
                <w:rStyle w:val="VerbatimChar"/>
              </w:rPr>
              <w:t xml:space="preserve">OPERATOR_DECISION</w:t>
            </w:r>
          </w:p>
        </w:tc>
        <w:tc>
          <w:tcPr/>
          <w:p>
            <w:pPr>
              <w:pStyle w:val="Compact"/>
            </w:pPr>
            <w:r>
              <w:t xml:space="preserve">It must not silently modify live/shadow behavior and must not pool unlike policies or inflate economic claims from route-level bps summaries. fileciteturn0file1L87-L104 fileciteturn0file1L128-L144</w:t>
            </w:r>
          </w:p>
        </w:tc>
      </w:tr>
      <w:tr>
        <w:tc>
          <w:tcPr/>
          <w:p>
            <w:pPr>
              <w:pStyle w:val="Compact"/>
            </w:pPr>
            <w:r>
              <w:rPr>
                <w:b/>
                <w:bCs/>
              </w:rPr>
              <w:t xml:space="preserve">Forward Observatory</w:t>
            </w:r>
          </w:p>
        </w:tc>
        <w:tc>
          <w:tcPr/>
          <w:p>
            <w:pPr>
              <w:pStyle w:val="Compact"/>
            </w:pPr>
            <w:r>
              <w:t xml:space="preserve">Governs forward observation, event/cycle tracking, orderless observer lanes, path ledgers, forward timing metrics, dashboard pages, and readiness diagnostics. fileciteturn0file2L5-L10 fileciteturn0file2L713-L920 fileciteturn0file2L1908-L2066</w:t>
            </w:r>
          </w:p>
        </w:tc>
        <w:tc>
          <w:tcPr/>
          <w:p>
            <w:pPr>
              <w:pStyle w:val="Compact"/>
            </w:pPr>
            <w:r>
              <w:rPr>
                <w:rStyle w:val="VerbatimChar"/>
              </w:rPr>
              <w:t xml:space="preserve">FORWARD_OBSERVER</w:t>
            </w:r>
            <w:r>
              <w:t xml:space="preserve">,</w:t>
            </w:r>
            <w:r>
              <w:t xml:space="preserve"> </w:t>
            </w:r>
            <w:r>
              <w:rPr>
                <w:rStyle w:val="VerbatimChar"/>
              </w:rPr>
              <w:t xml:space="preserve">DASHBOARD_REQUIREMENT</w:t>
            </w:r>
            <w:r>
              <w:t xml:space="preserve">,</w:t>
            </w:r>
            <w:r>
              <w:t xml:space="preserve"> </w:t>
            </w:r>
            <w:r>
              <w:rPr>
                <w:rStyle w:val="VerbatimChar"/>
              </w:rPr>
              <w:t xml:space="preserve">ENGINEERING_FOUNDATION</w:t>
            </w:r>
            <w:r>
              <w:t xml:space="preserve">,</w:t>
            </w:r>
            <w:r>
              <w:t xml:space="preserve"> </w:t>
            </w:r>
            <w:r>
              <w:rPr>
                <w:rStyle w:val="VerbatimChar"/>
              </w:rPr>
              <w:t xml:space="preserve">BLOCKED_BY_DATA</w:t>
            </w:r>
          </w:p>
        </w:tc>
        <w:tc>
          <w:tcPr/>
          <w:p>
            <w:pPr>
              <w:pStyle w:val="Compact"/>
            </w:pPr>
            <w:r>
              <w:t xml:space="preserve">It is explicitly forbidden from changing routes, stops, sizing, leverage, or permissions, and “more observation” must not be read as “more permission.” fileciteturn0file2L43-L88 fileciteturn0file2L139-L208 fileciteturn0file2L3305-L3317</w:t>
            </w:r>
          </w:p>
        </w:tc>
      </w:tr>
      <w:tr>
        <w:tc>
          <w:tcPr/>
          <w:p>
            <w:pPr>
              <w:pStyle w:val="Compact"/>
            </w:pPr>
            <w:r>
              <w:rPr>
                <w:b/>
                <w:bCs/>
              </w:rPr>
              <w:t xml:space="preserve">Chart-Native Extension</w:t>
            </w:r>
          </w:p>
        </w:tc>
        <w:tc>
          <w:tcPr/>
          <w:p>
            <w:pPr>
              <w:pStyle w:val="Compact"/>
            </w:pPr>
            <w:r>
              <w:t xml:space="preserve">Governs chart object definitions, setup lifecycle, human-observation registry, new question families Q867–Q1058, and chart-native observer families. fileciteturn0file3L152-L176 fileciteturn0file3L180-L311 fileciteturn0file3L1349-L1668</w:t>
            </w:r>
          </w:p>
        </w:tc>
        <w:tc>
          <w:tcPr/>
          <w:p>
            <w:pPr>
              <w:pStyle w:val="Compact"/>
            </w:pPr>
            <w:r>
              <w:rPr>
                <w:rStyle w:val="VerbatimChar"/>
              </w:rPr>
              <w:t xml:space="preserve">FUTURE_RESEARCH</w:t>
            </w:r>
            <w:r>
              <w:t xml:space="preserve">,</w:t>
            </w:r>
            <w:r>
              <w:t xml:space="preserve"> </w:t>
            </w:r>
            <w:r>
              <w:rPr>
                <w:rStyle w:val="VerbatimChar"/>
              </w:rPr>
              <w:t xml:space="preserve">ENGINEERING_FOUNDATION</w:t>
            </w:r>
            <w:r>
              <w:t xml:space="preserve">,</w:t>
            </w:r>
            <w:r>
              <w:t xml:space="preserve"> </w:t>
            </w:r>
            <w:r>
              <w:rPr>
                <w:rStyle w:val="VerbatimChar"/>
              </w:rPr>
              <w:t xml:space="preserve">FORWARD_OBSERVER</w:t>
            </w:r>
            <w:r>
              <w:t xml:space="preserve">,</w:t>
            </w:r>
            <w:r>
              <w:t xml:space="preserve"> </w:t>
            </w:r>
            <w:r>
              <w:rPr>
                <w:rStyle w:val="VerbatimChar"/>
              </w:rPr>
              <w:t xml:space="preserve">DASHBOARD_REQUIREMENT</w:t>
            </w:r>
            <w:r>
              <w:t xml:space="preserve">,</w:t>
            </w:r>
            <w:r>
              <w:t xml:space="preserve"> </w:t>
            </w:r>
            <w:r>
              <w:rPr>
                <w:rStyle w:val="VerbatimChar"/>
              </w:rPr>
              <w:t xml:space="preserve">BLOCKED_BY_DATA</w:t>
            </w:r>
            <w:r>
              <w:t xml:space="preserve">,</w:t>
            </w:r>
            <w:r>
              <w:t xml:space="preserve"> </w:t>
            </w:r>
            <w:r>
              <w:rPr>
                <w:rStyle w:val="VerbatimChar"/>
              </w:rPr>
              <w:t xml:space="preserve">OPTIONAL_ENHANCEMENT</w:t>
            </w:r>
          </w:p>
        </w:tc>
        <w:tc>
          <w:tcPr/>
          <w:p>
            <w:pPr>
              <w:pStyle w:val="Compact"/>
            </w:pPr>
            <w:r>
              <w:t xml:space="preserve">It must not place orders, alter live/shadow routes, auto-promote patterns, or let chart hindsight masquerade as forward evidence. fileciteturn0file3L111-L148 fileciteturn0file3L2163-L2190</w:t>
            </w:r>
          </w:p>
        </w:tc>
      </w:tr>
    </w:tbl>
    <w:p>
      <w:pPr>
        <w:pStyle w:val="BodyText"/>
      </w:pPr>
      <w:r>
        <w:t xml:space="preserve">The major overlaps are healthy but must be normalized. All four documents converge on the need for versioning, provenance, timestamp integrity, live/shadow immutability, and explicit evidence-layer separation. The whitepaper defines the scientific reasons; the artifact protocol resolves them into canonical warehouse and registry objects; the forward observatory turns them into event/cycle/position/path machinery; and the chart-native document extends those same rules into candle/swing/pattern abstractions. fileciteturn0file0L4610-L4626 fileciteturn0file1L647-L683 fileciteturn0file2L185-L208 fileciteturn0file3L136-L148</w:t>
      </w:r>
    </w:p>
    <w:p>
      <w:pPr>
        <w:pStyle w:val="BodyText"/>
      </w:pPr>
      <w:r>
        <w:t xml:space="preserve">The main concept collisions are also clear. “Cycle” appears as</w:t>
      </w:r>
      <w:r>
        <w:t xml:space="preserve"> </w:t>
      </w:r>
      <w:r>
        <w:rPr>
          <w:rStyle w:val="VerbatimChar"/>
        </w:rPr>
        <w:t xml:space="preserve">cycle_id</w:t>
      </w:r>
      <w:r>
        <w:t xml:space="preserve"> </w:t>
      </w:r>
      <w:r>
        <w:t xml:space="preserve">in the artifact protocol and as</w:t>
      </w:r>
      <w:r>
        <w:t xml:space="preserve"> </w:t>
      </w:r>
      <w:r>
        <w:rPr>
          <w:rStyle w:val="VerbatimChar"/>
        </w:rPr>
        <w:t xml:space="preserve">structural_cycle_id</w:t>
      </w:r>
      <w:r>
        <w:t xml:space="preserve"> </w:t>
      </w:r>
      <w:r>
        <w:t xml:space="preserve">in the observatory; both are trying to solve the same independent-sample problem and should be reconciled into one canonical identity model. “Question system” appears as a canonical family framework in the whitepaper, as a current explicit Q396–Q730 registry in the artifact protocol, and as a proposed Q867–Q1058 extension in the chart-native document, which means the roadmap should group questions into families and not pretend the full literal Q001–Q1058 text is already canonically present. “Observer” appears in both the whitepaper and observatory as a non-operational measurement layer, and the chart-native extension correctly inherits that constraint. fileciteturn0file0L6159-L6185 fileciteturn0file0L6495-L6609 fileciteturn0file1L1548-L1599 fileciteturn0file2L362-L399 fileciteturn0file3L1629-L1664</w:t>
      </w:r>
    </w:p>
    <w:p>
      <w:pPr>
        <w:pStyle w:val="BodyText"/>
      </w:pPr>
      <w:r>
        <w:t xml:space="preserve">The highest-value conflict register entries are below. None of these should be “silently harmonized”; they should be recorded and resolved through explicit precedence or decision records.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Conflict or tension</w:t>
            </w:r>
          </w:p>
        </w:tc>
        <w:tc>
          <w:tcPr/>
          <w:p>
            <w:pPr>
              <w:pStyle w:val="Compact"/>
            </w:pPr>
            <w:r>
              <w:t xml:space="preserve">Why it matters</w:t>
            </w:r>
          </w:p>
        </w:tc>
        <w:tc>
          <w:tcPr/>
          <w:p>
            <w:pPr>
              <w:pStyle w:val="Compact"/>
            </w:pPr>
            <w:r>
              <w:t xml:space="preserve">Recommended handling</w:t>
            </w:r>
          </w:p>
        </w:tc>
      </w:tr>
      <w:tr>
        <w:tc>
          <w:tcPr/>
          <w:p>
            <w:pPr>
              <w:pStyle w:val="Compact"/>
            </w:pPr>
            <w:r>
              <w:rPr>
                <w:b/>
                <w:bCs/>
              </w:rPr>
              <w:t xml:space="preserve">Two AMI phase systems appear in the whitepaper</w:t>
            </w:r>
          </w:p>
        </w:tc>
        <w:tc>
          <w:tcPr/>
          <w:p>
            <w:pPr>
              <w:pStyle w:val="Compact"/>
            </w:pPr>
            <w:r>
              <w:t xml:space="preserve">The whitepaper has a broad ten-phase build order and a later v0.3 sequence centered on evidence safety, cycle integrity, route separation, lifecycle, observatory, and advanced decision research. If read literally, teams can build in the wrong order. fileciteturn0file0L4927-L5007 fileciteturn0file0L7121-L7170</w:t>
            </w:r>
          </w:p>
        </w:tc>
        <w:tc>
          <w:tcPr/>
          <w:p>
            <w:pPr>
              <w:pStyle w:val="Compact"/>
            </w:pPr>
            <w:r>
              <w:t xml:space="preserve">Treat the earlier roadmap as architectural maturity order and the later v0.3 sequence as the more operative research-programme order for this work.</w:t>
            </w:r>
          </w:p>
        </w:tc>
      </w:tr>
      <w:tr>
        <w:tc>
          <w:tcPr/>
          <w:p>
            <w:pPr>
              <w:pStyle w:val="Compact"/>
            </w:pPr>
            <w:r>
              <w:rPr>
                <w:b/>
                <w:bCs/>
              </w:rPr>
              <w:t xml:space="preserve">Artifact warehouse vs observatory tables</w:t>
            </w:r>
          </w:p>
        </w:tc>
        <w:tc>
          <w:tcPr/>
          <w:p>
            <w:pPr>
              <w:pStyle w:val="Compact"/>
            </w:pPr>
            <w:r>
              <w:t xml:space="preserve">Both documents define event/cycle/position-oriented schemas. If implemented separately, the project will create competing truths. fileciteturn0file1L560-L742 fileciteturn0file2L1908-L2066</w:t>
            </w:r>
          </w:p>
        </w:tc>
        <w:tc>
          <w:tcPr/>
          <w:p>
            <w:pPr>
              <w:pStyle w:val="Compact"/>
            </w:pPr>
            <w:r>
              <w:t xml:space="preserve">The artifact protocol’s canonical warehouse should be the system of record. Observatory tables should be built as canonical tables or canonical extensions, not a parallel database ontology.</w:t>
            </w:r>
          </w:p>
        </w:tc>
      </w:tr>
      <w:tr>
        <w:tc>
          <w:tcPr/>
          <w:p>
            <w:pPr>
              <w:pStyle w:val="Compact"/>
            </w:pPr>
            <w:r>
              <w:rPr>
                <w:b/>
                <w:bCs/>
              </w:rPr>
              <w:t xml:space="preserve">Dashboard as view vs dashboard as source</w:t>
            </w:r>
          </w:p>
        </w:tc>
        <w:tc>
          <w:tcPr/>
          <w:p>
            <w:pPr>
              <w:pStyle w:val="Compact"/>
            </w:pPr>
            <w:r>
              <w:t xml:space="preserve">The observatory contains a large dashboard specification, but it also says aggregates must be rebuildable from canonical records and no dashboard query may block collectors. fileciteturn0file2L300-L310 fileciteturn0file2L2198-L2230</w:t>
            </w:r>
          </w:p>
        </w:tc>
        <w:tc>
          <w:tcPr/>
          <w:p>
            <w:pPr>
              <w:pStyle w:val="Compact"/>
            </w:pPr>
            <w:r>
              <w:t xml:space="preserve">Codify a hard rule: dashboard is downstream only of canonical SQL and tested research views, never a canonical source.</w:t>
            </w:r>
          </w:p>
        </w:tc>
      </w:tr>
      <w:tr>
        <w:tc>
          <w:tcPr/>
          <w:p>
            <w:pPr>
              <w:pStyle w:val="Compact"/>
            </w:pPr>
            <w:r>
              <w:rPr>
                <w:b/>
                <w:bCs/>
              </w:rPr>
              <w:t xml:space="preserve">Question-range continuity is not literal continuity</w:t>
            </w:r>
          </w:p>
        </w:tc>
        <w:tc>
          <w:tcPr/>
          <w:p>
            <w:pPr>
              <w:pStyle w:val="Compact"/>
            </w:pPr>
            <w:r>
              <w:t xml:space="preserve">The artifact protocol says only Q396–Q730 are explicit today; the chart document proposes Q867–Q1058; the whitepaper references broader families. fileciteturn0file1L1548-L1560 fileciteturn0file3L9-L11 fileciteturn0file0L6578-L6609</w:t>
            </w:r>
          </w:p>
        </w:tc>
        <w:tc>
          <w:tcPr/>
          <w:p>
            <w:pPr>
              <w:pStyle w:val="Compact"/>
            </w:pPr>
            <w:r>
              <w:t xml:space="preserve">Build canonical parent questions and family registries, not 1,058 atomic work items.</w:t>
            </w:r>
          </w:p>
        </w:tc>
      </w:tr>
      <w:tr>
        <w:tc>
          <w:tcPr/>
          <w:p>
            <w:pPr>
              <w:pStyle w:val="Compact"/>
            </w:pPr>
            <w:r>
              <w:rPr>
                <w:b/>
                <w:bCs/>
              </w:rPr>
              <w:t xml:space="preserve">Historical route labels look stronger than their governed meaning</w:t>
            </w:r>
          </w:p>
        </w:tc>
        <w:tc>
          <w:tcPr/>
          <w:p>
            <w:pPr>
              <w:pStyle w:val="Compact"/>
            </w:pPr>
            <w:r>
              <w:t xml:space="preserve">The artifact protocol explicitly warns that strong-looking paper/shadow rows remain governed and can conflict by implementation, with</w:t>
            </w:r>
            <w:r>
              <w:t xml:space="preserve"> </w:t>
            </w:r>
            <w:r>
              <w:rPr>
                <w:rStyle w:val="VerbatimChar"/>
              </w:rPr>
              <w:t xml:space="preserve">LONG_SILENCE</w:t>
            </w:r>
            <w:r>
              <w:t xml:space="preserve"> </w:t>
            </w:r>
            <w:r>
              <w:t xml:space="preserve">as the example. fileciteturn0file1L415-L440 fileciteturn0file1L1158-L1182</w:t>
            </w:r>
          </w:p>
        </w:tc>
        <w:tc>
          <w:tcPr/>
          <w:p>
            <w:pPr>
              <w:pStyle w:val="Compact"/>
            </w:pPr>
            <w:r>
              <w:t xml:space="preserve">Preserve implementation dependence, route versioning, and conflict status; do not pool them as one alpha.</w:t>
            </w:r>
          </w:p>
        </w:tc>
      </w:tr>
      <w:tr>
        <w:tc>
          <w:tcPr/>
          <w:p>
            <w:pPr>
              <w:pStyle w:val="Compact"/>
            </w:pPr>
            <w:r>
              <w:rPr>
                <w:b/>
                <w:bCs/>
              </w:rPr>
              <w:t xml:space="preserve">Forward spec is “implementation ready” but still blocked by foundations</w:t>
            </w:r>
          </w:p>
        </w:tc>
        <w:tc>
          <w:tcPr/>
          <w:p>
            <w:pPr>
              <w:pStyle w:val="Compact"/>
            </w:pPr>
            <w:r>
              <w:t xml:space="preserve">The observatory looks ready to build, yet it assumes event master, structural cycle identity, known-at contracts, and immutable safety boundaries. fileciteturn0file2L5-L10 fileciteturn0file2L139-L208 fileciteturn0file2L3019-L3054</w:t>
            </w:r>
          </w:p>
        </w:tc>
        <w:tc>
          <w:tcPr/>
          <w:p>
            <w:pPr>
              <w:pStyle w:val="Compact"/>
            </w:pPr>
            <w:r>
              <w:t xml:space="preserve">Build observatory infrastructure only after canonical reconciliation, timestamp contracts, and cycle rules are frozen.</w:t>
            </w:r>
          </w:p>
        </w:tc>
      </w:tr>
      <w:tr>
        <w:tc>
          <w:tcPr/>
          <w:p>
            <w:pPr>
              <w:pStyle w:val="Compact"/>
            </w:pPr>
            <w:r>
              <w:rPr>
                <w:b/>
                <w:bCs/>
              </w:rPr>
              <w:t xml:space="preserve">Chart-native extension is rich but explicitly proposed and dependent</w:t>
            </w:r>
          </w:p>
        </w:tc>
        <w:tc>
          <w:tcPr/>
          <w:p>
            <w:pPr>
              <w:pStyle w:val="Compact"/>
            </w:pPr>
            <w:r>
              <w:t xml:space="preserve">The chart document is a proposed extension, not a constitutional override. It requires reading the parent documents first and says exact definitions must freeze only after descriptive/control work. fileciteturn0file3L7-L11 fileciteturn0file3L2043-L2052 fileciteturn0file3L2118-L2153</w:t>
            </w:r>
          </w:p>
        </w:tc>
        <w:tc>
          <w:tcPr/>
          <w:p>
            <w:pPr>
              <w:pStyle w:val="Compact"/>
            </w:pPr>
            <w:r>
              <w:t xml:space="preserve">Treat chart-native as downstream of event/cycle/timing/evidence foundations, not as the initial build center.</w:t>
            </w:r>
          </w:p>
        </w:tc>
      </w:tr>
    </w:tbl>
    <w:bookmarkEnd w:id="21"/>
    <w:bookmarkStart w:id="22" w:name="X0e40e2605b7dfabd780d3cae5073b18e44bc3b1"/>
    <w:p>
      <w:pPr>
        <w:pStyle w:val="Heading2"/>
      </w:pPr>
      <w:r>
        <w:t xml:space="preserve">The largest risks that must be governed from day one</w:t>
      </w:r>
    </w:p>
    <w:p>
      <w:pPr>
        <w:pStyle w:val="FirstParagraph"/>
      </w:pPr>
      <w:r>
        <w:t xml:space="preserve">The biggest meta-risk is not “missing functionality.” It is building a scientifically unsafe system that looks productive because it generates dashboards, questions, objects, and observers faster than it generates independent evidence. The four documents are unusually aligned on this point: they repeatedly distinguish observation from permission, descriptive signal from executable signal, and route statistics from governed knowledge. fileciteturn0file0L52-L60 fileciteturn0file1L152-L168 fileciteturn0file2L3305-L3317 fileciteturn0file3L2163-L2190</w:t>
      </w:r>
    </w:p>
    <w:p>
      <w:pPr>
        <w:pStyle w:val="BodyText"/>
      </w:pPr>
      <w:r>
        <w:t xml:space="preserve">The fifteen highest-priority risks, and the first control each one requires,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is especially dangerous here</w:t>
            </w:r>
          </w:p>
        </w:tc>
        <w:tc>
          <w:tcPr/>
          <w:p>
            <w:pPr>
              <w:pStyle w:val="Compact"/>
            </w:pPr>
            <w:r>
              <w:t xml:space="preserve">First control that must be embedded in the roadmap</w:t>
            </w:r>
          </w:p>
        </w:tc>
      </w:tr>
      <w:tr>
        <w:tc>
          <w:tcPr/>
          <w:p>
            <w:pPr>
              <w:pStyle w:val="Compact"/>
            </w:pPr>
            <w:r>
              <w:rPr>
                <w:b/>
                <w:bCs/>
              </w:rPr>
              <w:t xml:space="preserve">Scope explosion</w:t>
            </w:r>
          </w:p>
        </w:tc>
        <w:tc>
          <w:tcPr/>
          <w:p>
            <w:pPr>
              <w:pStyle w:val="Compact"/>
            </w:pPr>
            <w:r>
              <w:t xml:space="preserve">The whitepaper, observatory, and chart extension together describe a massive research estate; if interpreted as one simultaneous requirement list, the project will fragment before its scientific core is stable.</w:t>
            </w:r>
          </w:p>
        </w:tc>
        <w:tc>
          <w:tcPr/>
          <w:p>
            <w:pPr>
              <w:pStyle w:val="Compact"/>
            </w:pPr>
            <w:r>
              <w:t xml:space="preserve">Freeze scope by precedence and by phase; treat chart-native and advanced ML as later extensions, not concurrent foundations. fileciteturn0file0L1482-L1495 fileciteturn0file3L2043-L2052</w:t>
            </w:r>
          </w:p>
        </w:tc>
      </w:tr>
      <w:tr>
        <w:tc>
          <w:tcPr/>
          <w:p>
            <w:pPr>
              <w:pStyle w:val="Compact"/>
            </w:pPr>
            <w:r>
              <w:rPr>
                <w:b/>
                <w:bCs/>
              </w:rPr>
              <w:t xml:space="preserve">Dependency inversion</w:t>
            </w:r>
          </w:p>
        </w:tc>
        <w:tc>
          <w:tcPr/>
          <w:p>
            <w:pPr>
              <w:pStyle w:val="Compact"/>
            </w:pPr>
            <w:r>
              <w:t xml:space="preserve">Building dashboards, observers, or chart engines before event identity, cycle integrity, or canonical warehouse rules will create competing truths.</w:t>
            </w:r>
          </w:p>
        </w:tc>
        <w:tc>
          <w:tcPr/>
          <w:p>
            <w:pPr>
              <w:pStyle w:val="Compact"/>
            </w:pPr>
            <w:r>
              <w:t xml:space="preserve">Phase-lock the work so reconciliation, warehouse, timing contracts, and cycle identity come first. fileciteturn0file1L560-L742 fileciteturn0file2L3019-L3054</w:t>
            </w:r>
          </w:p>
        </w:tc>
      </w:tr>
      <w:tr>
        <w:tc>
          <w:tcPr/>
          <w:p>
            <w:pPr>
              <w:pStyle w:val="Compact"/>
            </w:pPr>
            <w:r>
              <w:rPr>
                <w:b/>
                <w:bCs/>
              </w:rPr>
              <w:t xml:space="preserve">Bucket fishing and uncontrolled multiple testing</w:t>
            </w:r>
          </w:p>
        </w:tc>
        <w:tc>
          <w:tcPr/>
          <w:p>
            <w:pPr>
              <w:pStyle w:val="Compact"/>
            </w:pPr>
            <w:r>
              <w:t xml:space="preserve">The whitepaper explicitly requires contamination ledgers, dependency graphs, and family-level multiple-testing governance.</w:t>
            </w:r>
          </w:p>
        </w:tc>
        <w:tc>
          <w:tcPr/>
          <w:p>
            <w:pPr>
              <w:pStyle w:val="Compact"/>
            </w:pPr>
            <w:r>
              <w:t xml:space="preserve">Create the contamination ledger and family registry before expanding question families or chart buckets. fileciteturn0file0L6628-L6685</w:t>
            </w:r>
          </w:p>
        </w:tc>
      </w:tr>
      <w:tr>
        <w:tc>
          <w:tcPr/>
          <w:p>
            <w:pPr>
              <w:pStyle w:val="Compact"/>
            </w:pPr>
            <w:r>
              <w:rPr>
                <w:b/>
                <w:bCs/>
              </w:rPr>
              <w:t xml:space="preserve">Holdout contamination and researcher exposure</w:t>
            </w:r>
          </w:p>
        </w:tc>
        <w:tc>
          <w:tcPr/>
          <w:p>
            <w:pPr>
              <w:pStyle w:val="Compact"/>
            </w:pPr>
            <w:r>
              <w:t xml:space="preserve">The whitepaper states that an untouched split that inspires a new hypothesis is no longer untouched for that hypothesis.</w:t>
            </w:r>
          </w:p>
        </w:tc>
        <w:tc>
          <w:tcPr/>
          <w:p>
            <w:pPr>
              <w:pStyle w:val="Compact"/>
            </w:pPr>
            <w:r>
              <w:t xml:space="preserve">Track split exposure, hypothesis birth, and evidence ceilings at the registry level. fileciteturn0file0L6630-L6652</w:t>
            </w:r>
          </w:p>
        </w:tc>
      </w:tr>
      <w:tr>
        <w:tc>
          <w:tcPr/>
          <w:p>
            <w:pPr>
              <w:pStyle w:val="Compact"/>
            </w:pPr>
            <w:r>
              <w:rPr>
                <w:b/>
                <w:bCs/>
              </w:rPr>
              <w:t xml:space="preserve">Event N being mistaken for cycle N</w:t>
            </w:r>
          </w:p>
        </w:tc>
        <w:tc>
          <w:tcPr/>
          <w:p>
            <w:pPr>
              <w:pStyle w:val="Compact"/>
            </w:pPr>
            <w:r>
              <w:t xml:space="preserve">Both the whitepaper and observatory insist that raw counts and independent cycle counts are different.</w:t>
            </w:r>
          </w:p>
        </w:tc>
        <w:tc>
          <w:tcPr/>
          <w:p>
            <w:pPr>
              <w:pStyle w:val="Compact"/>
            </w:pPr>
            <w:r>
              <w:t xml:space="preserve">Make cycle identity and split leakage prevention mandatory before any major statistical aggregation. fileciteturn0file0L6159-L6185 fileciteturn0file2L362-L399</w:t>
            </w:r>
          </w:p>
        </w:tc>
      </w:tr>
      <w:tr>
        <w:tc>
          <w:tcPr/>
          <w:p>
            <w:pPr>
              <w:pStyle w:val="Compact"/>
            </w:pPr>
            <w:r>
              <w:rPr>
                <w:b/>
                <w:bCs/>
              </w:rPr>
              <w:t xml:space="preserve">Lookahead and</w:t>
            </w:r>
            <w:r>
              <w:rPr>
                <w:b/>
                <w:bCs/>
              </w:rPr>
              <w:t xml:space="preserve"> </w:t>
            </w:r>
            <w:r>
              <w:rPr>
                <w:rStyle w:val="VerbatimChar"/>
                <w:b/>
                <w:bCs/>
              </w:rPr>
              <w:t xml:space="preserve">feature_known_at</w:t>
            </w:r>
            <w:r>
              <w:rPr>
                <w:b/>
                <w:bCs/>
              </w:rPr>
              <w:t xml:space="preserve"> </w:t>
            </w:r>
            <w:r>
              <w:rPr>
                <w:b/>
                <w:bCs/>
              </w:rPr>
              <w:t xml:space="preserve">errors</w:t>
            </w:r>
          </w:p>
        </w:tc>
        <w:tc>
          <w:tcPr/>
          <w:p>
            <w:pPr>
              <w:pStyle w:val="Compact"/>
            </w:pPr>
            <w:r>
              <w:t xml:space="preserve">The observatory and chart extension both turn timing integrity into a first-class requirement.</w:t>
            </w:r>
          </w:p>
        </w:tc>
        <w:tc>
          <w:tcPr/>
          <w:p>
            <w:pPr>
              <w:pStyle w:val="Compact"/>
            </w:pPr>
            <w:r>
              <w:t xml:space="preserve">Enforce</w:t>
            </w:r>
            <w:r>
              <w:t xml:space="preserve"> </w:t>
            </w:r>
            <w:r>
              <w:rPr>
                <w:rStyle w:val="VerbatimChar"/>
              </w:rPr>
              <w:t xml:space="preserve">known_at_ts &lt;= observer_trigger_ts</w:t>
            </w:r>
            <w:r>
              <w:t xml:space="preserve"> </w:t>
            </w:r>
            <w:r>
              <w:t xml:space="preserve">everywhere, with rejection on failure. fileciteturn0file2L401-L436 fileciteturn0file3L223-L224</w:t>
            </w:r>
          </w:p>
        </w:tc>
      </w:tr>
      <w:tr>
        <w:tc>
          <w:tcPr/>
          <w:p>
            <w:pPr>
              <w:pStyle w:val="Compact"/>
            </w:pPr>
            <w:r>
              <w:rPr>
                <w:b/>
                <w:bCs/>
              </w:rPr>
              <w:t xml:space="preserve">Historical, replay, shadow, forward, and live mixing</w:t>
            </w:r>
          </w:p>
        </w:tc>
        <w:tc>
          <w:tcPr/>
          <w:p>
            <w:pPr>
              <w:pStyle w:val="Compact"/>
            </w:pPr>
            <w:r>
              <w:t xml:space="preserve">The artifact protocol and observatory both say these evidence layers must remain separate.</w:t>
            </w:r>
          </w:p>
        </w:tc>
        <w:tc>
          <w:tcPr/>
          <w:p>
            <w:pPr>
              <w:pStyle w:val="Compact"/>
            </w:pPr>
            <w:r>
              <w:t xml:space="preserve">Keep record types and evidence layers separate in schemas, aggregates, and dashboards. fileciteturn0file1L69-L85 fileciteturn0file2L221-L266</w:t>
            </w:r>
          </w:p>
        </w:tc>
      </w:tr>
      <w:tr>
        <w:tc>
          <w:tcPr/>
          <w:p>
            <w:pPr>
              <w:pStyle w:val="Compact"/>
            </w:pPr>
            <w:r>
              <w:rPr>
                <w:b/>
                <w:bCs/>
              </w:rPr>
              <w:t xml:space="preserve">Observer leakage into operational routes</w:t>
            </w:r>
          </w:p>
        </w:tc>
        <w:tc>
          <w:tcPr/>
          <w:p>
            <w:pPr>
              <w:pStyle w:val="Compact"/>
            </w:pPr>
            <w:r>
              <w:t xml:space="preserve">The observatory is explicit that more observation does not mean more permission, and chart-native shares the same boundary.</w:t>
            </w:r>
          </w:p>
        </w:tc>
        <w:tc>
          <w:tcPr/>
          <w:p>
            <w:pPr>
              <w:pStyle w:val="Compact"/>
            </w:pPr>
            <w:r>
              <w:t xml:space="preserve">Enforce hard ceilings: orderless observers only, no automatic promotion, no order API calls. fileciteturn0file2L171-L183 fileciteturn0file2L3307-L3317 fileciteturn0file3L111-L125</w:t>
            </w:r>
          </w:p>
        </w:tc>
      </w:tr>
      <w:tr>
        <w:tc>
          <w:tcPr/>
          <w:p>
            <w:pPr>
              <w:pStyle w:val="Compact"/>
            </w:pPr>
            <w:r>
              <w:rPr>
                <w:b/>
                <w:bCs/>
              </w:rPr>
              <w:t xml:space="preserve">Real liquidation and proxy/cascade approximations being mixed</w:t>
            </w:r>
          </w:p>
        </w:tc>
        <w:tc>
          <w:tcPr/>
          <w:p>
            <w:pPr>
              <w:pStyle w:val="Compact"/>
            </w:pPr>
            <w:r>
              <w:t xml:space="preserve">The artifact protocol already warns that the 6h proxy is only a sensitivity proxy until true structural cycle IDs exist.</w:t>
            </w:r>
          </w:p>
        </w:tc>
        <w:tc>
          <w:tcPr/>
          <w:p>
            <w:pPr>
              <w:pStyle w:val="Compact"/>
            </w:pPr>
            <w:r>
              <w:t xml:space="preserve">Carry event family and source-quality/version fields; never let proxy episodes masquerade as canonical cycle truth. fileciteturn0file1L960-L970 fileciteturn0file1L734-L742</w:t>
            </w:r>
          </w:p>
        </w:tc>
      </w:tr>
      <w:tr>
        <w:tc>
          <w:tcPr/>
          <w:p>
            <w:pPr>
              <w:pStyle w:val="Compact"/>
            </w:pPr>
            <w:r>
              <w:rPr>
                <w:b/>
                <w:bCs/>
              </w:rPr>
              <w:t xml:space="preserve">Chart-object definition instability</w:t>
            </w:r>
          </w:p>
        </w:tc>
        <w:tc>
          <w:tcPr/>
          <w:p>
            <w:pPr>
              <w:pStyle w:val="Compact"/>
            </w:pPr>
            <w:r>
              <w:t xml:space="preserve">The chart extension introduces many new objects whose thresholds and construction methods can drift.</w:t>
            </w:r>
          </w:p>
        </w:tc>
        <w:tc>
          <w:tcPr/>
          <w:p>
            <w:pPr>
              <w:pStyle w:val="Compact"/>
            </w:pPr>
            <w:r>
              <w:t xml:space="preserve">Version candle/swing/pattern definitions and freeze candidates only after descriptive/control work. fileciteturn0file3L180-L311 fileciteturn0file3L2043-L2052</w:t>
            </w:r>
          </w:p>
        </w:tc>
      </w:tr>
      <w:tr>
        <w:tc>
          <w:tcPr/>
          <w:p>
            <w:pPr>
              <w:pStyle w:val="Compact"/>
            </w:pPr>
            <w:r>
              <w:rPr>
                <w:b/>
                <w:bCs/>
              </w:rPr>
              <w:t xml:space="preserve">Dashboard becoming the canonical source</w:t>
            </w:r>
          </w:p>
        </w:tc>
        <w:tc>
          <w:tcPr/>
          <w:p>
            <w:pPr>
              <w:pStyle w:val="Compact"/>
            </w:pPr>
            <w:r>
              <w:t xml:space="preserve">The observatory is dashboard-heavy, but also explicit that collectors remain source-of-truth and aggregates must rebuild from canonical records.</w:t>
            </w:r>
          </w:p>
        </w:tc>
        <w:tc>
          <w:tcPr/>
          <w:p>
            <w:pPr>
              <w:pStyle w:val="Compact"/>
            </w:pPr>
            <w:r>
              <w:t xml:space="preserve">Declare dashboard downstream-only and route every page through canonical SQL/research views. fileciteturn0file2L300-L310</w:t>
            </w:r>
          </w:p>
        </w:tc>
      </w:tr>
      <w:tr>
        <w:tc>
          <w:tcPr/>
          <w:p>
            <w:pPr>
              <w:pStyle w:val="Compact"/>
            </w:pPr>
            <w:r>
              <w:rPr>
                <w:b/>
                <w:bCs/>
              </w:rPr>
              <w:t xml:space="preserve">Software-test success being confused with alpha success</w:t>
            </w:r>
          </w:p>
        </w:tc>
        <w:tc>
          <w:tcPr/>
          <w:p>
            <w:pPr>
              <w:pStyle w:val="Compact"/>
            </w:pPr>
            <w:r>
              <w:t xml:space="preserve">The artifact protocol explicitly warns against this.</w:t>
            </w:r>
          </w:p>
        </w:tc>
        <w:tc>
          <w:tcPr/>
          <w:p>
            <w:pPr>
              <w:pStyle w:val="Compact"/>
            </w:pPr>
            <w:r>
              <w:t xml:space="preserve">Separate implementation test verdicts from scientific verdicts in both warehouse and reporting. fileciteturn0file1L146-L151</w:t>
            </w:r>
          </w:p>
        </w:tc>
      </w:tr>
      <w:tr>
        <w:tc>
          <w:tcPr/>
          <w:p>
            <w:pPr>
              <w:pStyle w:val="Compact"/>
            </w:pPr>
            <w:r>
              <w:rPr>
                <w:b/>
                <w:bCs/>
              </w:rPr>
              <w:t xml:space="preserve">Storage and compute explosion</w:t>
            </w:r>
          </w:p>
        </w:tc>
        <w:tc>
          <w:tcPr/>
          <w:p>
            <w:pPr>
              <w:pStyle w:val="Compact"/>
            </w:pPr>
            <w:r>
              <w:t xml:space="preserve">The observatory and chart-native layers both introduce high-frequency snapshots, path ledgers, and many observer families.</w:t>
            </w:r>
          </w:p>
        </w:tc>
        <w:tc>
          <w:tcPr/>
          <w:p>
            <w:pPr>
              <w:pStyle w:val="Compact"/>
            </w:pPr>
            <w:r>
              <w:t xml:space="preserve">Build retention classes, HOT/WARM/COLD tiers, idempotency, and bounded sampling before broad observer proliferation. fileciteturn0file0L4757-L4769 fileciteturn0file2L1013-L1023 fileciteturn0file2L2771-L2809</w:t>
            </w:r>
          </w:p>
        </w:tc>
      </w:tr>
      <w:tr>
        <w:tc>
          <w:tcPr/>
          <w:p>
            <w:pPr>
              <w:pStyle w:val="Compact"/>
            </w:pPr>
            <w:r>
              <w:rPr>
                <w:b/>
                <w:bCs/>
              </w:rPr>
              <w:t xml:space="preserve">Premature microservice architecture</w:t>
            </w:r>
          </w:p>
        </w:tc>
        <w:tc>
          <w:tcPr/>
          <w:p>
            <w:pPr>
              <w:pStyle w:val="Compact"/>
            </w:pPr>
            <w:r>
              <w:t xml:space="preserve">The whitepaper explicitly says logical service boundaries are not an immediate microservice mandate.</w:t>
            </w:r>
          </w:p>
        </w:tc>
        <w:tc>
          <w:tcPr/>
          <w:p>
            <w:pPr>
              <w:pStyle w:val="Compact"/>
            </w:pPr>
            <w:r>
              <w:t xml:space="preserve">Keep the architecture modular but repository-first until the interfaces are proven. fileciteturn0file0L4663-L4663</w:t>
            </w:r>
          </w:p>
        </w:tc>
      </w:tr>
      <w:tr>
        <w:tc>
          <w:tcPr/>
          <w:p>
            <w:pPr>
              <w:pStyle w:val="Compact"/>
            </w:pPr>
            <w:r>
              <w:rPr>
                <w:b/>
                <w:bCs/>
              </w:rPr>
              <w:t xml:space="preserve">Complex routes not beating simple baselines</w:t>
            </w:r>
          </w:p>
        </w:tc>
        <w:tc>
          <w:tcPr/>
          <w:p>
            <w:pPr>
              <w:pStyle w:val="Compact"/>
            </w:pPr>
            <w:r>
              <w:t xml:space="preserve">The whitepaper requires mandatory baselines such as</w:t>
            </w:r>
            <w:r>
              <w:t xml:space="preserve"> </w:t>
            </w:r>
            <w:r>
              <w:rPr>
                <w:rStyle w:val="VerbatimChar"/>
              </w:rPr>
              <w:t xml:space="preserve">NO_TRADE</w:t>
            </w:r>
            <w:r>
              <w:t xml:space="preserve">,</w:t>
            </w:r>
            <w:r>
              <w:t xml:space="preserve"> </w:t>
            </w:r>
            <w:r>
              <w:rPr>
                <w:rStyle w:val="VerbatimChar"/>
              </w:rPr>
              <w:t xml:space="preserve">WAIT</w:t>
            </w:r>
            <w:r>
              <w:t xml:space="preserve">, and simple trend routes.</w:t>
            </w:r>
          </w:p>
        </w:tc>
        <w:tc>
          <w:tcPr/>
          <w:p>
            <w:pPr>
              <w:pStyle w:val="Compact"/>
            </w:pPr>
            <w:r>
              <w:t xml:space="preserve">Put benchmark gates ahead of complexity promotion for every family and dashboard summary. fileciteturn0file0L6812-L6825</w:t>
            </w:r>
          </w:p>
        </w:tc>
      </w:tr>
    </w:tbl>
    <w:p>
      <w:pPr>
        <w:pStyle w:val="BodyText"/>
      </w:pPr>
      <w:r>
        <w:t xml:space="preserve">A sixteenth risk also deserves explicit mention even though the user asked for fifteen:</w:t>
      </w:r>
      <w:r>
        <w:t xml:space="preserve"> </w:t>
      </w:r>
      <w:r>
        <w:rPr>
          <w:b/>
          <w:bCs/>
        </w:rPr>
        <w:t xml:space="preserve">accidental live or shadow mutation while “just doing research.”</w:t>
      </w:r>
      <w:r>
        <w:t xml:space="preserve"> </w:t>
      </w:r>
      <w:r>
        <w:t xml:space="preserve">All three implementation-heavy documents prohibit that outcome in strong terms, so the untouched-live-shadow manifest has to be a Phase Zero artifact, not a later control. fileciteturn0file1L128-L144 fileciteturn0file2L141-L183 fileciteturn0file3L2124-L2129</w:t>
      </w:r>
    </w:p>
    <w:bookmarkEnd w:id="22"/>
    <w:bookmarkStart w:id="23" w:name="X4ecf9459e3a6247bf5206a579350a226238c0b5"/>
    <w:p>
      <w:pPr>
        <w:pStyle w:val="Heading2"/>
      </w:pPr>
      <w:r>
        <w:t xml:space="preserve">The foundation that must be established before anything ambitious</w:t>
      </w:r>
    </w:p>
    <w:p>
      <w:pPr>
        <w:pStyle w:val="FirstParagraph"/>
      </w:pPr>
      <w:r>
        <w:t xml:space="preserve">The first foundation is</w:t>
      </w:r>
      <w:r>
        <w:t xml:space="preserve"> </w:t>
      </w:r>
      <w:r>
        <w:rPr>
          <w:b/>
          <w:bCs/>
        </w:rPr>
        <w:t xml:space="preserve">canonical reconciliation and safety</w:t>
      </w:r>
      <w:r>
        <w:t xml:space="preserve">, not feature work. The artifact protocol requires a complete artifact registry, canon-selection logic, conflict preservation, a canonical SQL warehouse, and explicit live immutability; the observatory’s own Phase A starts with repository and safety audit; and the chart-native extension’s own Phase 0 begins with audit, duplicate-implementation detection, and protected-file recording. This makes reconciliation, not chart logic or dashboarding, the first real dependency. fileciteturn0file1L297-L374 fileciteturn0file1L376-L440 fileciteturn0file2L3019-L3033 fileciteturn0file3L1967-L1975</w:t>
      </w:r>
    </w:p>
    <w:p>
      <w:pPr>
        <w:pStyle w:val="BodyText"/>
      </w:pPr>
      <w:r>
        <w:t xml:space="preserve">The second foundation is</w:t>
      </w:r>
      <w:r>
        <w:t xml:space="preserve"> </w:t>
      </w:r>
      <w:r>
        <w:rPr>
          <w:b/>
          <w:bCs/>
        </w:rPr>
        <w:t xml:space="preserve">evidence and data integrity</w:t>
      </w:r>
      <w:r>
        <w:t xml:space="preserve">. The whitepaper’s v0.3 sequence starts with evidence safety, including contamination, exposure, multiple testing, market-structure versioning, and causal-assumption registries; the observatory hard-codes</w:t>
      </w:r>
      <w:r>
        <w:t xml:space="preserve"> </w:t>
      </w:r>
      <w:r>
        <w:rPr>
          <w:rStyle w:val="VerbatimChar"/>
        </w:rPr>
        <w:t xml:space="preserve">event_ts</w:t>
      </w:r>
      <w:r>
        <w:t xml:space="preserve">,</w:t>
      </w:r>
      <w:r>
        <w:t xml:space="preserve"> </w:t>
      </w:r>
      <w:r>
        <w:rPr>
          <w:rStyle w:val="VerbatimChar"/>
        </w:rPr>
        <w:t xml:space="preserve">available_at_ts</w:t>
      </w:r>
      <w:r>
        <w:t xml:space="preserve">, and</w:t>
      </w:r>
      <w:r>
        <w:t xml:space="preserve"> </w:t>
      </w:r>
      <w:r>
        <w:rPr>
          <w:rStyle w:val="VerbatimChar"/>
        </w:rPr>
        <w:t xml:space="preserve">known_at_ts</w:t>
      </w:r>
      <w:r>
        <w:t xml:space="preserve">; and the chart-native extension extends the same timing discipline to swings, patterns, human observations, and post-hoc labeling. Until these controls exist, any sophisticated observer or pattern engine will produce contaminated evidence faster than it produces useful evidence. fileciteturn0file0L6628-L6697 fileciteturn0file0L6888-L6902 fileciteturn0file0L7121-L7127 fileciteturn0file2L401-L463 fileciteturn0file3L223-L224 fileciteturn0file3L2124-L2153</w:t>
      </w:r>
    </w:p>
    <w:p>
      <w:pPr>
        <w:pStyle w:val="BodyText"/>
      </w:pPr>
      <w:r>
        <w:t xml:space="preserve">The third foundation is</w:t>
      </w:r>
      <w:r>
        <w:t xml:space="preserve"> </w:t>
      </w:r>
      <w:r>
        <w:rPr>
          <w:b/>
          <w:bCs/>
        </w:rPr>
        <w:t xml:space="preserve">event and cycle identity</w:t>
      </w:r>
      <w:r>
        <w:t xml:space="preserve">. The artifact protocol explicitly warns that ledger rows are not independent events, gives current scale numbers, and says the 6h gap rule is only a proxy; the whitepaper requires cycle-level deduplication and forbids splitting a cycle across train and validation; and the observatory makes structural cycle N mandatory in all statistical displays. This foundation should be treated as the central dependency of the whole programme, because without it every later metric—question-family evidence, chart-pattern counts, forward readiness, and benchmark comparison—is statistically unstable. fileciteturn0file1L958-L1015 fileciteturn0file0L6159-L6185 fileciteturn0file2L362-L399</w:t>
      </w:r>
    </w:p>
    <w:p>
      <w:pPr>
        <w:pStyle w:val="BodyText"/>
      </w:pPr>
      <w:r>
        <w:t xml:space="preserve">The fourth foundation is</w:t>
      </w:r>
      <w:r>
        <w:t xml:space="preserve"> </w:t>
      </w:r>
      <w:r>
        <w:rPr>
          <w:b/>
          <w:bCs/>
        </w:rPr>
        <w:t xml:space="preserve">canonical path and state recording</w:t>
      </w:r>
      <w:r>
        <w:t xml:space="preserve">. The observatory needs immutable event records, snapshot schedules, multi-timeframe state storage, position/path ledgers, path labels, and timing aggregates; the whitepaper requires post-entry state snapshots, path-taxonomy awareness, and lifecycle separation; and the chart-native extension assumes there is already a path ledger into which orderless pattern observers can write. This means the “shared feature engine” should be interpreted first as a shared</w:t>
      </w:r>
      <w:r>
        <w:t xml:space="preserve"> </w:t>
      </w:r>
      <w:r>
        <w:rPr>
          <w:i/>
          <w:iCs/>
        </w:rPr>
        <w:t xml:space="preserve">recording</w:t>
      </w:r>
      <w:r>
        <w:t xml:space="preserve"> </w:t>
      </w:r>
      <w:r>
        <w:t xml:space="preserve">substrate. fileciteturn0file2L6377-L6465 fileciteturn0file2L989-L1209 fileciteturn0file0L4956-L4962 fileciteturn0file3L152-L176</w:t>
      </w:r>
    </w:p>
    <w:p>
      <w:pPr>
        <w:pStyle w:val="BodyText"/>
      </w:pPr>
      <w:r>
        <w:t xml:space="preserve">The fifth foundation is</w:t>
      </w:r>
      <w:r>
        <w:t xml:space="preserve"> </w:t>
      </w:r>
      <w:r>
        <w:rPr>
          <w:b/>
          <w:bCs/>
        </w:rPr>
        <w:t xml:space="preserve">question-family consolidation</w:t>
      </w:r>
      <w:r>
        <w:t xml:space="preserve">, not question explosion. The whitepaper already defines question objects with dependencies, evidence level, required data, minimum event N, minimum cycle N, and required forward duration; the artifact protocol says only Q396–Q730 are explicit and forbids fabricating missing text; and the chart-native extension adds new proposed families Q867–Q1058. The correct response is therefore a family registry with canonical parent questions, experiment families, and shared research engines. Anything else will create thousands of pseudo-tasks with no stable data dependencies. fileciteturn0file0L6495-L6609 fileciteturn0file1L1548-L1577 fileciteturn0file3L1629-L1664</w:t>
      </w:r>
    </w:p>
    <w:bookmarkEnd w:id="23"/>
    <w:bookmarkStart w:id="24" w:name="X05ad292402b9608b4f7ecc317abfe99d2f7a378"/>
    <w:p>
      <w:pPr>
        <w:pStyle w:val="Heading2"/>
      </w:pPr>
      <w:r>
        <w:t xml:space="preserve">What can proceed in parallel and what must wait</w:t>
      </w:r>
    </w:p>
    <w:p>
      <w:pPr>
        <w:pStyle w:val="FirstParagraph"/>
      </w:pPr>
      <w:r>
        <w:t xml:space="preserve">After Phase Zero reconciliation is complete, some streams can run in parallel without scientific distortion. The critical requirement is that they share the same canonical warehouse, identity model, version vocabulary, and safety boundaries. That is fully consistent with the whitepaper’s modular-but-not-microservice stance and with the observatory’s demand that aggregates be rebuildable from canonical records. fileciteturn0file0L4663-L4663 fileciteturn0file2L300-L310</w:t>
      </w:r>
    </w:p>
    <w:p>
      <w:pPr>
        <w:pStyle w:val="BodyText"/>
      </w:pPr>
      <w:r>
        <w:t xml:space="preserve">The most defensible parallelization map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 run in parallel after the prerequisite has been frozen</w:t>
            </w:r>
          </w:p>
        </w:tc>
        <w:tc>
          <w:tcPr/>
          <w:p>
            <w:pPr>
              <w:pStyle w:val="Compact"/>
            </w:pPr>
            <w:r>
              <w:t xml:space="preserve">Why it is safe</w:t>
            </w:r>
          </w:p>
        </w:tc>
      </w:tr>
      <w:tr>
        <w:tc>
          <w:tcPr/>
          <w:p>
            <w:pPr>
              <w:pStyle w:val="Compact"/>
            </w:pPr>
            <w:r>
              <w:rPr>
                <w:b/>
                <w:bCs/>
              </w:rPr>
              <w:t xml:space="preserve">Artifact inventory / supersession graph / contradiction register</w:t>
            </w:r>
            <w:r>
              <w:t xml:space="preserve"> </w:t>
            </w:r>
            <w:r>
              <w:t xml:space="preserve">with</w:t>
            </w:r>
            <w:r>
              <w:t xml:space="preserve"> </w:t>
            </w:r>
            <w:r>
              <w:rPr>
                <w:b/>
                <w:bCs/>
              </w:rPr>
              <w:t xml:space="preserve">untouched live-shadow manifest</w:t>
            </w:r>
          </w:p>
        </w:tc>
        <w:tc>
          <w:tcPr/>
          <w:p>
            <w:pPr>
              <w:pStyle w:val="Compact"/>
            </w:pPr>
            <w:r>
              <w:t xml:space="preserve">Both are read-only reconciliation work and reduce risk rather than create it. fileciteturn0file1L297-L374 fileciteturn0file1L1867-L1944</w:t>
            </w:r>
          </w:p>
        </w:tc>
      </w:tr>
      <w:tr>
        <w:tc>
          <w:tcPr/>
          <w:p>
            <w:pPr>
              <w:pStyle w:val="Compact"/>
            </w:pPr>
            <w:r>
              <w:rPr>
                <w:b/>
                <w:bCs/>
              </w:rPr>
              <w:t xml:space="preserve">Contamination ledger / multiple-testing registry / researcher exposure ledger</w:t>
            </w:r>
            <w:r>
              <w:t xml:space="preserve"> </w:t>
            </w:r>
            <w:r>
              <w:t xml:space="preserve">with</w:t>
            </w:r>
            <w:r>
              <w:t xml:space="preserve"> </w:t>
            </w:r>
            <w:r>
              <w:rPr>
                <w:b/>
                <w:bCs/>
              </w:rPr>
              <w:t xml:space="preserve">market-structure and data-version ledger</w:t>
            </w:r>
          </w:p>
        </w:tc>
        <w:tc>
          <w:tcPr/>
          <w:p>
            <w:pPr>
              <w:pStyle w:val="Compact"/>
            </w:pPr>
            <w:r>
              <w:t xml:space="preserve">These are orthogonal evidence-governance foundations that all later streams need. fileciteturn0file0L6628-L6697 fileciteturn0file0L6888-L6902</w:t>
            </w:r>
          </w:p>
        </w:tc>
      </w:tr>
      <w:tr>
        <w:tc>
          <w:tcPr/>
          <w:p>
            <w:pPr>
              <w:pStyle w:val="Compact"/>
            </w:pPr>
            <w:r>
              <w:rPr>
                <w:b/>
                <w:bCs/>
              </w:rPr>
              <w:t xml:space="preserve">Canonical event master / cycle resolver</w:t>
            </w:r>
            <w:r>
              <w:t xml:space="preserve"> </w:t>
            </w:r>
            <w:r>
              <w:t xml:space="preserve">with</w:t>
            </w:r>
            <w:r>
              <w:t xml:space="preserve"> </w:t>
            </w:r>
            <w:r>
              <w:rPr>
                <w:b/>
                <w:bCs/>
              </w:rPr>
              <w:t xml:space="preserve">question-family reconciliation</w:t>
            </w:r>
          </w:p>
        </w:tc>
        <w:tc>
          <w:tcPr/>
          <w:p>
            <w:pPr>
              <w:pStyle w:val="Compact"/>
            </w:pPr>
            <w:r>
              <w:t xml:space="preserve">The identity model and the family model are coupled but can be advanced together once precedence is frozen. fileciteturn0file1L1548-L1599 fileciteturn0file2L1910-L1931</w:t>
            </w:r>
          </w:p>
        </w:tc>
      </w:tr>
      <w:tr>
        <w:tc>
          <w:tcPr/>
          <w:p>
            <w:pPr>
              <w:pStyle w:val="Compact"/>
            </w:pPr>
            <w:r>
              <w:rPr>
                <w:b/>
                <w:bCs/>
              </w:rPr>
              <w:t xml:space="preserve">State/path recorder</w:t>
            </w:r>
            <w:r>
              <w:t xml:space="preserve"> </w:t>
            </w:r>
            <w:r>
              <w:t xml:space="preserve">with</w:t>
            </w:r>
            <w:r>
              <w:t xml:space="preserve"> </w:t>
            </w:r>
            <w:r>
              <w:rPr>
                <w:b/>
                <w:bCs/>
              </w:rPr>
              <w:t xml:space="preserve">chart-code audit and duplicate-implementation detection</w:t>
            </w:r>
          </w:p>
        </w:tc>
        <w:tc>
          <w:tcPr/>
          <w:p>
            <w:pPr>
              <w:pStyle w:val="Compact"/>
            </w:pPr>
            <w:r>
              <w:t xml:space="preserve">Chart-native Phase 0 and forward Phase B are both foundational, provided no new observers are activated yet. fileciteturn0file2L3034-L3054 fileciteturn0file3L1967-L1986</w:t>
            </w:r>
          </w:p>
        </w:tc>
      </w:tr>
      <w:tr>
        <w:tc>
          <w:tcPr/>
          <w:p>
            <w:pPr>
              <w:pStyle w:val="Compact"/>
            </w:pPr>
            <w:r>
              <w:rPr>
                <w:b/>
                <w:bCs/>
              </w:rPr>
              <w:t xml:space="preserve">Dashboard information architecture</w:t>
            </w:r>
            <w:r>
              <w:t xml:space="preserve"> </w:t>
            </w:r>
            <w:r>
              <w:t xml:space="preserve">with</w:t>
            </w:r>
            <w:r>
              <w:t xml:space="preserve"> </w:t>
            </w:r>
            <w:r>
              <w:rPr>
                <w:b/>
                <w:bCs/>
              </w:rPr>
              <w:t xml:space="preserve">report templates</w:t>
            </w:r>
          </w:p>
        </w:tc>
        <w:tc>
          <w:tcPr/>
          <w:p>
            <w:pPr>
              <w:pStyle w:val="Compact"/>
            </w:pPr>
            <w:r>
              <w:t xml:space="preserve">Safe only as specification work; implementation must remain downstream of canonical SQL. fileciteturn0file2L2198-L2230 fileciteturn0file1L1478-L1492</w:t>
            </w:r>
          </w:p>
        </w:tc>
      </w:tr>
    </w:tbl>
    <w:p>
      <w:pPr>
        <w:pStyle w:val="BodyText"/>
      </w:pPr>
      <w:r>
        <w:t xml:space="preserve">The work that definitely must wait is even more important: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Must wait</w:t>
            </w:r>
          </w:p>
        </w:tc>
        <w:tc>
          <w:tcPr/>
          <w:p>
            <w:pPr>
              <w:pStyle w:val="Compact"/>
            </w:pPr>
            <w:r>
              <w:t xml:space="preserve">Why it must wait</w:t>
            </w:r>
          </w:p>
        </w:tc>
      </w:tr>
      <w:tr>
        <w:tc>
          <w:tcPr/>
          <w:p>
            <w:pPr>
              <w:pStyle w:val="Compact"/>
            </w:pPr>
            <w:r>
              <w:rPr>
                <w:b/>
                <w:bCs/>
              </w:rPr>
              <w:t xml:space="preserve">Any live or shadow route mutation</w:t>
            </w:r>
          </w:p>
        </w:tc>
        <w:tc>
          <w:tcPr/>
          <w:p>
            <w:pPr>
              <w:pStyle w:val="Compact"/>
            </w:pPr>
            <w:r>
              <w:t xml:space="preserve">All major implementation documents explicitly forbid it without operator authorization. fileciteturn0file1L128-L144 fileciteturn0file2L141-L183 fileciteturn0file3L111-L125</w:t>
            </w:r>
          </w:p>
        </w:tc>
      </w:tr>
      <w:tr>
        <w:tc>
          <w:tcPr/>
          <w:p>
            <w:pPr>
              <w:pStyle w:val="Compact"/>
            </w:pPr>
            <w:r>
              <w:rPr>
                <w:b/>
                <w:bCs/>
              </w:rPr>
              <w:t xml:space="preserve">Any forward evidence counting before activation timestamps are frozen</w:t>
            </w:r>
          </w:p>
        </w:tc>
        <w:tc>
          <w:tcPr/>
          <w:p>
            <w:pPr>
              <w:pStyle w:val="Compact"/>
            </w:pPr>
            <w:r>
              <w:t xml:space="preserve">Events before activation are historical replay only. fileciteturn0file2L202-L208</w:t>
            </w:r>
          </w:p>
        </w:tc>
      </w:tr>
      <w:tr>
        <w:tc>
          <w:tcPr/>
          <w:p>
            <w:pPr>
              <w:pStyle w:val="Compact"/>
            </w:pPr>
            <w:r>
              <w:rPr>
                <w:b/>
                <w:bCs/>
              </w:rPr>
              <w:t xml:space="preserve">Any chart-native observer activation before candle/swing/known-at contracts and matched controls exist</w:t>
            </w:r>
          </w:p>
        </w:tc>
        <w:tc>
          <w:tcPr/>
          <w:p>
            <w:pPr>
              <w:pStyle w:val="Compact"/>
            </w:pPr>
            <w:r>
              <w:t xml:space="preserve">The chart extension itself requires this sequence and starts candidate forward N from zero only after descriptive/control work. fileciteturn0file3L2043-L2052 fileciteturn0file3L2131-L2153</w:t>
            </w:r>
          </w:p>
        </w:tc>
      </w:tr>
      <w:tr>
        <w:tc>
          <w:tcPr/>
          <w:p>
            <w:pPr>
              <w:pStyle w:val="Compact"/>
            </w:pPr>
            <w:r>
              <w:rPr>
                <w:b/>
                <w:bCs/>
              </w:rPr>
              <w:t xml:space="preserve">Any prediction model training or readiness claims beyond diagnostics</w:t>
            </w:r>
          </w:p>
        </w:tc>
        <w:tc>
          <w:tcPr/>
          <w:p>
            <w:pPr>
              <w:pStyle w:val="Compact"/>
            </w:pPr>
            <w:r>
              <w:t xml:space="preserve">The observatory is explicit: readiness diagnostics only, no model training, no prediction output, no permission output. fileciteturn0file2L1830-L1890 fileciteturn0file2L2041-L2049</w:t>
            </w:r>
          </w:p>
        </w:tc>
      </w:tr>
      <w:tr>
        <w:tc>
          <w:tcPr/>
          <w:p>
            <w:pPr>
              <w:pStyle w:val="Compact"/>
            </w:pPr>
            <w:r>
              <w:rPr>
                <w:b/>
                <w:bCs/>
              </w:rPr>
              <w:t xml:space="preserve">Dashboards as decision sources</w:t>
            </w:r>
          </w:p>
        </w:tc>
        <w:tc>
          <w:tcPr/>
          <w:p>
            <w:pPr>
              <w:pStyle w:val="Compact"/>
            </w:pPr>
            <w:r>
              <w:t xml:space="preserve">They must remain downstream of warehouse and research views. fileciteturn0file2L300-L310</w:t>
            </w:r>
          </w:p>
        </w:tc>
      </w:tr>
      <w:tr>
        <w:tc>
          <w:tcPr/>
          <w:p>
            <w:pPr>
              <w:pStyle w:val="Compact"/>
            </w:pPr>
            <w:r>
              <w:rPr>
                <w:b/>
                <w:bCs/>
              </w:rPr>
              <w:t xml:space="preserve">Mass conversion of Q001–Q1058 into atomic implementation tickets</w:t>
            </w:r>
          </w:p>
        </w:tc>
        <w:tc>
          <w:tcPr/>
          <w:p>
            <w:pPr>
              <w:pStyle w:val="Compact"/>
            </w:pPr>
            <w:r>
              <w:t xml:space="preserve">The documents support family registries, not artificial decomposition. fileciteturn0file0L6578-L6609 fileciteturn0file1L1548-L1577</w:t>
            </w:r>
          </w:p>
        </w:tc>
      </w:tr>
      <w:tr>
        <w:tc>
          <w:tcPr/>
          <w:p>
            <w:pPr>
              <w:pStyle w:val="Compact"/>
            </w:pPr>
            <w:r>
              <w:rPr>
                <w:b/>
                <w:bCs/>
              </w:rPr>
              <w:t xml:space="preserve">Microservice-first decomposition</w:t>
            </w:r>
          </w:p>
        </w:tc>
        <w:tc>
          <w:tcPr/>
          <w:p>
            <w:pPr>
              <w:pStyle w:val="Compact"/>
            </w:pPr>
            <w:r>
              <w:t xml:space="preserve">The whitepaper explicitly rejects an immediate microservice mandate. fileciteturn0file0L4663-L4663</w:t>
            </w:r>
          </w:p>
        </w:tc>
      </w:tr>
    </w:tbl>
    <w:bookmarkEnd w:id="24"/>
    <w:bookmarkStart w:id="28" w:name="the-first-three-implementation-waves"/>
    <w:p>
      <w:pPr>
        <w:pStyle w:val="Heading2"/>
      </w:pPr>
      <w:r>
        <w:t xml:space="preserve">The first three implementation waves</w:t>
      </w:r>
    </w:p>
    <w:p>
      <w:pPr>
        <w:pStyle w:val="FirstParagraph"/>
      </w:pPr>
      <w:r>
        <w:t xml:space="preserve">The first three implementation waves should follow the user’s programme order, but with the document conflicts reconciled in advance.</w:t>
      </w:r>
    </w:p>
    <w:bookmarkStart w:id="25" w:name="wave-one"/>
    <w:p>
      <w:pPr>
        <w:pStyle w:val="Heading3"/>
      </w:pPr>
      <w:r>
        <w:t xml:space="preserve">Wave one</w:t>
      </w:r>
    </w:p>
    <w:p>
      <w:pPr>
        <w:pStyle w:val="FirstParagraph"/>
      </w:pPr>
      <w:r>
        <w:rPr>
          <w:b/>
          <w:bCs/>
        </w:rPr>
        <w:t xml:space="preserve">Canonical reconciliation and safety baseline</w:t>
      </w:r>
    </w:p>
    <w:p>
      <w:pPr>
        <w:pStyle w:val="BodyText"/>
      </w:pPr>
      <w:r>
        <w:t xml:space="preserve">This wave should produce the artifact inventory, precedence register, contradiction/supersession graph, canonical SQL target model, live/shadow untouched manifest, current-state vs target-state gap analysis, and question-family consolidation draft. It should also freeze route/version/evidence-layer vocabulary and document all protected files and processes before any schema work begins. This is the only safe interpretation of the artifact protocol, the forward observatory’s repository audit, and the chart-native Phase Zero audit. fileciteturn0file1L297-L374 fileciteturn0file1L376-L440 fileciteturn0file2L3019-L3033 fileciteturn0file3L1967-L1975</w:t>
      </w:r>
    </w:p>
    <w:bookmarkEnd w:id="25"/>
    <w:bookmarkStart w:id="26" w:name="wave-two"/>
    <w:p>
      <w:pPr>
        <w:pStyle w:val="Heading3"/>
      </w:pPr>
      <w:r>
        <w:t xml:space="preserve">Wave two</w:t>
      </w:r>
    </w:p>
    <w:p>
      <w:pPr>
        <w:pStyle w:val="FirstParagraph"/>
      </w:pPr>
      <w:r>
        <w:rPr>
          <w:b/>
          <w:bCs/>
        </w:rPr>
        <w:t xml:space="preserve">Evidence integrity and independent-sample foundation</w:t>
      </w:r>
    </w:p>
    <w:p>
      <w:pPr>
        <w:pStyle w:val="BodyText"/>
      </w:pPr>
      <w:r>
        <w:t xml:space="preserve">This wave should implement or reconcile the contamination ledger, evidence dependency graph, multiple-testing registry, researcher exposure ledger, market-structure/data-version ledger, timestamp contracts, partial-candle handling, missing-data states, and canonical event/cycle identities with clearly frozen reset and censoring rules. This is the wave that prevents the rest of the roadmap from being scientifically hollow. fileciteturn0file0L6628-L6697 fileciteturn0file0L6888-L6902 fileciteturn0file0L7121-L7135 fileciteturn0file2L401-L463 fileciteturn0file1L958-L1015</w:t>
      </w:r>
    </w:p>
    <w:bookmarkEnd w:id="26"/>
    <w:bookmarkStart w:id="27" w:name="wave-three"/>
    <w:p>
      <w:pPr>
        <w:pStyle w:val="Heading3"/>
      </w:pPr>
      <w:r>
        <w:t xml:space="preserve">Wave three</w:t>
      </w:r>
    </w:p>
    <w:p>
      <w:pPr>
        <w:pStyle w:val="FirstParagraph"/>
      </w:pPr>
      <w:r>
        <w:rPr>
          <w:b/>
          <w:bCs/>
        </w:rPr>
        <w:t xml:space="preserve">Shared observation substrate</w:t>
      </w:r>
    </w:p>
    <w:p>
      <w:pPr>
        <w:pStyle w:val="BodyText"/>
      </w:pPr>
      <w:r>
        <w:t xml:space="preserve">Only after Waves One and Two should the programme implement the shared recorders and object foundations that many later streams need: immutable event master, structural cycle resolver, state store, path recorder, label finalizer, raw-vs-independent-N aggregates, and the chart-object foundations up through candle normalization, confirmed swing extraction, level registry, push geometry, and feature dictionary. The key boundary is that this wave can create</w:t>
      </w:r>
      <w:r>
        <w:t xml:space="preserve"> </w:t>
      </w:r>
      <w:r>
        <w:rPr>
          <w:i/>
          <w:iCs/>
        </w:rPr>
        <w:t xml:space="preserve">substrate and instrumentation</w:t>
      </w:r>
      <w:r>
        <w:t xml:space="preserve"> </w:t>
      </w:r>
      <w:r>
        <w:t xml:space="preserve">but should stop short of broad candidate activation, chart-bucket explosion, or prediction modeling. fileciteturn0file2L3034-L3054 fileciteturn0file2L1908-L2066 fileciteturn0file3L1977-L1999 fileciteturn0file3L2131-L2145</w:t>
      </w:r>
    </w:p>
    <w:p>
      <w:pPr>
        <w:pStyle w:val="BodyText"/>
      </w:pPr>
      <w:r>
        <w:t xml:space="preserve">This sequence is also the best way to reconcile the whitepaper’s two roadmap styles. The general whitepaper roadmap says build constitutional and state foundations first; the later v0.3 sequence says evidence safety and cycle integrity must precede route separation, forward observatory, and advanced decision research. The user’s mandated Phase Zero to Phase Nine order is therefore consistent with the documents once the ambiguity is made explicit. fileciteturn0file0L4927-L5007 fileciteturn0file0L7121-L7170</w:t>
      </w:r>
    </w:p>
    <w:bookmarkEnd w:id="27"/>
    <w:bookmarkEnd w:id="28"/>
    <w:bookmarkStart w:id="29" w:name="X734aa200b04da01f100914118dc3ec355c8befd"/>
    <w:p>
      <w:pPr>
        <w:pStyle w:val="Heading2"/>
      </w:pPr>
      <w:r>
        <w:t xml:space="preserve">What cannot be finalized without the repo audit and what needs operator approval</w:t>
      </w:r>
    </w:p>
    <w:p>
      <w:pPr>
        <w:pStyle w:val="FirstParagraph"/>
      </w:pPr>
      <w:r>
        <w:t xml:space="preserve">A large part of the roadmap cannot be finalized from the documents alone, because the documents themselves repeatedly require a repository audit before implementation. The open unknowns include the actual collector landscape; current schemas and row counts; whether partial event/cycle IDs already exist; current dashboard/API dependencies; duplicate candle/swing/chart implementations; protected live/shadow files; real OI, basis, path, and order-book coverage; current state-label taxonomies; storage/disk ceilings; and the actual degree of drift between stored results and reproducible code. Until that audit is complete, any final dependency map would be structurally underpowered. fileciteturn0file1L237-L281 fileciteturn0file2L3019-L3033 fileciteturn0file3L1967-L1975</w:t>
      </w:r>
    </w:p>
    <w:p>
      <w:pPr>
        <w:pStyle w:val="BodyText"/>
      </w:pPr>
      <w:r>
        <w:t xml:space="preserve">The questions that remain non-final without repo-state evidence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Cannot be finalized yet</w:t>
            </w:r>
          </w:p>
        </w:tc>
        <w:tc>
          <w:tcPr/>
          <w:p>
            <w:pPr>
              <w:pStyle w:val="Compact"/>
            </w:pPr>
            <w:r>
              <w:t xml:space="preserve">Why</w:t>
            </w:r>
          </w:p>
        </w:tc>
      </w:tr>
      <w:tr>
        <w:tc>
          <w:tcPr/>
          <w:p>
            <w:pPr>
              <w:pStyle w:val="Compact"/>
            </w:pPr>
            <w:r>
              <w:rPr>
                <w:b/>
                <w:bCs/>
              </w:rPr>
              <w:t xml:space="preserve">Current implementation gap analysis</w:t>
            </w:r>
          </w:p>
        </w:tc>
        <w:tc>
          <w:tcPr/>
          <w:p>
            <w:pPr>
              <w:pStyle w:val="Compact"/>
            </w:pPr>
            <w:r>
              <w:t xml:space="preserve">The repo may already contain partial state engines, chart code, registries, or dashboards not visible in the documents. fileciteturn0file2L3019-L3026 fileciteturn0file3L1969-L1974</w:t>
            </w:r>
          </w:p>
        </w:tc>
      </w:tr>
      <w:tr>
        <w:tc>
          <w:tcPr/>
          <w:p>
            <w:pPr>
              <w:pStyle w:val="Compact"/>
            </w:pPr>
            <w:r>
              <w:rPr>
                <w:b/>
                <w:bCs/>
              </w:rPr>
              <w:t xml:space="preserve">Schema migration plan and warehouse merge strategy</w:t>
            </w:r>
          </w:p>
        </w:tc>
        <w:tc>
          <w:tcPr/>
          <w:p>
            <w:pPr>
              <w:pStyle w:val="Compact"/>
            </w:pPr>
            <w:r>
              <w:t xml:space="preserve">The documents propose canonical tables, but the current database topology and compatibility surface are unknown. fileciteturn0file1L560-L742</w:t>
            </w:r>
          </w:p>
        </w:tc>
      </w:tr>
      <w:tr>
        <w:tc>
          <w:tcPr/>
          <w:p>
            <w:pPr>
              <w:pStyle w:val="Compact"/>
            </w:pPr>
            <w:r>
              <w:rPr>
                <w:b/>
                <w:bCs/>
              </w:rPr>
              <w:t xml:space="preserve">Storage and compute plan</w:t>
            </w:r>
          </w:p>
        </w:tc>
        <w:tc>
          <w:tcPr/>
          <w:p>
            <w:pPr>
              <w:pStyle w:val="Compact"/>
            </w:pPr>
            <w:r>
              <w:t xml:space="preserve">Snapshot frequency, path retention, and chart-object density depend on current infra and symbol coverage. fileciteturn0file2L2771-L2809</w:t>
            </w:r>
          </w:p>
        </w:tc>
      </w:tr>
      <w:tr>
        <w:tc>
          <w:tcPr/>
          <w:p>
            <w:pPr>
              <w:pStyle w:val="Compact"/>
            </w:pPr>
            <w:r>
              <w:rPr>
                <w:b/>
                <w:bCs/>
              </w:rPr>
              <w:t xml:space="preserve">Which question families are already partially answered in code or reports</w:t>
            </w:r>
          </w:p>
        </w:tc>
        <w:tc>
          <w:tcPr/>
          <w:p>
            <w:pPr>
              <w:pStyle w:val="Compact"/>
            </w:pPr>
            <w:r>
              <w:t xml:space="preserve">The documents describe current question coverage abstractly, but not the full live registry implementation. fileciteturn0file1L1548-L1577</w:t>
            </w:r>
          </w:p>
        </w:tc>
      </w:tr>
      <w:tr>
        <w:tc>
          <w:tcPr/>
          <w:p>
            <w:pPr>
              <w:pStyle w:val="Compact"/>
            </w:pPr>
            <w:r>
              <w:rPr>
                <w:b/>
                <w:bCs/>
              </w:rPr>
              <w:t xml:space="preserve">Which interfaces are truly missing vs already implemented informally</w:t>
            </w:r>
          </w:p>
        </w:tc>
        <w:tc>
          <w:tcPr/>
          <w:p>
            <w:pPr>
              <w:pStyle w:val="Compact"/>
            </w:pPr>
            <w:r>
              <w:t xml:space="preserve">Observers, chart engines, and dashboards may already share undocumented utilities or conflicting versions. fileciteturn0file3L2127-L2129</w:t>
            </w:r>
          </w:p>
        </w:tc>
      </w:tr>
      <w:tr>
        <w:tc>
          <w:tcPr/>
          <w:p>
            <w:pPr>
              <w:pStyle w:val="Compact"/>
            </w:pPr>
            <w:r>
              <w:rPr>
                <w:b/>
                <w:bCs/>
              </w:rPr>
              <w:t xml:space="preserve">Protected untouched components manifest</w:t>
            </w:r>
          </w:p>
        </w:tc>
        <w:tc>
          <w:tcPr/>
          <w:p>
            <w:pPr>
              <w:pStyle w:val="Compact"/>
            </w:pPr>
            <w:r>
              <w:t xml:space="preserve">It must be repo-derived, not guessed from documents. fileciteturn0file2L3021-L3024</w:t>
            </w:r>
          </w:p>
        </w:tc>
      </w:tr>
    </w:tbl>
    <w:p>
      <w:pPr>
        <w:pStyle w:val="BodyText"/>
      </w:pPr>
      <w:r>
        <w:t xml:space="preserve">The most important operator-approval items are already partially specified in the artifact protocol’s decision queue, and several more emerge naturally from the cross-document reconciliation.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Operator approval topic</w:t>
            </w:r>
          </w:p>
        </w:tc>
        <w:tc>
          <w:tcPr/>
          <w:p>
            <w:pPr>
              <w:pStyle w:val="Compact"/>
            </w:pPr>
            <w:r>
              <w:t xml:space="preserve">Why operator approval is required</w:t>
            </w:r>
          </w:p>
        </w:tc>
      </w:tr>
      <w:tr>
        <w:tc>
          <w:tcPr/>
          <w:p>
            <w:pPr>
              <w:pStyle w:val="Compact"/>
            </w:pPr>
            <w:r>
              <w:rPr>
                <w:b/>
                <w:bCs/>
              </w:rPr>
              <w:t xml:space="preserve">Canonical precedence exceptions and conflict resolutions</w:t>
            </w:r>
          </w:p>
        </w:tc>
        <w:tc>
          <w:tcPr/>
          <w:p>
            <w:pPr>
              <w:pStyle w:val="Compact"/>
            </w:pPr>
            <w:r>
              <w:t xml:space="preserve">The four documents overlap; when they disagree, the project needs a recorded decision, not silent harmonization. fileciteturn0file1L415-L440</w:t>
            </w:r>
          </w:p>
        </w:tc>
      </w:tr>
      <w:tr>
        <w:tc>
          <w:tcPr/>
          <w:p>
            <w:pPr>
              <w:pStyle w:val="Compact"/>
            </w:pPr>
            <w:r>
              <w:rPr>
                <w:b/>
                <w:bCs/>
              </w:rPr>
              <w:t xml:space="preserve">Cycle definition version and reset/censoring policy</w:t>
            </w:r>
          </w:p>
        </w:tc>
        <w:tc>
          <w:tcPr/>
          <w:p>
            <w:pPr>
              <w:pStyle w:val="Compact"/>
            </w:pPr>
            <w:r>
              <w:t xml:space="preserve">This choice changes statistical denominators everywhere. fileciteturn0file0L6159-L6204 fileciteturn0file2L383-L397</w:t>
            </w:r>
          </w:p>
        </w:tc>
      </w:tr>
      <w:tr>
        <w:tc>
          <w:tcPr/>
          <w:p>
            <w:pPr>
              <w:pStyle w:val="Compact"/>
            </w:pPr>
            <w:r>
              <w:rPr>
                <w:b/>
                <w:bCs/>
              </w:rPr>
              <w:t xml:space="preserve">Whether historically negative BUY_FADE shadow logic remains observation-only, is formally retired, or is split into new families</w:t>
            </w:r>
          </w:p>
        </w:tc>
        <w:tc>
          <w:tcPr/>
          <w:p>
            <w:pPr>
              <w:pStyle w:val="Compact"/>
            </w:pPr>
            <w:r>
              <w:t xml:space="preserve">This is listed directly in the artifact protocol’s decision queue. fileciteturn0file1L1888-L1893</w:t>
            </w:r>
          </w:p>
        </w:tc>
      </w:tr>
      <w:tr>
        <w:tc>
          <w:tcPr/>
          <w:p>
            <w:pPr>
              <w:pStyle w:val="Compact"/>
            </w:pPr>
            <w:r>
              <w:rPr>
                <w:b/>
                <w:bCs/>
              </w:rPr>
              <w:t xml:space="preserve">Whether</w:t>
            </w:r>
            <w:r>
              <w:rPr>
                <w:b/>
                <w:bCs/>
              </w:rPr>
              <w:t xml:space="preserve"> </w:t>
            </w:r>
            <w:r>
              <w:rPr>
                <w:rStyle w:val="VerbatimChar"/>
                <w:b/>
                <w:bCs/>
              </w:rPr>
              <w:t xml:space="preserve">bd_first_buy50</w:t>
            </w:r>
            <w:r>
              <w:rPr>
                <w:b/>
                <w:bCs/>
              </w:rPr>
              <w:t xml:space="preserve"> </w:t>
            </w:r>
            <w:r>
              <w:rPr>
                <w:b/>
                <w:bCs/>
              </w:rPr>
              <w:t xml:space="preserve">remains a pure observation exit monitor</w:t>
            </w:r>
          </w:p>
        </w:tc>
        <w:tc>
          <w:tcPr/>
          <w:p>
            <w:pPr>
              <w:pStyle w:val="Compact"/>
            </w:pPr>
            <w:r>
              <w:t xml:space="preserve">Also explicitly listed in the artifact decision queue. fileciteturn0file1L1890-L1892</w:t>
            </w:r>
          </w:p>
        </w:tc>
      </w:tr>
      <w:tr>
        <w:tc>
          <w:tcPr/>
          <w:p>
            <w:pPr>
              <w:pStyle w:val="Compact"/>
            </w:pPr>
            <w:r>
              <w:rPr>
                <w:b/>
                <w:bCs/>
              </w:rPr>
              <w:t xml:space="preserve">Whether BAD_TIMING re-entry is preregistered</w:t>
            </w:r>
          </w:p>
        </w:tc>
        <w:tc>
          <w:tcPr/>
          <w:p>
            <w:pPr>
              <w:pStyle w:val="Compact"/>
            </w:pPr>
            <w:r>
              <w:t xml:space="preserve">Explicitly listed in the artifact decision queue and tightly linked to forward contamination risk. fileciteturn0file1L1891-L1893</w:t>
            </w:r>
          </w:p>
        </w:tc>
      </w:tr>
      <w:tr>
        <w:tc>
          <w:tcPr/>
          <w:p>
            <w:pPr>
              <w:pStyle w:val="Compact"/>
            </w:pPr>
            <w:r>
              <w:rPr>
                <w:b/>
                <w:bCs/>
              </w:rPr>
              <w:t xml:space="preserve">Whether 4h-DOWN + silence continuation becomes a frozen candidate</w:t>
            </w:r>
          </w:p>
        </w:tc>
        <w:tc>
          <w:tcPr/>
          <w:p>
            <w:pPr>
              <w:pStyle w:val="Compact"/>
            </w:pPr>
            <w:r>
              <w:t xml:space="preserve">Explicitly listed in the artifact decision queue. fileciteturn0file1L1892-L1894</w:t>
            </w:r>
          </w:p>
        </w:tc>
      </w:tr>
      <w:tr>
        <w:tc>
          <w:tcPr/>
          <w:p>
            <w:pPr>
              <w:pStyle w:val="Compact"/>
            </w:pPr>
            <w:r>
              <w:rPr>
                <w:b/>
                <w:bCs/>
              </w:rPr>
              <w:t xml:space="preserve">When OI-genesis becomes data-ready</w:t>
            </w:r>
          </w:p>
        </w:tc>
        <w:tc>
          <w:tcPr/>
          <w:p>
            <w:pPr>
              <w:pStyle w:val="Compact"/>
            </w:pPr>
            <w:r>
              <w:t xml:space="preserve">Also explicitly listed, and it affects several question families. fileciteturn0file1L1893-L1895</w:t>
            </w:r>
          </w:p>
        </w:tc>
      </w:tr>
      <w:tr>
        <w:tc>
          <w:tcPr/>
          <w:p>
            <w:pPr>
              <w:pStyle w:val="Compact"/>
            </w:pPr>
            <w:r>
              <w:rPr>
                <w:b/>
                <w:bCs/>
              </w:rPr>
              <w:t xml:space="preserve">Whether to activate any new forward observer family</w:t>
            </w:r>
          </w:p>
        </w:tc>
        <w:tc>
          <w:tcPr/>
          <w:p>
            <w:pPr>
              <w:pStyle w:val="Compact"/>
            </w:pPr>
            <w:r>
              <w:t xml:space="preserve">The observatory forbids automatic experiment starts and automatic promotion; chart-native also says candidates start at N=0 only after shortlist/freeze. fileciteturn0file2L68-L86 fileciteturn0file2L202-L208 fileciteturn0file3L2043-L2052</w:t>
            </w:r>
          </w:p>
        </w:tc>
      </w:tr>
      <w:tr>
        <w:tc>
          <w:tcPr/>
          <w:p>
            <w:pPr>
              <w:pStyle w:val="Compact"/>
            </w:pPr>
            <w:r>
              <w:rPr>
                <w:b/>
                <w:bCs/>
              </w:rPr>
              <w:t xml:space="preserve">Who is authorized to submit human chart observations and how post-hoc labels are governed</w:t>
            </w:r>
          </w:p>
        </w:tc>
        <w:tc>
          <w:tcPr/>
          <w:p>
            <w:pPr>
              <w:pStyle w:val="Compact"/>
            </w:pPr>
            <w:r>
              <w:t xml:space="preserve">The chart-native document allows such observations only under strict timestamp and screenshot provenance rules. fileciteturn0file3L965-L1037</w:t>
            </w:r>
          </w:p>
        </w:tc>
      </w:tr>
      <w:tr>
        <w:tc>
          <w:tcPr/>
          <w:p>
            <w:pPr>
              <w:pStyle w:val="Compact"/>
            </w:pPr>
            <w:r>
              <w:rPr>
                <w:b/>
                <w:bCs/>
              </w:rPr>
              <w:t xml:space="preserve">Whether any chart-native family graduates from “descriptive research” to frozen forward observer</w:t>
            </w:r>
          </w:p>
        </w:tc>
        <w:tc>
          <w:tcPr/>
          <w:p>
            <w:pPr>
              <w:pStyle w:val="Compact"/>
            </w:pPr>
            <w:r>
              <w:t xml:space="preserve">The chart-native final rule is explicit that pattern, claim, edge, and permission are different layers. fileciteturn0file3L2163-L2190</w:t>
            </w:r>
          </w:p>
        </w:tc>
      </w:tr>
    </w:tbl>
    <w:p>
      <w:pPr>
        <w:pStyle w:val="BodyText"/>
      </w:pPr>
      <w:r>
        <w:t xml:space="preserve">The bottom line is straightforward. The four documents do reconcile into one coherent programme, but only if the programme is sequenced as:</w:t>
      </w:r>
      <w:r>
        <w:t xml:space="preserve"> </w:t>
      </w:r>
      <w:r>
        <w:rPr>
          <w:b/>
          <w:bCs/>
        </w:rPr>
        <w:t xml:space="preserve">reconcile truth first, protect safety boundaries second, fix evidence integrity third, establish event/cycle identity fourth, build shared observation substrate fifth, and only then expand into forward observers, dashboards, and chart-native research families.</w:t>
      </w:r>
      <w:r>
        <w:t xml:space="preserve"> </w:t>
      </w:r>
      <w:r>
        <w:t xml:space="preserve">Any attempt to invert that order will almost certainly create a bigger system, but not a safer or more scientifically valid one. fileciteturn0file0L1482-L1495 fileciteturn0file1L50-L67 fileciteturn0file2L3307-L3317 fileciteturn0file3L2119-L2145</w:t>
      </w:r>
    </w:p>
    <w:bookmarkEnd w:id="29"/>
    <w:bookmarkEnd w:id="30"/>
    <w:bookmarkEnd w:id="31"/>
    <w:p>
      <w:r>
        <w:pict>
          <v:rect style="width:0;height:1.5pt" o:hralign="center" o:hrstd="t" o:hr="t"/>
        </w:pict>
      </w:r>
    </w:p>
    <w:bookmarkStart w:id="32" w:name="citations"/>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2026-07-03T16:49:55Z</dcterms:created>
  <dcterms:modified xsi:type="dcterms:W3CDTF">2026-07-03T16:49:55Z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