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tyle1"/>
        <w:spacing w:line="264" w:lineRule="auto"/>
        <w:rPr>
          <w:sz w:val="32"/>
          <w:szCs w:val="32"/>
        </w:rPr>
      </w:pPr>
      <w:r>
        <w:rPr>
          <w:outline w:val="0"/>
          <w:color w:val="000000"/>
          <w:u w:color="000000"/>
          <w14:textFill>
            <w14:solidFill>
              <w14:srgbClr w14:val="000000"/>
            </w14:solidFill>
          </w14:textFill>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-13958</wp:posOffset>
                </wp:positionH>
                <wp:positionV relativeFrom="line">
                  <wp:posOffset>-279203</wp:posOffset>
                </wp:positionV>
                <wp:extent cx="1500734" cy="242861"/>
                <wp:effectExtent l="0" t="0" r="0" b="0"/>
                <wp:wrapNone/>
                <wp:docPr id="1073741825" name="officeArt object" descr="Text Box 1"/>
                <wp:cNvGraphicFramePr/>
                <a:graphic xmlns:a="http://schemas.openxmlformats.org/drawingml/2006/main">
                  <a:graphicData uri="http://schemas.microsoft.com/office/word/2010/wordprocessingShape">
                    <wps:wsp>
                      <wps:cNvSpPr txBox="1"/>
                      <wps:spPr>
                        <a:xfrm>
                          <a:off x="0" y="0"/>
                          <a:ext cx="1500734" cy="242861"/>
                        </a:xfrm>
                        <a:prstGeom prst="rect">
                          <a:avLst/>
                        </a:prstGeom>
                        <a:solidFill>
                          <a:srgbClr val="FFFFFF"/>
                        </a:solidFill>
                        <a:ln w="12700" cap="flat">
                          <a:solidFill>
                            <a:schemeClr val="accent1"/>
                          </a:solidFill>
                          <a:prstDash val="solid"/>
                          <a:round/>
                        </a:ln>
                        <a:effectLst/>
                      </wps:spPr>
                      <wps:txbx>
                        <w:txbxContent>
                          <w:p>
                            <w:pPr>
                              <w:pStyle w:val="Body A"/>
                            </w:pPr>
                            <w:r>
                              <w:rPr>
                                <w:b w:val="1"/>
                                <w:bCs w:val="1"/>
                                <w:outline w:val="0"/>
                                <w:color w:val="4f81bd"/>
                                <w:u w:color="4f81bd"/>
                                <w:rtl w:val="0"/>
                                <w:lang w:val="de-DE"/>
                                <w14:textFill>
                                  <w14:solidFill>
                                    <w14:srgbClr w14:val="4F81BD"/>
                                  </w14:solidFill>
                                </w14:textFill>
                              </w:rPr>
                              <w:t>RESEARCH ARTICLE</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1.1pt;margin-top:-22.0pt;width:118.2pt;height:19.1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4F81BD" opacity="100.0%" weight="1.0pt" dashstyle="solid" endcap="flat" joinstyle="round" linestyle="single" startarrow="none" startarrowwidth="medium" startarrowlength="medium" endarrow="none" endarrowwidth="medium" endarrowlength="medium"/>
                <v:textbox>
                  <w:txbxContent>
                    <w:p>
                      <w:pPr>
                        <w:pStyle w:val="Body A"/>
                      </w:pPr>
                      <w:r>
                        <w:rPr>
                          <w:b w:val="1"/>
                          <w:bCs w:val="1"/>
                          <w:outline w:val="0"/>
                          <w:color w:val="4f81bd"/>
                          <w:u w:color="4f81bd"/>
                          <w:rtl w:val="0"/>
                          <w:lang w:val="de-DE"/>
                          <w14:textFill>
                            <w14:solidFill>
                              <w14:srgbClr w14:val="4F81BD"/>
                            </w14:solidFill>
                          </w14:textFill>
                        </w:rPr>
                        <w:t>RESEARCH ARTICLE</w:t>
                      </w:r>
                    </w:p>
                  </w:txbxContent>
                </v:textbox>
                <w10:wrap type="none" side="bothSides" anchorx="text"/>
              </v:shape>
            </w:pict>
          </mc:Fallback>
        </mc:AlternateContent>
      </w:r>
      <w:r>
        <w:rPr>
          <w:sz w:val="32"/>
          <w:szCs w:val="32"/>
          <w:rtl w:val="0"/>
          <w:lang w:val="en-US"/>
        </w:rPr>
        <w:t>A Machine Learning Approach for Identifying Favorable Sites for Renewable Energy Installations</w:t>
      </w:r>
    </w:p>
    <w:p>
      <w:pPr>
        <w:pStyle w:val="Body A"/>
        <w:spacing w:line="264" w:lineRule="auto"/>
      </w:pPr>
      <w:r>
        <w:rPr>
          <w:rStyle w:val="Hyperlink.0"/>
          <w:rtl w:val="0"/>
          <w:lang w:val="en-US"/>
        </w:rPr>
        <w:t xml:space="preserve">Phoenix Sheppard </w:t>
      </w:r>
      <w:r>
        <w:rPr>
          <w:rtl w:val="0"/>
          <w:lang w:val="nl-NL"/>
        </w:rPr>
        <w:t>(student)</w:t>
      </w:r>
      <w:r>
        <w:rPr>
          <w:vertAlign w:val="superscript"/>
          <w:rtl w:val="0"/>
          <w:lang w:val="ru-RU"/>
        </w:rPr>
        <w:t xml:space="preserve">1 </w:t>
      </w:r>
      <w:r>
        <w:rPr>
          <w:vertAlign w:val="superscript"/>
          <w:rtl w:val="0"/>
          <w:lang w:val="en-US"/>
        </w:rPr>
        <w:t>*</w:t>
      </w:r>
    </w:p>
    <w:p>
      <w:pPr>
        <w:pStyle w:val="Body A"/>
        <w:numPr>
          <w:ilvl w:val="0"/>
          <w:numId w:val="2"/>
        </w:numPr>
        <w:bidi w:val="0"/>
        <w:spacing w:line="264" w:lineRule="auto"/>
        <w:ind w:right="0"/>
        <w:jc w:val="both"/>
        <w:rPr>
          <w:rtl w:val="0"/>
          <w:lang w:val="en-US"/>
        </w:rPr>
      </w:pPr>
      <w:r>
        <w:rPr>
          <w:rStyle w:val="Hyperlink.0"/>
          <w:rtl w:val="0"/>
          <w:lang w:val="en-US"/>
        </w:rPr>
        <w:t>High School for Mathematics, Science and Engineering</w:t>
      </w:r>
      <w:r>
        <w:rPr>
          <w:rtl w:val="0"/>
          <w:lang w:val="de-DE"/>
        </w:rPr>
        <w:t xml:space="preserve">, </w:t>
      </w:r>
      <w:r>
        <w:rPr>
          <w:rStyle w:val="Hyperlink.0"/>
          <w:rtl w:val="0"/>
          <w:lang w:val="en-US"/>
        </w:rPr>
        <w:t>240 Convent Ave</w:t>
      </w:r>
      <w:r>
        <w:rPr>
          <w:rtl w:val="0"/>
          <w:lang w:val="de-DE"/>
        </w:rPr>
        <w:t xml:space="preserve">, </w:t>
      </w:r>
      <w:r>
        <w:rPr>
          <w:rStyle w:val="Hyperlink.0"/>
          <w:rtl w:val="0"/>
          <w:lang w:val="en-US"/>
        </w:rPr>
        <w:t>New York</w:t>
      </w:r>
      <w:r>
        <w:rPr>
          <w:rtl w:val="0"/>
          <w:lang w:val="de-DE"/>
        </w:rPr>
        <w:t xml:space="preserve">, </w:t>
      </w:r>
      <w:r>
        <w:rPr>
          <w:rStyle w:val="Hyperlink.0"/>
          <w:rtl w:val="0"/>
          <w:lang w:val="en-US"/>
        </w:rPr>
        <w:t>NY</w:t>
      </w:r>
      <w:r>
        <w:rPr>
          <w:rtl w:val="0"/>
          <w:lang w:val="de-DE"/>
        </w:rPr>
        <w:t xml:space="preserve">, </w:t>
      </w:r>
      <w:r>
        <w:rPr>
          <w:rStyle w:val="Hyperlink.0"/>
          <w:rtl w:val="0"/>
          <w:lang w:val="en-US"/>
        </w:rPr>
        <w:t>10031</w:t>
      </w:r>
      <w:r>
        <w:rPr>
          <w:rtl w:val="0"/>
          <w:lang w:val="de-DE"/>
        </w:rPr>
        <w:t xml:space="preserve">, </w:t>
      </w:r>
      <w:r>
        <w:rPr>
          <w:rStyle w:val="Hyperlink.0"/>
          <w:rtl w:val="0"/>
          <w:lang w:val="en-US"/>
        </w:rPr>
        <w:t>USA</w:t>
      </w:r>
    </w:p>
    <w:p>
      <w:pPr>
        <w:pStyle w:val="Body A"/>
        <w:spacing w:line="264" w:lineRule="auto"/>
        <w:rPr>
          <w:rStyle w:val="Hyperlink.0"/>
          <w:lang w:val="en-US"/>
        </w:rPr>
      </w:pPr>
      <w:r>
        <w:rPr>
          <w:rStyle w:val="Hyperlink.0"/>
          <w:rtl w:val="0"/>
          <w:lang w:val="en-US"/>
        </w:rPr>
        <w:t>* Corresponding author email: phoenixsheppard28@gmail.com</w:t>
      </w:r>
    </w:p>
    <w:p>
      <w:pPr>
        <w:pStyle w:val="Style1"/>
        <w:spacing w:line="264" w:lineRule="auto"/>
      </w:pPr>
      <w:r>
        <w:rPr>
          <w:rStyle w:val="None A"/>
          <w:rtl w:val="0"/>
          <w:lang w:val="en-US"/>
        </w:rPr>
        <w:t xml:space="preserve">Abstract </w:t>
      </w:r>
    </w:p>
    <w:p>
      <w:pPr>
        <w:pStyle w:val="Body A"/>
        <w:spacing w:line="240" w:lineRule="auto"/>
        <w:rPr>
          <w:rStyle w:val="Hyperlink.0"/>
          <w:lang w:val="en-US"/>
        </w:rPr>
      </w:pPr>
      <w:r>
        <w:rPr>
          <w:rStyle w:val="Hyperlink.0"/>
          <w:rtl w:val="0"/>
          <w:lang w:val="en-US"/>
        </w:rPr>
        <w:t>This paper demonstrates the application of machine learning in determining suitability for utility-scale sites for renewable energy production. Supervised algorithms such as Random Forest Classifiers are employed in a Semi-Supervised learning process that allows underlying trends in suitable and unsuitable sites to be extrapolated to a mostly unlabeled dataset. The model iteratively trains from the pseudo labels it creates throughout this process until all data points in the data set are labeled. This allows the small percentage of hand-labeled data to be leveraged in the larger dataset. Anyone can use this open-source tool to quickly and precisely determine suitable locations for utility-scale and personal installations based on the available renewable resources. It can also be used to influence future policy decisions around renewable energy.</w:t>
      </w:r>
    </w:p>
    <w:p>
      <w:pPr>
        <w:pStyle w:val="Style1"/>
        <w:spacing w:line="264" w:lineRule="auto"/>
      </w:pPr>
      <w:r>
        <w:rPr>
          <w:rStyle w:val="None A"/>
          <w:rtl w:val="0"/>
          <w:lang w:val="en-US"/>
        </w:rPr>
        <w:t>Keywords</w:t>
      </w:r>
    </w:p>
    <w:p>
      <w:pPr>
        <w:pStyle w:val="Body A"/>
        <w:spacing w:line="240" w:lineRule="auto"/>
      </w:pPr>
      <w:r>
        <w:rPr>
          <w:rStyle w:val="Hyperlink.0"/>
          <w:rtl w:val="0"/>
          <w:lang w:val="en-US"/>
        </w:rPr>
        <w:t>Robotics and Intelligent Machines</w:t>
      </w:r>
      <w:r>
        <w:rPr>
          <w:rtl w:val="0"/>
          <w:lang w:val="de-DE"/>
        </w:rPr>
        <w:t xml:space="preserve">; </w:t>
      </w:r>
      <w:r>
        <w:rPr>
          <w:rStyle w:val="Hyperlink.0"/>
          <w:rtl w:val="0"/>
          <w:lang w:val="en-US"/>
        </w:rPr>
        <w:t>Machine Learning</w:t>
      </w:r>
      <w:r>
        <w:rPr>
          <w:rtl w:val="0"/>
          <w:lang w:val="de-DE"/>
        </w:rPr>
        <w:t xml:space="preserve">; </w:t>
      </w:r>
      <w:r>
        <w:rPr>
          <w:rStyle w:val="Hyperlink.0"/>
          <w:rtl w:val="0"/>
          <w:lang w:val="en-US"/>
        </w:rPr>
        <w:t>Semi-supervised Learning</w:t>
      </w:r>
      <w:r>
        <w:rPr>
          <w:rtl w:val="0"/>
          <w:lang w:val="de-DE"/>
        </w:rPr>
        <w:t xml:space="preserve">; </w:t>
      </w:r>
      <w:r>
        <w:rPr>
          <w:rStyle w:val="Hyperlink.0"/>
          <w:rtl w:val="0"/>
          <w:lang w:val="en-US"/>
        </w:rPr>
        <w:t>Renewable Energy</w:t>
      </w:r>
      <w:r>
        <w:rPr>
          <w:rtl w:val="0"/>
          <w:lang w:val="de-DE"/>
        </w:rPr>
        <w:t xml:space="preserve">; </w:t>
      </w:r>
      <w:r>
        <w:rPr>
          <w:rStyle w:val="Hyperlink.0"/>
          <w:rtl w:val="0"/>
          <w:lang w:val="en-US"/>
        </w:rPr>
        <w:t>Solar; Wind.</w:t>
      </w:r>
    </w:p>
    <w:p>
      <w:pPr>
        <w:pStyle w:val="Style1"/>
        <w:spacing w:line="264" w:lineRule="auto"/>
      </w:pPr>
      <w:r>
        <w:rPr>
          <w:rStyle w:val="None A"/>
          <w:rtl w:val="0"/>
          <w:lang w:val="en-US"/>
        </w:rPr>
        <w:t>Introduction</w:t>
      </w:r>
    </w:p>
    <w:p>
      <w:pPr>
        <w:pStyle w:val="Body A"/>
        <w:spacing w:line="240" w:lineRule="auto"/>
        <w:rPr>
          <w:lang w:val="en-US"/>
        </w:rPr>
      </w:pPr>
      <w:r>
        <w:rPr>
          <w:rStyle w:val="Hyperlink.0"/>
          <w:rtl w:val="0"/>
          <w:lang w:val="en-US"/>
        </w:rPr>
        <w:t>As the march into the 21st century continues inexorably, technological progress is expanding at an unprecedented rate. These new advancements often give us the feeling that we live in a state-of-the-art world, but this could not be further from the truth. In fact, most systems that power the world use technology that dates from decades or even centuries ago.</w:t>
      </w:r>
      <w:r>
        <w:rPr>
          <w:vertAlign w:val="superscript"/>
          <w:rtl w:val="0"/>
          <w:lang w:val="en-US"/>
        </w:rPr>
        <w:t xml:space="preserve">1,2 </w:t>
      </w:r>
      <w:r>
        <w:rPr>
          <w:rStyle w:val="Hyperlink.0"/>
          <w:rtl w:val="0"/>
          <w:lang w:val="en-US"/>
        </w:rPr>
        <w:t>This fossil fuel technology causes many environmental complications at various stages in the process. If an oil pipeline were to burst, for example, it could pollute the surrounding environment by leaking oil into the earth and water sources. These events destroy ecosystems, damage the planet's biodiversity, and are also dangerous to human health. In December of 2022, this occurred with the Keystone oil pipeline in Kansas.</w:t>
      </w:r>
      <w:r>
        <w:rPr>
          <w:vertAlign w:val="superscript"/>
          <w:rtl w:val="0"/>
          <w:lang w:val="en-US"/>
        </w:rPr>
        <w:t>3</w:t>
      </w:r>
      <w:r>
        <w:rPr>
          <w:rStyle w:val="Hyperlink.0"/>
          <w:rtl w:val="0"/>
          <w:lang w:val="en-US"/>
        </w:rPr>
        <w:t xml:space="preserve"> 14,000 barrels of oil were spilled into local water bodies after a stress fracture burst on the pipeline. This is an example of how fossil fuel energy can be harmful when done wrong, yet when done right, the result is always the same: the atmosphere's pollution and the rising global temperature. Fossil fuels account for 25% of the greenhouse gas emissions in the United States, second only to the transportation sector at 28%.</w:t>
      </w:r>
      <w:r>
        <w:rPr>
          <w:vertAlign w:val="superscript"/>
          <w:rtl w:val="0"/>
          <w:lang w:val="en-US"/>
        </w:rPr>
        <w:t>4</w:t>
      </w:r>
    </w:p>
    <w:p>
      <w:pPr>
        <w:pStyle w:val="Body A"/>
        <w:spacing w:line="240" w:lineRule="auto"/>
      </w:pPr>
      <w:r>
        <w:rPr>
          <w:rStyle w:val="Hyperlink.0"/>
          <w:rtl w:val="0"/>
          <w:lang w:val="en-US"/>
        </w:rPr>
        <w:t>The solution on the horizon to this insurmountable problem is renewables. Renewables eliminate both issues with fossil fuels specified before, as they cannot pollute the environment by failing in transport, and the generation of renewable energy (RE) does not contribute to greenhouse gas emissions. In addition, with the advent of electric vehicles as of late, RE is poised to eliminate the two biggest causes of greenhouse gas emissions.</w:t>
      </w:r>
      <w:r>
        <w:rPr>
          <w:rtl w:val="0"/>
          <w:lang w:val="de-DE"/>
        </w:rPr>
        <w:t> </w:t>
      </w:r>
    </w:p>
    <w:p>
      <w:pPr>
        <w:pStyle w:val="Body A"/>
        <w:spacing w:line="240" w:lineRule="auto"/>
        <w:rPr>
          <w:lang w:val="en-US"/>
        </w:rPr>
      </w:pPr>
      <w:r>
        <w:rPr>
          <w:rStyle w:val="Hyperlink.0"/>
          <w:rtl w:val="0"/>
          <w:lang w:val="en-US"/>
        </w:rPr>
        <w:t>Location is the most important factor when expanding RE installations across the country. Location determines the amount of renewable resources</w:t>
      </w:r>
      <w:r>
        <w:rPr>
          <w:rStyle w:val="Hyperlink.0"/>
          <w:rtl w:val="0"/>
          <w:lang w:val="en-US"/>
        </w:rPr>
        <w:t xml:space="preserve">– </w:t>
      </w:r>
      <w:r>
        <w:rPr>
          <w:rStyle w:val="Hyperlink.0"/>
          <w:rtl w:val="0"/>
          <w:lang w:val="en-US"/>
        </w:rPr>
        <w:t>such as solar irradiance or wind speed</w:t>
      </w:r>
      <w:r>
        <w:rPr>
          <w:rStyle w:val="Hyperlink.0"/>
          <w:rtl w:val="0"/>
          <w:lang w:val="en-US"/>
        </w:rPr>
        <w:t xml:space="preserve">– </w:t>
      </w:r>
      <w:r>
        <w:rPr>
          <w:rStyle w:val="Hyperlink.0"/>
          <w:rtl w:val="0"/>
          <w:lang w:val="en-US"/>
        </w:rPr>
        <w:t>that can be harnessed by a RE installation. This directly correlates with the amount of power that a RE installation can generate. The current process of determining a RE installation site involves many steps and variables.</w:t>
      </w:r>
      <w:r>
        <w:rPr>
          <w:vertAlign w:val="superscript"/>
          <w:rtl w:val="0"/>
          <w:lang w:val="en-US"/>
        </w:rPr>
        <w:t xml:space="preserve">5 </w:t>
      </w:r>
      <w:r>
        <w:rPr>
          <w:rStyle w:val="Hyperlink.0"/>
          <w:rtl w:val="0"/>
          <w:lang w:val="en-US"/>
        </w:rPr>
        <w:t>Note that this process involves much more than just the renewable resources at a location. One must also consider economic, population, and infrastructure factors. For example, the technical feasibility of a site is how well-suited the site</w:t>
      </w:r>
      <w:r>
        <w:rPr>
          <w:rStyle w:val="Hyperlink.0"/>
          <w:rtl w:val="0"/>
          <w:lang w:val="en-US"/>
        </w:rPr>
        <w:t>’</w:t>
      </w:r>
      <w:r>
        <w:rPr>
          <w:rStyle w:val="Hyperlink.0"/>
          <w:rtl w:val="0"/>
          <w:lang w:val="en-US"/>
        </w:rPr>
        <w:t>s physical and electrical infrastructure is. Another factor to consider is population density. A site cannot be too close to population centers, as they take up valuable land space in the case of photovoltaic installations or make too much noise in the case of wind turbines. In addition, policy considerations are one of the most important in determining a site</w:t>
      </w:r>
      <w:r>
        <w:rPr>
          <w:rStyle w:val="Hyperlink.0"/>
          <w:rtl w:val="0"/>
          <w:lang w:val="en-US"/>
        </w:rPr>
        <w:t>’</w:t>
      </w:r>
      <w:r>
        <w:rPr>
          <w:rStyle w:val="Hyperlink.0"/>
          <w:rtl w:val="0"/>
          <w:lang w:val="en-US"/>
        </w:rPr>
        <w:t>s suitability. What unites all of these factors is that they cannot easily be quantified by a machine learning algorithm because of the nature of the factors or the nuances within them, like population density.</w:t>
      </w:r>
    </w:p>
    <w:p>
      <w:pPr>
        <w:pStyle w:val="Body A"/>
        <w:spacing w:line="240" w:lineRule="auto"/>
      </w:pPr>
      <w:r>
        <w:rPr>
          <w:rStyle w:val="Hyperlink.0"/>
          <w:rtl w:val="0"/>
          <w:lang w:val="en-US"/>
        </w:rPr>
        <w:t>This paper will solely focus on determining suitability for land installations based on renewable resources, the process's most preliminary and easily quantifiable step. This paper's method of determining suitability can also be applied for smaller-scale RE installations like personal or small-town use rather than exclusively large energy corporations. This is possible because of the limitation of only considering renewable resources in determining suitability, meaning a site determined as suitable or not suitable by the model would apply to any size installation at that location.</w:t>
      </w:r>
      <w:r>
        <w:rPr>
          <w:rtl w:val="0"/>
          <w:lang w:val="de-DE"/>
        </w:rPr>
        <w:t> </w:t>
      </w:r>
    </w:p>
    <w:p>
      <w:pPr>
        <w:pStyle w:val="Body A"/>
        <w:spacing w:line="240" w:lineRule="auto"/>
      </w:pPr>
      <w:r>
        <w:rPr>
          <w:rStyle w:val="Hyperlink.0"/>
          <w:rtl w:val="0"/>
          <w:lang w:val="en-US"/>
        </w:rPr>
        <w:t>This would only be possible if the tool were scoped to determine land-based installation suitability, so this paper will not cover the offshore renewable sector. By leaving the other steps of determining the suitability of a site that succeeds in this preliminary step of renewable resources- like economic, population, infrastructure, and policy concerns- to the users of this tool, I introduce many degrees of freedom to the applications of this tool.</w:t>
      </w:r>
      <w:r>
        <w:rPr>
          <w:rtl w:val="0"/>
          <w:lang w:val="de-DE"/>
        </w:rPr>
        <w:t> </w:t>
      </w:r>
    </w:p>
    <w:p>
      <w:pPr>
        <w:pStyle w:val="Body A"/>
        <w:spacing w:line="240" w:lineRule="auto"/>
        <w:rPr>
          <w:lang w:val="en-US"/>
        </w:rPr>
      </w:pPr>
      <w:r>
        <w:rPr>
          <w:rStyle w:val="Hyperlink.0"/>
          <w:rtl w:val="0"/>
          <w:lang w:val="en-US"/>
        </w:rPr>
        <w:t>Using a machine learning model, this paper demonstrates a way of quickly and accurately filtering possible sites by their available renewable resources. This can drastically reduce the total time in determining a site's suitability, allowing many sites to be examined at once without needing to scrutinize them individually with a team of RE experts. This is achieved by teaching the model to see sites already deemed worthy for a utility-scale (at least 10 MW capacity) RE installation, based on renewable resources, as suitable. In a way, the model can pick up on the patterns previously identified by experts and use them for new predictions. The model</w:t>
      </w:r>
      <w:r>
        <w:rPr>
          <w:rStyle w:val="Hyperlink.0"/>
          <w:rtl w:val="0"/>
          <w:lang w:val="en-US"/>
        </w:rPr>
        <w:t>’</w:t>
      </w:r>
      <w:r>
        <w:rPr>
          <w:rStyle w:val="Hyperlink.0"/>
          <w:rtl w:val="0"/>
          <w:lang w:val="en-US"/>
        </w:rPr>
        <w:t>s predictions may also reveal new correlations previously unknown to experts.</w:t>
      </w:r>
    </w:p>
    <w:p>
      <w:pPr>
        <w:pStyle w:val="Body A"/>
        <w:spacing w:line="240" w:lineRule="auto"/>
        <w:rPr>
          <w:rStyle w:val="Hyperlink.0"/>
          <w:lang w:val="en-US"/>
        </w:rPr>
      </w:pPr>
      <w:r>
        <w:rPr>
          <w:rStyle w:val="Hyperlink.0"/>
          <w:rtl w:val="0"/>
          <w:lang w:val="en-US"/>
        </w:rPr>
        <w:t>To our knowledge, no study has applied semi-supervised learning techniques to create a tool that can identify suitable RE sites based on renewable resources and other weather variables. This tool is also unique in not requiring expert interpretation of its output. However, it can be used at an advanced level to identify patterns between suitable and unsuitable sites. This is key if we are to make the switch to renewables.</w:t>
      </w:r>
    </w:p>
    <w:p>
      <w:pPr>
        <w:pStyle w:val="Style1"/>
        <w:spacing w:line="264" w:lineRule="auto"/>
      </w:pPr>
      <w:r>
        <w:rPr>
          <w:rStyle w:val="None A"/>
          <w:rtl w:val="0"/>
          <w:lang w:val="en-US"/>
        </w:rPr>
        <w:t>Methods</w:t>
      </w:r>
    </w:p>
    <w:p>
      <w:pPr>
        <w:pStyle w:val="Body A"/>
        <w:spacing w:line="240" w:lineRule="auto"/>
        <w:rPr>
          <w:rFonts w:ascii="Times Roman" w:cs="Times Roman" w:hAnsi="Times Roman" w:eastAsia="Times Roman"/>
          <w:sz w:val="24"/>
          <w:szCs w:val="24"/>
        </w:rPr>
      </w:pPr>
      <w:r>
        <w:rPr>
          <w:rStyle w:val="Hyperlink.0"/>
          <w:rtl w:val="0"/>
          <w:lang w:val="en-US"/>
        </w:rPr>
        <w:t>This tool will be scoped for predicting suitability for solar and wind power installations because they are the two renewables that are the least dependent on terrain factors. Hydropower installations, for example, require detailed analysis of the water cycle in that area and are hard to quantify.</w:t>
      </w:r>
      <w:r>
        <w:rPr>
          <w:vertAlign w:val="superscript"/>
          <w:rtl w:val="0"/>
          <w:lang w:val="en-US"/>
        </w:rPr>
        <w:t xml:space="preserve">6 </w:t>
      </w:r>
      <w:r>
        <w:rPr>
          <w:rStyle w:val="Hyperlink.0"/>
          <w:rtl w:val="0"/>
          <w:lang w:val="en-US"/>
        </w:rPr>
        <w:t>Wind and solar power generation, oppositely, is directly affected by simply quantifiable weather variables that are less dependent on the immediate terrain, making them the perfect candidates for using machine learning analysis. In addition, two separate machine learning models are created - one for wind and another for solar- because this reduces labeling complexity. The criteria for a suitable wind farm location differs from that of a solar farm location. Also, the hand labeling process detailed in the data preparation section only works when this condition is met. Therefore, it makes sense to compartmentalize these two separate predictive functions within two separate models.</w:t>
      </w:r>
      <w:r>
        <w:rPr>
          <w:rtl w:val="0"/>
          <w:lang w:val="de-DE"/>
        </w:rPr>
        <w:t> </w:t>
      </w:r>
    </w:p>
    <w:p>
      <w:pPr>
        <w:pStyle w:val="Body A"/>
        <w:spacing w:line="240" w:lineRule="auto"/>
        <w:rPr>
          <w:rFonts w:ascii="Times Roman" w:cs="Times Roman" w:hAnsi="Times Roman" w:eastAsia="Times Roman"/>
          <w:sz w:val="24"/>
          <w:szCs w:val="24"/>
          <w:lang w:val="en-US"/>
        </w:rPr>
      </w:pPr>
      <w:r>
        <w:rPr>
          <w:rStyle w:val="Hyperlink.0"/>
          <w:rtl w:val="0"/>
          <w:lang w:val="en-US"/>
        </w:rPr>
        <w:t>This paper employs classification algorithms to determine a location's suitability. The labels predicted are 0 for not suitable and 1 for suitable. Drawing from the popular machine learning and data science platform Kaggle, I see that Decision Trees and Random Forest Classifiers came in second place for most popular by use. Gradient Boosting techniques- developed by Jerome Friedman- were also ranked fourth most popular.</w:t>
      </w:r>
      <w:r>
        <w:rPr>
          <w:vertAlign w:val="superscript"/>
          <w:rtl w:val="0"/>
          <w:lang w:val="en-US"/>
        </w:rPr>
        <w:t xml:space="preserve">7,8 </w:t>
      </w:r>
      <w:r>
        <w:rPr>
          <w:rStyle w:val="Hyperlink.0"/>
          <w:rtl w:val="0"/>
          <w:lang w:val="en-US"/>
        </w:rPr>
        <w:t>What unites these different algorithms is that they all fall under the umbrella of ensemble methods, including parallel and sequential algorithms. Various reputable algorithms based on the survey were evaluated to find the best for this use case, which will be discussed more in the experiment section. Random Forest Classifier was determined to be the best-suited algorithm for both the solar and wind models. This paper employs a semi-supervised training method illustrated in Figure 1.</w:t>
      </w:r>
    </w:p>
    <w:p>
      <w:pPr>
        <w:pStyle w:val="Body A"/>
        <w:spacing w:line="240" w:lineRule="auto"/>
        <w:rPr>
          <w:rFonts w:ascii="Times Roman" w:cs="Times Roman" w:hAnsi="Times Roman" w:eastAsia="Times Roman"/>
          <w:sz w:val="24"/>
          <w:szCs w:val="24"/>
        </w:rPr>
      </w:pPr>
      <w:r>
        <w:rPr>
          <w:rStyle w:val="None A"/>
        </w:rPr>
        <w:drawing xmlns:a="http://schemas.openxmlformats.org/drawingml/2006/main">
          <wp:inline distT="0" distB="0" distL="0" distR="0">
            <wp:extent cx="5943473" cy="3343205"/>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5943473" cy="3343205"/>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1. Flow chart for the semi-supervised training process.</w:t>
      </w:r>
    </w:p>
    <w:p>
      <w:pPr>
        <w:pStyle w:val="Body A"/>
        <w:spacing w:line="240" w:lineRule="auto"/>
      </w:pPr>
      <w:r>
        <w:rPr>
          <w:rStyle w:val="Hyperlink.0"/>
          <w:rtl w:val="0"/>
          <w:lang w:val="en-US"/>
        </w:rPr>
        <w:t>I chose to instantiate a new model at the beginning of each iteration of the process to combat a common problem in semi-supervised learning methods: self-reinforcement. If I had kept the same model and weightings while adding new points to the dataset and training, it would have primarily resulted in the model learning from its own pseudo labels, regardless of whether they contained a propagated relationship from the initial high-quality data. By keeping the size of each iteration limited to 100 new data points, I limited the scope of where this issue could have arisen. At the end of all the iterations, a fully trained model and predicted labels for the initially unlabeled part of the data set are available. In future applications of this tool, this same process can be used to build upon the trained model that I have created or- if the user so desires- to start from scratch with a different set of initial seeded and unlabeled data.</w:t>
      </w:r>
      <w:r>
        <w:rPr>
          <w:rtl w:val="0"/>
          <w:lang w:val="de-DE"/>
        </w:rPr>
        <w:t> </w:t>
      </w:r>
    </w:p>
    <w:p>
      <w:pPr>
        <w:pStyle w:val="Body A"/>
        <w:spacing w:line="240" w:lineRule="auto"/>
        <w:rPr>
          <w:lang w:val="en-US"/>
        </w:rPr>
      </w:pPr>
      <w:r>
        <w:rPr>
          <w:rStyle w:val="Hyperlink.0"/>
          <w:rtl w:val="0"/>
          <w:lang w:val="en-US"/>
        </w:rPr>
        <w:t xml:space="preserve">By applying the high-confidence technique used by Sohn </w:t>
      </w:r>
      <w:r>
        <w:rPr>
          <w:i w:val="1"/>
          <w:iCs w:val="1"/>
          <w:rtl w:val="0"/>
          <w:lang w:val="en-US"/>
        </w:rPr>
        <w:t>et al.</w:t>
      </w:r>
      <w:r>
        <w:rPr>
          <w:rStyle w:val="Hyperlink.0"/>
          <w:rtl w:val="0"/>
          <w:lang w:val="en-US"/>
        </w:rPr>
        <w:t>,</w:t>
      </w:r>
      <w:r>
        <w:rPr>
          <w:vertAlign w:val="superscript"/>
          <w:rtl w:val="0"/>
          <w:lang w:val="en-US"/>
        </w:rPr>
        <w:t xml:space="preserve">9 </w:t>
      </w:r>
      <w:r>
        <w:rPr>
          <w:rStyle w:val="Hyperlink.0"/>
          <w:rtl w:val="0"/>
          <w:lang w:val="en-US"/>
        </w:rPr>
        <w:t>I can ensure that only pseudo labels with high confidence level predictions are trained upon and used as ground truth. This is a highly effective form of consistency regulation and has been used and studied many times in literature.</w:t>
      </w:r>
      <w:r>
        <w:rPr>
          <w:vertAlign w:val="superscript"/>
          <w:rtl w:val="0"/>
          <w:lang w:val="en-US"/>
        </w:rPr>
        <w:t xml:space="preserve">10-12 </w:t>
      </w:r>
      <w:r>
        <w:rPr>
          <w:rStyle w:val="Hyperlink.0"/>
          <w:rtl w:val="0"/>
          <w:lang w:val="en-US"/>
        </w:rPr>
        <w:t>I will note that the literature referenced uses this technique within the context of computer vision. However, the reasoning behind using this technique still applies to classification models as I have used them.</w:t>
      </w:r>
    </w:p>
    <w:p>
      <w:pPr>
        <w:pStyle w:val="Body A"/>
        <w:spacing w:line="240" w:lineRule="auto"/>
        <w:rPr>
          <w:rFonts w:ascii="Times Roman" w:cs="Times Roman" w:hAnsi="Times Roman" w:eastAsia="Times Roman"/>
          <w:sz w:val="24"/>
          <w:szCs w:val="24"/>
          <w:lang w:val="en-US"/>
        </w:rPr>
      </w:pPr>
      <w:r>
        <w:rPr>
          <w:rStyle w:val="Hyperlink.0"/>
          <w:rtl w:val="0"/>
          <w:lang w:val="en-US"/>
        </w:rPr>
        <w:t>Since we must use the pseudo labels for training, this method minimizes the error rate of wrong pseudo labels in the dataset. This is one of the most crucial parts of achieving a semi-supervised model that gives accurate predictions that users can act on confidently. After much experimenting, I determined that a threshold of 60% confidence in the prediction was the right balance between confidence and practicality for the pseudo labels. I confirmed this confidence threshold was ideal by examining its final predictions for various points within the entire dataset. Due to low certainty, I found that only a small percentage of points were left with no label. I could confirm the predictions of many of the labeled points through logical reasoning and government bureau opinion, such as the NOAA.</w:t>
      </w:r>
    </w:p>
    <w:p>
      <w:pPr>
        <w:pStyle w:val="Style2"/>
      </w:pPr>
      <w:r>
        <w:rPr>
          <w:rStyle w:val="None A"/>
          <w:rtl w:val="0"/>
          <w:lang w:val="en-US"/>
        </w:rPr>
        <w:t xml:space="preserve">Data Preparation </w:t>
      </w:r>
    </w:p>
    <w:p>
      <w:pPr>
        <w:pStyle w:val="Body A"/>
        <w:spacing w:line="240" w:lineRule="auto"/>
        <w:rPr>
          <w:lang w:val="en-US"/>
        </w:rPr>
      </w:pPr>
      <w:r>
        <w:rPr>
          <w:rStyle w:val="Hyperlink.0"/>
          <w:rtl w:val="0"/>
          <w:lang w:val="en-US"/>
        </w:rPr>
        <w:t>This section will detail the data collection process and the logic behind the data collection. One of the requirements of the dataset was that it had to have a multitude of weather variables, at a minimum, including wind speed and solar irradiance, as they are the variables that directly impact the energy generation by wind turbines and photovoltaic installations, respectively. It also had to include locations across the United States to accurately generalize based on what it had seen. I used the National Renewable Energy Laboratory's National Solar Radiation Database. I used the Physical Solar Model Version 3 (PSM) API from that database, a synthetic weather model that derives various weather variables from its own calculations and other weather models.</w:t>
      </w:r>
      <w:r>
        <w:rPr>
          <w:vertAlign w:val="superscript"/>
          <w:rtl w:val="0"/>
          <w:lang w:val="en-US"/>
        </w:rPr>
        <w:t xml:space="preserve">13 </w:t>
      </w:r>
      <w:r>
        <w:rPr>
          <w:rStyle w:val="Hyperlink.0"/>
          <w:rtl w:val="0"/>
          <w:lang w:val="en-US"/>
        </w:rPr>
        <w:t>With this dataset, I collected several weather variables in the 20 largest (by population) cities in each state, excluding Alaska because of the range limitation of the model, totaling 980 cities. As part of the data cleaning process, unnecessary variables were removed if they conveyed the same information as other, more primary variables and measurements. This brought the total variable count from 14 down to 7 key variables that would then be put through further statistical feature selection.</w:t>
      </w:r>
    </w:p>
    <w:p>
      <w:pPr>
        <w:pStyle w:val="Body A"/>
        <w:spacing w:line="240" w:lineRule="auto"/>
        <w:rPr>
          <w:lang w:val="en-US"/>
        </w:rPr>
      </w:pPr>
      <w:r>
        <w:rPr>
          <w:rStyle w:val="Hyperlink.0"/>
          <w:rtl w:val="0"/>
          <w:lang w:val="en-US"/>
        </w:rPr>
        <w:t>I decided to use a modified Typical Meteorological Year (TMY) to represent the data of one location. The TMY was developed by the Sandia National Laboratories in New Mexico for the specific purpose of solar energy system studies, but it also includes metrics such as wind velocity.</w:t>
      </w:r>
      <w:r>
        <w:rPr>
          <w:vertAlign w:val="superscript"/>
          <w:rtl w:val="0"/>
          <w:lang w:val="en-US"/>
        </w:rPr>
        <w:t xml:space="preserve">14 </w:t>
      </w:r>
      <w:r>
        <w:rPr>
          <w:rStyle w:val="Hyperlink.0"/>
          <w:rtl w:val="0"/>
          <w:lang w:val="en-US"/>
        </w:rPr>
        <w:t>It has since been built upon in many ways with TMY2, TMY3 and TMYx.</w:t>
      </w:r>
      <w:r>
        <w:rPr>
          <w:vertAlign w:val="superscript"/>
          <w:rtl w:val="0"/>
          <w:lang w:val="en-US"/>
        </w:rPr>
        <w:t>15</w:t>
      </w:r>
      <w:r>
        <w:rPr>
          <w:rStyle w:val="Hyperlink.0"/>
          <w:rtl w:val="0"/>
          <w:lang w:val="en-US"/>
        </w:rPr>
        <w:t xml:space="preserve"> The TMY is widely used in climate and RE research and insight.</w:t>
      </w:r>
      <w:r>
        <w:rPr>
          <w:vertAlign w:val="superscript"/>
          <w:rtl w:val="0"/>
          <w:lang w:val="en-US"/>
        </w:rPr>
        <w:t xml:space="preserve">16-18 </w:t>
      </w:r>
      <w:r>
        <w:rPr>
          <w:rStyle w:val="Hyperlink.0"/>
          <w:rtl w:val="0"/>
          <w:lang w:val="en-US"/>
        </w:rPr>
        <w:t>Generally, the TMY has been used to compare locations based on typical weather conditions over a decadal time span.</w:t>
      </w:r>
      <w:r>
        <w:rPr>
          <w:vertAlign w:val="superscript"/>
          <w:rtl w:val="0"/>
          <w:lang w:val="en-US"/>
        </w:rPr>
        <w:t xml:space="preserve">19 </w:t>
      </w:r>
      <w:r>
        <w:rPr>
          <w:rStyle w:val="Hyperlink.0"/>
          <w:rtl w:val="0"/>
          <w:lang w:val="en-US"/>
        </w:rPr>
        <w:t>However, as a result of the recently accelerated effects of climate change, which can be seen in shifts in global and US temperatures, the weather patterns recorded across decades before hold less significance in the present more than ever.</w:t>
      </w:r>
      <w:r>
        <w:rPr>
          <w:vertAlign w:val="superscript"/>
          <w:rtl w:val="0"/>
          <w:lang w:val="en-US"/>
        </w:rPr>
        <w:t>20</w:t>
      </w:r>
      <w:r>
        <w:rPr>
          <w:rStyle w:val="Hyperlink.0"/>
          <w:rtl w:val="0"/>
          <w:lang w:val="en-US"/>
        </w:rPr>
        <w:t xml:space="preserve"> As a result, I elected to use the year 2020 as the TMY for my data. As stated before, this allows me to easily compare locations based on recent weather data. It also has the effect of heavily optimizing the calculation time of the model.</w:t>
      </w:r>
      <w:r>
        <w:rPr>
          <w:vertAlign w:val="superscript"/>
          <w:rtl w:val="0"/>
          <w:lang w:val="en-US"/>
        </w:rPr>
        <w:t>21</w:t>
      </w:r>
      <w:r>
        <w:rPr>
          <w:rStyle w:val="Hyperlink.0"/>
          <w:rtl w:val="0"/>
          <w:lang w:val="en-US"/>
        </w:rPr>
        <w:t xml:space="preserve"> The use of the TMY year by the NOAA</w:t>
      </w:r>
      <w:r>
        <w:rPr>
          <w:vertAlign w:val="superscript"/>
          <w:rtl w:val="0"/>
          <w:lang w:val="en-US"/>
        </w:rPr>
        <w:t>18</w:t>
      </w:r>
      <w:r>
        <w:rPr>
          <w:rStyle w:val="Hyperlink.0"/>
          <w:rtl w:val="0"/>
          <w:lang w:val="en-US"/>
        </w:rPr>
        <w:t xml:space="preserve"> demonstrates averaging weather variables to gain deeper insight into the normal conditions of a location and to identify larger trends across seasons and months. Similarly, I applied this approach to the TMY, including irradiance and Wind Speed variables. This specific fusion of renewable resources and the TMY is rare. However, the underlying basis for averaging weather variables still applies to these renewable resources.</w:t>
      </w:r>
    </w:p>
    <w:p>
      <w:pPr>
        <w:pStyle w:val="Body A"/>
        <w:spacing w:line="240" w:lineRule="auto"/>
        <w:rPr>
          <w:lang w:val="en-US"/>
        </w:rPr>
      </w:pPr>
      <w:r>
        <w:rPr>
          <w:rStyle w:val="Hyperlink.0"/>
          <w:rtl w:val="0"/>
          <w:lang w:val="en-US"/>
        </w:rPr>
        <w:t>The next step of the data preparation process was to determine the high-quality hand-labeled data. As stated previously, there would be two models for solar and wind. Therefore, the 980 unlabeled data points from cities in the US would be copied and made into two different datasets to be built upon separately. To find sites highly suitable for wind and solar installations, I took the 120 largest (by MW) utility-scale solar and wind installations in the US and labeled them 1 for suitable. Because utility-scale RE installations are incredibly costly to construct and maintain, the team determining the location for it needs to make sure that it has the best amount of renewable resources to make the best return on investment possible. This means that the locations where utility-scale installations are placed are highly suitable. Conversely, I also determined 120 unsuitable locations by taking six states from the original 980 data points and labeling the 20 cities within that state as 0 for unsuitable. I determined the six states for each dataset by looking at various factors, including the wind speeds and irradiance in that state compared to others. This was the most important factor. I also considered the amount of MW generated from solar and wind energy in that state while also accounting for economic factors.</w:t>
      </w:r>
      <w:r>
        <w:rPr>
          <w:vertAlign w:val="superscript"/>
          <w:rtl w:val="0"/>
          <w:lang w:val="en-US"/>
        </w:rPr>
        <w:t>22,23</w:t>
      </w:r>
    </w:p>
    <w:p>
      <w:pPr>
        <w:pStyle w:val="Body A"/>
        <w:spacing w:line="240" w:lineRule="auto"/>
        <w:rPr>
          <w:rStyle w:val="Hyperlink.0"/>
          <w:lang w:val="en-US"/>
        </w:rPr>
      </w:pPr>
      <w:r>
        <w:rPr>
          <w:rStyle w:val="Hyperlink.0"/>
          <w:rtl w:val="0"/>
          <w:lang w:val="en-US"/>
        </w:rPr>
        <w:t>By labeling the extremes of suitability by hand, the models could clearly determine suitability by having stark contrasts appear in the original training set. The intention was to create a clear pattern of variable values that correlated to suitability and unsuitability within the dataset that the model could then build upon as it trained and turned itself to make harder and harder predictions. The result was 240 labeled data points and 860 unlabeled data points for both datasets, leaving around 21% of the data labeled and the rest unlabeled. This sets the stage for semi-supervised learning, detailed in the methods.</w:t>
      </w:r>
    </w:p>
    <w:p>
      <w:pPr>
        <w:pStyle w:val="Style2"/>
      </w:pPr>
      <w:r>
        <w:rPr>
          <w:rStyle w:val="None A"/>
          <w:rtl w:val="0"/>
          <w:lang w:val="en-US"/>
        </w:rPr>
        <w:t>Feature Selection</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To determine which of the seven variables would be best used for suitability prediction, I used the chi-squared score to rank the variables by the most impact on the classification label on the 240 seeded data points for both data sets (a higher score is better). I can use the chi-squared score in this ranking fashion because each variable has the same degree of freedom and is in the same system/dataset. This eliminates the need for using the p-value and null hypothesis. Table 1 displays the scores for the wind and solar datasets. They are both listed in descending order of score. It may be tempting to think that wind speed and GHI are the only variables that matter because they directly affect renewable power generation. However, using other seemingly unimportant variables can clue the model into what types of locations are suited for solar and wind power. This increases the model's prediction accuracy.</w:t>
      </w:r>
    </w:p>
    <w:tbl>
      <w:tblPr>
        <w:tblW w:w="936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40"/>
        <w:gridCol w:w="2340"/>
        <w:gridCol w:w="2340"/>
        <w:gridCol w:w="2340"/>
      </w:tblGrid>
      <w:tr>
        <w:tblPrEx>
          <w:shd w:val="clear" w:color="auto" w:fill="ced7e7"/>
        </w:tblPrEx>
        <w:trPr>
          <w:trHeight w:val="380" w:hRule="atLeast"/>
        </w:trPr>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Wind Features Ranking</w:t>
            </w:r>
          </w:p>
        </w:tc>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Solar Features Ranking</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Input Features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Chi2 Score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Input Features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Chi2 Score</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Relative Humidity</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308.202550</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GHI</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496.907810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Pressure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288.088902</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Relative Humidity</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162.636706</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GHI</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107.878059</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Pressure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151.303983</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Wind Speed</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63.712324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Temperature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148.85482</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Temperature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48.878754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Wind Speed</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21.977538</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Precipitable Water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29.019984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Surface Albedo</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0.812015</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Surface Albedo</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2.797546</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Precipitable Water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0.178297</w:t>
            </w:r>
          </w:p>
        </w:tc>
      </w:tr>
    </w:tbl>
    <w:p>
      <w:pPr>
        <w:pStyle w:val="Default"/>
        <w:widowControl w:val="0"/>
        <w:spacing w:before="0" w:after="160" w:line="240" w:lineRule="auto"/>
        <w:ind w:left="216" w:hanging="216"/>
        <w:rPr>
          <w:rFonts w:ascii="Arial" w:cs="Arial" w:hAnsi="Arial" w:eastAsia="Arial"/>
          <w:sz w:val="20"/>
          <w:szCs w:val="20"/>
          <w:shd w:val="clear" w:color="auto" w:fill="ffffff"/>
        </w:rPr>
      </w:pPr>
    </w:p>
    <w:p>
      <w:pPr>
        <w:pStyle w:val="Default"/>
        <w:widowControl w:val="0"/>
        <w:spacing w:before="0" w:after="160" w:line="240" w:lineRule="auto"/>
        <w:ind w:left="108" w:hanging="108"/>
        <w:rPr>
          <w:rFonts w:ascii="Arial" w:cs="Arial" w:hAnsi="Arial" w:eastAsia="Arial"/>
          <w:sz w:val="20"/>
          <w:szCs w:val="20"/>
          <w:shd w:val="clear" w:color="auto" w:fill="ffffff"/>
        </w:rPr>
      </w:pPr>
    </w:p>
    <w:p>
      <w:pPr>
        <w:pStyle w:val="Default"/>
        <w:spacing w:before="0" w:after="160" w:line="240" w:lineRule="auto"/>
        <w:rPr>
          <w:rFonts w:ascii="Arial" w:cs="Arial" w:hAnsi="Arial" w:eastAsia="Arial"/>
          <w:sz w:val="20"/>
          <w:szCs w:val="20"/>
          <w:shd w:val="clear" w:color="auto" w:fill="ffffff"/>
        </w:rPr>
      </w:pPr>
    </w:p>
    <w:p>
      <w:pPr>
        <w:pStyle w:val="Default"/>
        <w:spacing w:before="0" w:after="160" w:line="240" w:lineRule="auto"/>
        <w:rPr>
          <w:rFonts w:ascii="Arial" w:cs="Arial" w:hAnsi="Arial" w:eastAsia="Arial"/>
          <w:b w:val="1"/>
          <w:bCs w:val="1"/>
          <w:sz w:val="22"/>
          <w:szCs w:val="22"/>
          <w:shd w:val="clear" w:color="auto" w:fill="ffffff"/>
        </w:rPr>
      </w:pPr>
      <w:r>
        <w:rPr>
          <w:rFonts w:ascii="Arial" w:hAnsi="Arial"/>
          <w:b w:val="1"/>
          <w:bCs w:val="1"/>
          <w:sz w:val="22"/>
          <w:szCs w:val="22"/>
          <w:shd w:val="clear" w:color="auto" w:fill="ffffff"/>
          <w:rtl w:val="0"/>
          <w:lang w:val="en-US"/>
        </w:rPr>
        <w:t>Table 1. Ranking of wind and solar features by chi-squared scores. For solar features, GHI is scored highest, followed by a cluster of 3 other variables; the top 4 scores are expected. For wind features, wind speed only scored fourth highest, and the top 4 scores are unexpected.</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The solar scores in Table 1 are to be expected, with GHI being by far the most important variable when predicting suitability: a score of 496. The relative humidity, pressure, and temperature are at a much lower score (162, 151, and 148, respectively) than GHI but are all generally clustered together, placing similar weights on their importance. After these variables, a significant drop-off is observed at wind speed, especially surface albedo and precipitable water.</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However, the wind scores in Table 1 could be more easily interpreted. Within the top 4 scores, not only is wind speed the least important variable, with a score of 63 but it is topped by the GHI, with a score of 107. Wind speed would be expected to easily top the list for the wind dataset, but this discrepancy can be explained. Many suitable wind farms used in the dataset are in locations with high solar irradiance, such as California, Texas, or New Mexico. Therefore, the importance of GHI here would be inflated and not representative of what it actually is, an example of correlation but not causation. This explains why the GHI is so high on the list.</w:t>
      </w:r>
      <w:r>
        <w:rPr>
          <w:rFonts w:ascii="Arial" w:hAnsi="Arial" w:hint="default"/>
          <w:sz w:val="20"/>
          <w:szCs w:val="20"/>
          <w:shd w:val="clear" w:color="auto" w:fill="ffffff"/>
          <w:rtl w:val="0"/>
          <w:lang w:val="en-US"/>
        </w:rPr>
        <w:t> </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We will use another method to verify the merits of the high-scoring variables in the solar list and identify the significant wind list variables. By giving a machine learning model access to the seeded data points while varying the amount of features it can use to make predictions, we can find the ideal set of features to use. In other words, by comparing accuracy metrics from each distinct feature set, we can quantitatively determine the ideal set of variables for the solar and wind models. I chose to use the bagging classifier because of the random subsets of data it uses to train each tree in the ensemble.</w:t>
      </w:r>
      <w:r>
        <w:rPr>
          <w:rFonts w:ascii="Arial" w:hAnsi="Arial"/>
          <w:sz w:val="20"/>
          <w:szCs w:val="20"/>
          <w:shd w:val="clear" w:color="auto" w:fill="ffffff"/>
          <w:vertAlign w:val="superscript"/>
          <w:rtl w:val="0"/>
          <w:lang w:val="en-US"/>
        </w:rPr>
        <w:t>24</w:t>
      </w:r>
      <w:r>
        <w:rPr>
          <w:rFonts w:ascii="Arial" w:hAnsi="Arial"/>
          <w:sz w:val="20"/>
          <w:szCs w:val="20"/>
          <w:shd w:val="clear" w:color="auto" w:fill="ffffff"/>
          <w:rtl w:val="0"/>
          <w:lang w:val="en-US"/>
        </w:rPr>
        <w:t xml:space="preserve"> This, combined with k cross-fold validation, would ensure that the accuracy metrics recorded would not be affected as heavily by overfitting. I also chose to add another feature to the set to be considered each iteration based on their chi-squared score. For example, GHI scored first in the solar list, so it would be the first feature to be considered and would be by itself. The next iteration would add relative humidity (because it had the second highest score) to the features to consider, meaning GHI and relative humidity, and then so on, until all the features were used. Figure 2 shows the accuracy of this process for the wind and solar sets. Note that each percentile tick on the X-axis represents a new feature from the list added to the group of features considered at that specific tick. The vertical bar represents the standard deviation of the cross-fold validations, while the middle of the bar represents the mean.</w:t>
      </w:r>
      <w:r>
        <w:rPr>
          <w:rFonts w:ascii="Arial" w:cs="Arial" w:hAnsi="Arial" w:eastAsia="Arial"/>
          <w:sz w:val="20"/>
          <w:szCs w:val="20"/>
          <w:shd w:val="clear" w:color="auto" w:fill="ffffff"/>
        </w:rPr>
        <w:drawing xmlns:a="http://schemas.openxmlformats.org/drawingml/2006/main">
          <wp:inline distT="0" distB="0" distL="0" distR="0">
            <wp:extent cx="5943473" cy="6355878"/>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5">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Default"/>
        <w:spacing w:before="0" w:after="160" w:line="240" w:lineRule="auto"/>
        <w:rPr>
          <w:rFonts w:ascii="Arial" w:cs="Arial" w:hAnsi="Arial" w:eastAsia="Arial"/>
          <w:b w:val="1"/>
          <w:bCs w:val="1"/>
          <w:sz w:val="22"/>
          <w:szCs w:val="22"/>
          <w:shd w:val="clear" w:color="auto" w:fill="ffffff"/>
        </w:rPr>
      </w:pPr>
      <w:r>
        <w:rPr>
          <w:rFonts w:ascii="Arial" w:hAnsi="Arial"/>
          <w:b w:val="1"/>
          <w:bCs w:val="1"/>
          <w:sz w:val="22"/>
          <w:szCs w:val="22"/>
          <w:shd w:val="clear" w:color="auto" w:fill="ffffff"/>
          <w:rtl w:val="0"/>
          <w:lang w:val="en-US"/>
        </w:rPr>
        <w:t>Figure 2. Classifier performance varying wind (top) and solar (bottom) features. Both models achieve the best performance only when the top 4 variables by the chi-</w:t>
        <w:tab/>
        <w:tab/>
        <w:t xml:space="preserve">squared score are used. </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The wind graph in Figure 2 shows an interesting development. The accuracy increases as the first two features (relative humidity and pressure) are added. However, when the GHI is added at the third tick, the accuracy actually decreases. This signifies that GHI is detrimental to classification accuracy and, thus, should not be considered in the variables used for the wind model. The next two ticks after GHI is added are wind speed and temperature, which also steadily increase the accuracy and shrink the standard deviation. Again, precipitable water and surface albedo do not make much of a difference in the classification strength. Therefore, the final features to consider for the wind model are relative humidity, pressure, wind speed, and temperature.</w:t>
      </w:r>
    </w:p>
    <w:p>
      <w:pPr>
        <w:pStyle w:val="Default"/>
        <w:spacing w:before="0" w:after="160" w:line="240" w:lineRule="auto"/>
        <w:rPr>
          <w:rFonts w:ascii="Times New Roman" w:cs="Times New Roman" w:hAnsi="Times New Roman" w:eastAsia="Times New Roman"/>
          <w:sz w:val="29"/>
          <w:szCs w:val="29"/>
        </w:rPr>
      </w:pPr>
      <w:r>
        <w:rPr>
          <w:rFonts w:ascii="Arial" w:hAnsi="Arial"/>
          <w:sz w:val="20"/>
          <w:szCs w:val="20"/>
          <w:shd w:val="clear" w:color="auto" w:fill="ffffff"/>
          <w:rtl w:val="0"/>
          <w:lang w:val="en-US"/>
        </w:rPr>
        <w:t>The solar graph in Figure 2 shows that the mean accuracy peaks, and the standard deviation reaches its lowest when four features are included, meaning GHI, relative humidity, pressure, and temperature. This graph shows that these four features should be the final set for training the solar model. Wind speed, precipitable water, and surface albedo have little effect on the classification accuracy and thus can be dropped.</w:t>
      </w:r>
    </w:p>
    <w:p>
      <w:pPr>
        <w:pStyle w:val="Style2"/>
      </w:pPr>
      <w:r>
        <w:rPr>
          <w:rStyle w:val="None A"/>
          <w:rtl w:val="0"/>
          <w:lang w:val="en-US"/>
        </w:rPr>
        <w:t>Model Selection</w:t>
      </w:r>
    </w:p>
    <w:p>
      <w:pPr>
        <w:pStyle w:val="Body A"/>
        <w:spacing w:line="240" w:lineRule="auto"/>
        <w:rPr>
          <w:lang w:val="en-US"/>
        </w:rPr>
      </w:pPr>
      <w:r>
        <w:rPr>
          <w:rStyle w:val="Hyperlink.0"/>
          <w:rtl w:val="0"/>
          <w:lang w:val="en-US"/>
        </w:rPr>
        <w:t>As stated before, the Kaggle survey's top rankings for classification algorithms included all ensemble algorithms and decision trees. As such, I decided to test a Random Forest Classifier (RFC), Bagging, Gradient boosting, and a Decision Tree to see which model would best suit the wind and solar datasets. When scoring each model</w:t>
      </w:r>
      <w:r>
        <w:rPr>
          <w:rStyle w:val="Hyperlink.0"/>
          <w:rtl w:val="0"/>
          <w:lang w:val="en-US"/>
        </w:rPr>
        <w:t>’</w:t>
      </w:r>
      <w:r>
        <w:rPr>
          <w:rStyle w:val="Hyperlink.0"/>
          <w:rtl w:val="0"/>
          <w:lang w:val="en-US"/>
        </w:rPr>
        <w:t>s performance, I used the F1-Score as a more complete measure of precision and recall beyond simple accuracy. I again used ten cross-folds to ensure that a model's high score would not be due to overfitting. Figure 3 shows the bar graphs for the model selection process. The height of the bar graph represents the mean F1-score across the cross folds, and the number at the top is the standard deviation. These models were evaluated with their default parameters outlined in the scikit-learn documentation.</w:t>
      </w:r>
      <w:r>
        <w:rPr>
          <w:vertAlign w:val="superscript"/>
          <w:rtl w:val="0"/>
          <w:lang w:val="en-US"/>
        </w:rPr>
        <w:t>25,26</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6355878"/>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6">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 xml:space="preserve">Figure 3. Wind (top) and solar (bottom) model selection: the number on top of the bar is the standard deviation. RFC performed the best for the wind and solar datasets. </w:t>
      </w:r>
    </w:p>
    <w:p>
      <w:pPr>
        <w:pStyle w:val="Body A"/>
        <w:spacing w:line="240" w:lineRule="auto"/>
        <w:rPr>
          <w:lang w:val="en-US"/>
        </w:rPr>
      </w:pPr>
      <w:r>
        <w:rPr>
          <w:rStyle w:val="Hyperlink.0"/>
          <w:rtl w:val="0"/>
          <w:lang w:val="en-US"/>
        </w:rPr>
        <w:t>For the solar graph in Figure 3, it is clear that the RFC performed the best out of all of the models tested, with only a moderate standard deviation comparatively. The bars are very close for the wind graph in Figure 3, but I chose the RFC for its slightly higher accuracy and extremely low standard deviation. As such, I applied the RFC for both datasets. This is very helpful because tree-based models do not require normalization of the data, and this is because they use the gini and entropy to split the internal nodes, not the calculated distance between features.</w:t>
      </w:r>
      <w:r>
        <w:rPr>
          <w:vertAlign w:val="superscript"/>
          <w:rtl w:val="0"/>
          <w:lang w:val="en-US"/>
        </w:rPr>
        <w:t>27</w:t>
      </w:r>
      <w:r>
        <w:rPr>
          <w:rStyle w:val="Hyperlink.0"/>
          <w:rtl w:val="0"/>
          <w:lang w:val="en-US"/>
        </w:rPr>
        <w:t xml:space="preserve"> For both datasets, there are variables with vastly different units and quantities, like pressure in hPa (hectopascals) and wind speed in meters/second, but by leaving these variables un-normalized, we can easily visualize the trees and understand the criteria the RFC uses for determining suitability. This will be detailed further in the results section.</w:t>
      </w:r>
    </w:p>
    <w:p>
      <w:pPr>
        <w:pStyle w:val="Style2"/>
        <w:spacing w:line="240" w:lineRule="auto"/>
      </w:pPr>
      <w:r>
        <w:rPr>
          <w:rStyle w:val="None A"/>
          <w:rtl w:val="0"/>
          <w:lang w:val="en-US"/>
        </w:rPr>
        <w:t>Hyperparameter Tuning</w:t>
      </w:r>
    </w:p>
    <w:p>
      <w:pPr>
        <w:pStyle w:val="Body A"/>
        <w:spacing w:line="240" w:lineRule="auto"/>
        <w:rPr>
          <w:lang w:val="en-US"/>
        </w:rPr>
      </w:pPr>
      <w:r>
        <w:rPr>
          <w:rStyle w:val="Hyperlink.0"/>
          <w:rtl w:val="0"/>
          <w:lang w:val="en-US"/>
        </w:rPr>
        <w:t>Now that I have determined RFC to be the ideal model, hyperparameter tuning will be done to determine the best settings of the model that would increase the accuracy while reducing overfitting. Note that we are using sci kit-learn</w:t>
      </w:r>
      <w:r>
        <w:rPr>
          <w:rStyle w:val="Hyperlink.0"/>
          <w:rtl w:val="0"/>
          <w:lang w:val="en-US"/>
        </w:rPr>
        <w:t>’</w:t>
      </w:r>
      <w:r>
        <w:rPr>
          <w:rStyle w:val="Hyperlink.0"/>
          <w:rtl w:val="0"/>
          <w:lang w:val="en-US"/>
        </w:rPr>
        <w:t>s implementation of the RFC.</w:t>
      </w:r>
      <w:r>
        <w:rPr>
          <w:vertAlign w:val="superscript"/>
          <w:rtl w:val="0"/>
          <w:lang w:val="en-US"/>
        </w:rPr>
        <w:t>28</w:t>
      </w:r>
      <w:r>
        <w:rPr>
          <w:rStyle w:val="Hyperlink.0"/>
          <w:rtl w:val="0"/>
          <w:lang w:val="en-US"/>
        </w:rPr>
        <w:t xml:space="preserve"> many different parameters can be modified, but the ones I focused on were the ones that modified the structure of the decision trees within the ensemble or how many trees would be generated. I kept the criterion as Gini because it is shown to have competitive accuracies with entropy (so long as the number of classes is low) while also considerably speeding up calculation times.</w:t>
      </w:r>
      <w:r>
        <w:rPr>
          <w:vertAlign w:val="superscript"/>
          <w:rtl w:val="0"/>
          <w:lang w:val="en-US"/>
        </w:rPr>
        <w:t>29-30</w:t>
      </w:r>
      <w:r>
        <w:rPr>
          <w:rStyle w:val="Hyperlink.0"/>
          <w:rtl w:val="0"/>
          <w:lang w:val="en-US"/>
        </w:rPr>
        <w:t xml:space="preserve"> This is important because people may use this tool on many points to find the ideal location for a utility-scale installation. Therefore, I will be hyperparameter tuning num estimators, min samples split, min samples leaf, max depth, and max-leaf nodes.</w:t>
      </w:r>
    </w:p>
    <w:p>
      <w:pPr>
        <w:pStyle w:val="Body A"/>
        <w:spacing w:line="240" w:lineRule="auto"/>
      </w:pPr>
      <w:r>
        <w:rPr>
          <w:rStyle w:val="Hyperlink.0"/>
          <w:rtl w:val="0"/>
          <w:lang w:val="en-US"/>
        </w:rPr>
        <w:t>I used a random search to choose a value from a numeric range for each of the five parameters. After choosing the values, a model would be trained on the portion of the seeded data and evaluated on the rest using the F1-score. Again, ten cross-folds in the data were used here to ensure the parameters were not overfitting. Table 2 shows the ideal parameters for the wind and solar RFCs. The F1-score obtained with the following wind parameters was around 0.9917. For the following solar parameters, the score was around 0.9648. Both of these scores were rounded to the nearest ten thousandths. Considering the highest possible F1 score is 1, both these scores are phenomenal.</w:t>
      </w:r>
      <w:r>
        <w:rPr>
          <w:rtl w:val="0"/>
          <w:lang w:val="de-DE"/>
        </w:rPr>
        <w:t> </w:t>
      </w:r>
    </w:p>
    <w:tbl>
      <w:tblPr>
        <w:tblW w:w="936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40"/>
        <w:gridCol w:w="2340"/>
        <w:gridCol w:w="2340"/>
        <w:gridCol w:w="2340"/>
      </w:tblGrid>
      <w:tr>
        <w:tblPrEx>
          <w:shd w:val="clear" w:color="auto" w:fill="ced7e7"/>
        </w:tblPrEx>
        <w:trPr>
          <w:trHeight w:val="380" w:hRule="atLeast"/>
        </w:trPr>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Wind parameters</w:t>
            </w:r>
          </w:p>
        </w:tc>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Solar Parameters</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Parameter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Optimal Value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Parameter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Optimal Value</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Num estimators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300</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Num estimators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900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split</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split</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3</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leaf</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3</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leaf</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1</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Max leaf nodes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27</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Max leaf nodes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30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Max depth</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5</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Max depth</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5</w:t>
            </w:r>
          </w:p>
        </w:tc>
      </w:tr>
    </w:tbl>
    <w:p>
      <w:pPr>
        <w:pStyle w:val="Body A"/>
        <w:widowControl w:val="0"/>
        <w:spacing w:line="240" w:lineRule="auto"/>
        <w:ind w:left="216" w:hanging="216"/>
        <w:jc w:val="left"/>
      </w:pPr>
    </w:p>
    <w:p>
      <w:pPr>
        <w:pStyle w:val="Body A"/>
        <w:widowControl w:val="0"/>
        <w:spacing w:line="240" w:lineRule="auto"/>
        <w:ind w:left="108" w:hanging="108"/>
        <w:jc w:val="left"/>
      </w:pPr>
    </w:p>
    <w:p>
      <w:pPr>
        <w:pStyle w:val="Body A"/>
        <w:spacing w:line="240" w:lineRule="auto"/>
      </w:pPr>
    </w:p>
    <w:p>
      <w:pPr>
        <w:pStyle w:val="Body A"/>
        <w:spacing w:line="240" w:lineRule="auto"/>
        <w:rPr>
          <w:b w:val="1"/>
          <w:bCs w:val="1"/>
          <w:sz w:val="22"/>
          <w:szCs w:val="22"/>
        </w:rPr>
      </w:pPr>
      <w:r>
        <w:rPr>
          <w:b w:val="1"/>
          <w:bCs w:val="1"/>
          <w:sz w:val="22"/>
          <w:szCs w:val="22"/>
          <w:rtl w:val="0"/>
          <w:lang w:val="de-DE"/>
        </w:rPr>
        <w:t>Table 2. Optimal wind and solar parameters. Wind RFC achieved higher accuracy with</w:t>
      </w:r>
      <w:r>
        <w:rPr>
          <w:b w:val="1"/>
          <w:bCs w:val="1"/>
          <w:sz w:val="22"/>
          <w:szCs w:val="22"/>
          <w:rtl w:val="0"/>
          <w:lang w:val="en-US"/>
        </w:rPr>
        <w:t xml:space="preserve"> </w:t>
      </w:r>
      <w:r>
        <w:rPr>
          <w:b w:val="1"/>
          <w:bCs w:val="1"/>
          <w:sz w:val="22"/>
          <w:szCs w:val="22"/>
          <w:rtl w:val="0"/>
          <w:lang w:val="de-DE"/>
        </w:rPr>
        <w:t>less complex tree and ensemble structures, while solar RFC achieved higher accuracy</w:t>
      </w:r>
      <w:r>
        <w:rPr>
          <w:b w:val="1"/>
          <w:bCs w:val="1"/>
          <w:sz w:val="22"/>
          <w:szCs w:val="22"/>
          <w:rtl w:val="0"/>
          <w:lang w:val="en-US"/>
        </w:rPr>
        <w:t xml:space="preserve"> </w:t>
      </w:r>
      <w:r>
        <w:rPr>
          <w:b w:val="1"/>
          <w:bCs w:val="1"/>
          <w:sz w:val="22"/>
          <w:szCs w:val="22"/>
          <w:rtl w:val="0"/>
          <w:lang w:val="de-DE"/>
        </w:rPr>
        <w:t>with more complex tree and ensemble structures.</w:t>
      </w:r>
    </w:p>
    <w:p>
      <w:pPr>
        <w:pStyle w:val="Style1"/>
        <w:spacing w:line="264" w:lineRule="auto"/>
      </w:pPr>
      <w:r>
        <w:rPr>
          <w:rStyle w:val="None A"/>
          <w:rtl w:val="0"/>
          <w:lang w:val="en-US"/>
        </w:rPr>
        <w:t>Results and Discussion</w:t>
      </w:r>
    </w:p>
    <w:p>
      <w:pPr>
        <w:pStyle w:val="Body A"/>
        <w:spacing w:line="240" w:lineRule="auto"/>
        <w:rPr>
          <w:rFonts w:ascii="Times Roman" w:cs="Times Roman" w:hAnsi="Times Roman" w:eastAsia="Times Roman"/>
          <w:lang w:val="en-US"/>
        </w:rPr>
      </w:pPr>
      <w:r>
        <w:rPr>
          <w:rStyle w:val="Hyperlink.0"/>
          <w:rtl w:val="0"/>
          <w:lang w:val="en-US"/>
        </w:rPr>
        <w:t>This section will detail the experiment's findings, including interesting labeling patterns and metrics. Figure 4 displays the F1-score and accuracy at each iteration of the training process of the models. Table 3 shows the standard deviation of the F1-score and accuracy across the iterations for the models. Note that every iteration beyond the first had pseudo-labeled data within the pool to train off of. Also, it is important to remember that each time the fitting and predicting of the model was run, the results differed slightly each time due to the inherent randomness of the algorithms. I selected graphs and subsequent metrics that are most representative of the general trend for each model.</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635587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7">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Body A"/>
        <w:spacing w:line="240" w:lineRule="auto"/>
      </w:pPr>
    </w:p>
    <w:p>
      <w:pPr>
        <w:pStyle w:val="Body A"/>
        <w:spacing w:line="240" w:lineRule="auto"/>
        <w:rPr>
          <w:rFonts w:ascii="Times Roman" w:cs="Times Roman" w:hAnsi="Times Roman" w:eastAsia="Times Roman"/>
          <w:b w:val="1"/>
          <w:bCs w:val="1"/>
          <w:sz w:val="22"/>
          <w:szCs w:val="22"/>
          <w:lang w:val="en-US"/>
        </w:rPr>
      </w:pPr>
      <w:r>
        <w:rPr>
          <w:b w:val="1"/>
          <w:bCs w:val="1"/>
          <w:sz w:val="22"/>
          <w:szCs w:val="22"/>
          <w:rtl w:val="0"/>
          <w:lang w:val="en-US"/>
        </w:rPr>
        <w:t>Figure 4. Wind (top) and solar (bottom) model metrics over iterations. There are lower fluctuations in the wind metrics and slightly higher fluctuations in the solar metrics: marginally higher average accuracy and F1-score in the wind model.</w:t>
      </w:r>
    </w:p>
    <w:tbl>
      <w:tblPr>
        <w:tblW w:w="12461"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92"/>
        <w:gridCol w:w="2492"/>
        <w:gridCol w:w="2493"/>
        <w:gridCol w:w="2492"/>
        <w:gridCol w:w="2492"/>
      </w:tblGrid>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tc>
        <w:tc>
          <w:tcPr>
            <w:tcW w:type="dxa" w:w="4985"/>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Wind model</w:t>
            </w:r>
          </w:p>
        </w:tc>
        <w:tc>
          <w:tcPr>
            <w:tcW w:type="dxa" w:w="4984"/>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Solar model metrics</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Metric</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F1-Score</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Accuracy</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F1-Score</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Accuracy</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Std</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0.0050190</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0.0058732</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0.014265</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0.019555</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Mean</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0.99329</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0.99197</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0.95995</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0.95292</w:t>
            </w:r>
          </w:p>
        </w:tc>
      </w:tr>
    </w:tbl>
    <w:p>
      <w:pPr>
        <w:pStyle w:val="Body A"/>
        <w:widowControl w:val="0"/>
        <w:spacing w:line="240" w:lineRule="auto"/>
        <w:ind w:left="216" w:hanging="216"/>
        <w:jc w:val="left"/>
        <w:rPr>
          <w:rFonts w:ascii="Times Roman" w:cs="Times Roman" w:hAnsi="Times Roman" w:eastAsia="Times Roman"/>
          <w:b w:val="1"/>
          <w:bCs w:val="1"/>
          <w:sz w:val="22"/>
          <w:szCs w:val="22"/>
          <w:lang w:val="en-US"/>
        </w:rPr>
      </w:pPr>
    </w:p>
    <w:p>
      <w:pPr>
        <w:pStyle w:val="Body A"/>
        <w:widowControl w:val="0"/>
        <w:spacing w:line="240" w:lineRule="auto"/>
        <w:ind w:left="108" w:hanging="108"/>
        <w:jc w:val="left"/>
        <w:rPr>
          <w:rFonts w:ascii="Times Roman" w:cs="Times Roman" w:hAnsi="Times Roman" w:eastAsia="Times Roman"/>
          <w:b w:val="1"/>
          <w:bCs w:val="1"/>
          <w:sz w:val="22"/>
          <w:szCs w:val="22"/>
          <w:lang w:val="en-US"/>
        </w:rPr>
      </w:pPr>
    </w:p>
    <w:p>
      <w:pPr>
        <w:pStyle w:val="Body A"/>
        <w:spacing w:line="240" w:lineRule="auto"/>
      </w:pPr>
    </w:p>
    <w:p>
      <w:pPr>
        <w:pStyle w:val="Body A"/>
        <w:spacing w:line="240" w:lineRule="auto"/>
        <w:rPr>
          <w:b w:val="1"/>
          <w:bCs w:val="1"/>
          <w:sz w:val="22"/>
          <w:szCs w:val="22"/>
        </w:rPr>
      </w:pPr>
      <w:r>
        <w:rPr>
          <w:b w:val="1"/>
          <w:bCs w:val="1"/>
          <w:sz w:val="22"/>
          <w:szCs w:val="22"/>
          <w:rtl w:val="0"/>
          <w:lang w:val="fr-FR"/>
        </w:rPr>
        <w:t>Table</w:t>
      </w:r>
      <w:r>
        <w:rPr>
          <w:b w:val="1"/>
          <w:bCs w:val="1"/>
          <w:sz w:val="22"/>
          <w:szCs w:val="22"/>
          <w:rtl w:val="0"/>
          <w:lang w:val="en-US"/>
        </w:rPr>
        <w:t xml:space="preserve"> 3. Standard deviation and mean of F1-score and accuracy over iterations (rounded to 5 significant figures)</w:t>
      </w:r>
    </w:p>
    <w:p>
      <w:pPr>
        <w:pStyle w:val="Body A"/>
        <w:spacing w:line="240" w:lineRule="auto"/>
      </w:pPr>
      <w:r>
        <w:rPr>
          <w:rStyle w:val="Hyperlink.0"/>
          <w:rtl w:val="0"/>
          <w:lang w:val="en-US"/>
        </w:rPr>
        <w:t>Clearly, the wind model</w:t>
      </w:r>
      <w:r>
        <w:rPr>
          <w:rStyle w:val="Hyperlink.0"/>
          <w:rtl w:val="0"/>
          <w:lang w:val="en-US"/>
        </w:rPr>
        <w:t>’</w:t>
      </w:r>
      <w:r>
        <w:rPr>
          <w:rStyle w:val="Hyperlink.0"/>
          <w:rtl w:val="0"/>
          <w:lang w:val="en-US"/>
        </w:rPr>
        <w:t>s predictive power is accurate. It achieved an exceptionally high mean score in both metrics and a low standard deviation of less than 1 percent. This shows that the features determined in the feature selection process were valid and effectively contributed to the model</w:t>
      </w:r>
      <w:r>
        <w:rPr>
          <w:rStyle w:val="Hyperlink.0"/>
          <w:rtl w:val="0"/>
          <w:lang w:val="en-US"/>
        </w:rPr>
        <w:t>’</w:t>
      </w:r>
      <w:r>
        <w:rPr>
          <w:rStyle w:val="Hyperlink.0"/>
          <w:rtl w:val="0"/>
          <w:lang w:val="en-US"/>
        </w:rPr>
        <w:t>s predictive power.</w:t>
      </w:r>
      <w:r>
        <w:rPr>
          <w:rtl w:val="0"/>
          <w:lang w:val="de-DE"/>
        </w:rPr>
        <w:t>  </w:t>
      </w:r>
    </w:p>
    <w:p>
      <w:pPr>
        <w:pStyle w:val="Body A"/>
        <w:spacing w:line="240" w:lineRule="auto"/>
        <w:rPr>
          <w:lang w:val="en-US"/>
        </w:rPr>
      </w:pPr>
      <w:r>
        <w:rPr>
          <w:rStyle w:val="Hyperlink.0"/>
          <w:rtl w:val="0"/>
          <w:lang w:val="en-US"/>
        </w:rPr>
        <w:t>While the solar model</w:t>
      </w:r>
      <w:r>
        <w:rPr>
          <w:rStyle w:val="Hyperlink.0"/>
          <w:rtl w:val="0"/>
          <w:lang w:val="en-US"/>
        </w:rPr>
        <w:t>’</w:t>
      </w:r>
      <w:r>
        <w:rPr>
          <w:rStyle w:val="Hyperlink.0"/>
          <w:rtl w:val="0"/>
          <w:lang w:val="en-US"/>
        </w:rPr>
        <w:t>s predictive accuracy and F1-score are not as high as the wind model</w:t>
      </w:r>
      <w:r>
        <w:rPr>
          <w:rStyle w:val="Hyperlink.0"/>
          <w:rtl w:val="0"/>
          <w:lang w:val="en-US"/>
        </w:rPr>
        <w:t>’</w:t>
      </w:r>
      <w:r>
        <w:rPr>
          <w:rStyle w:val="Hyperlink.0"/>
          <w:rtl w:val="0"/>
          <w:lang w:val="en-US"/>
        </w:rPr>
        <w:t>s, both metrics still have a high score of around 95%. This could be for several reasons. Still, I expect that it is due to a fair number of the seeded suitable solar locations being located in California, which may have biased the model to predict suitability based on weather factors similar to California</w:t>
      </w:r>
      <w:r>
        <w:rPr>
          <w:rStyle w:val="Hyperlink.0"/>
          <w:rtl w:val="0"/>
          <w:lang w:val="en-US"/>
        </w:rPr>
        <w:t>’</w:t>
      </w:r>
      <w:r>
        <w:rPr>
          <w:rStyle w:val="Hyperlink.0"/>
          <w:rtl w:val="0"/>
          <w:lang w:val="en-US"/>
        </w:rPr>
        <w:t>s. This will be examined further in the discussion section. Overall, both models managed to achieve a satisfactory level of robustness and accuracy.</w:t>
      </w:r>
    </w:p>
    <w:p>
      <w:pPr>
        <w:pStyle w:val="Body A"/>
        <w:spacing w:line="240" w:lineRule="auto"/>
        <w:rPr>
          <w:rStyle w:val="Hyperlink.0"/>
          <w:lang w:val="en-US"/>
        </w:rPr>
      </w:pPr>
      <w:r>
        <w:rPr>
          <w:rStyle w:val="Hyperlink.0"/>
          <w:rtl w:val="0"/>
          <w:lang w:val="en-US"/>
        </w:rPr>
        <w:t xml:space="preserve">As specified in the method section, precautions were taken so as not to have inaccurate pseudo-labels infiltrate the dataset as ground truth labels. These measures were effective. For example, data points that would often flip labels on different model runs could be removed with the prediction confidence check. This is because an inconsistent label indicates an unconfident prediction solely dependent on the inherent randomness within each model run rather than an identified pattern within the features of the model's variables. Overall, this method has kept the model's predictive accuracy high, therefore producing labels that truly represent a site's suitability. For the data points with low confidence predictions, a team of experts could save them for human analysis like currently with many sites. This ensures that every possible site will be noticed by the users of this tool. </w:t>
      </w:r>
    </w:p>
    <w:p>
      <w:pPr>
        <w:pStyle w:val="Body A"/>
        <w:spacing w:line="240" w:lineRule="auto"/>
        <w:rPr>
          <w:rFonts w:ascii="Times Roman" w:cs="Times Roman" w:hAnsi="Times Roman" w:eastAsia="Times Roman"/>
        </w:rPr>
      </w:pPr>
      <w:r>
        <w:rPr>
          <w:rStyle w:val="Hyperlink.0"/>
          <w:rtl w:val="0"/>
          <w:lang w:val="en-US"/>
        </w:rPr>
        <w:t>Now, this section will cover interesting labeling patterns. Looking at the predictions for the Texas cities, for example, I can see that the northern cities like Fort Worth are predicted as suitable, while the southern ones like Houston are not. This coincides with the wind speed map as shown in Figure 5.</w:t>
      </w:r>
      <w:r>
        <w:rPr>
          <w:vertAlign w:val="superscript"/>
          <w:rtl w:val="0"/>
          <w:lang w:val="en-US"/>
        </w:rPr>
        <w:t>31</w:t>
      </w:r>
      <w:r>
        <w:rPr>
          <w:rStyle w:val="Hyperlink.0"/>
          <w:rtl w:val="0"/>
          <w:lang w:val="en-US"/>
        </w:rPr>
        <w:t xml:space="preserve"> This example also is a testament to the model's sensitivity, as it can make differing predictions based on different weather variable values for each location rather than generalizing about the suitability of a state as a whole.</w:t>
      </w:r>
      <w:r>
        <w:rPr>
          <w:rtl w:val="0"/>
          <w:lang w:val="de-DE"/>
        </w:rPr>
        <w:t> </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564630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5943473" cy="5646300"/>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5. The average wind speed map of Texas showcases vast differences across the singular state, demonstrating the wind model</w:t>
      </w:r>
      <w:r>
        <w:rPr>
          <w:b w:val="1"/>
          <w:bCs w:val="1"/>
          <w:sz w:val="22"/>
          <w:szCs w:val="22"/>
          <w:rtl w:val="0"/>
          <w:lang w:val="en-US"/>
        </w:rPr>
        <w:t>’</w:t>
      </w:r>
      <w:r>
        <w:rPr>
          <w:b w:val="1"/>
          <w:bCs w:val="1"/>
          <w:sz w:val="22"/>
          <w:szCs w:val="22"/>
          <w:rtl w:val="0"/>
          <w:lang w:val="en-US"/>
        </w:rPr>
        <w:t>s sensitivity and ability to make accurate predictions within state borders.</w:t>
      </w:r>
    </w:p>
    <w:p>
      <w:pPr>
        <w:pStyle w:val="Body A"/>
        <w:spacing w:line="240" w:lineRule="auto"/>
        <w:rPr>
          <w:lang w:val="en-US"/>
        </w:rPr>
      </w:pPr>
      <w:r>
        <w:rPr>
          <w:rStyle w:val="Hyperlink.0"/>
          <w:rtl w:val="0"/>
          <w:lang w:val="en-US"/>
        </w:rPr>
        <w:t>I performed a similar examination for the solar model and found that it could also make different predictions within state borders</w:t>
      </w:r>
      <w:r>
        <w:rPr>
          <w:rStyle w:val="Hyperlink.0"/>
          <w:rtl w:val="0"/>
          <w:lang w:val="en-US"/>
        </w:rPr>
        <w:t>—</w:t>
      </w:r>
      <w:r>
        <w:rPr>
          <w:rStyle w:val="Hyperlink.0"/>
          <w:rtl w:val="0"/>
          <w:lang w:val="en-US"/>
        </w:rPr>
        <w:t>for example, Boise, Idaho vs Moscow, Idaho. Figure 6 shows a map of the daily average GHI across the USA, and Figure 7 shows that same map zoomed in on Idaho.</w:t>
      </w:r>
      <w:r>
        <w:rPr>
          <w:vertAlign w:val="superscript"/>
          <w:rtl w:val="0"/>
          <w:lang w:val="en-US"/>
        </w:rPr>
        <w:t>32</w:t>
      </w:r>
      <w:r>
        <w:rPr>
          <w:rStyle w:val="Hyperlink.0"/>
          <w:rtl w:val="0"/>
          <w:lang w:val="en-US"/>
        </w:rPr>
        <w:t xml:space="preserve"> Boise is located in the 4.75-5 KWH/M^2/Day bracket (dark orange), while Moscow is located in the &lt; 4 KWH/M^2/Day bracket (cream colored). The model labeled Boise as suitable and Moscow as unsuitable, showing its sensitivity.</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3844686"/>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5943473" cy="3844686"/>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6. Daily GHI map of the USA showcases the solar model</w:t>
      </w:r>
      <w:r>
        <w:rPr>
          <w:b w:val="1"/>
          <w:bCs w:val="1"/>
          <w:sz w:val="22"/>
          <w:szCs w:val="22"/>
          <w:rtl w:val="0"/>
          <w:lang w:val="en-US"/>
        </w:rPr>
        <w:t>’</w:t>
      </w:r>
      <w:r>
        <w:rPr>
          <w:b w:val="1"/>
          <w:bCs w:val="1"/>
          <w:sz w:val="22"/>
          <w:szCs w:val="22"/>
          <w:rtl w:val="0"/>
          <w:lang w:val="en-US"/>
        </w:rPr>
        <w:t>s sensitivity and ability to make accurate predictions within state borders.</w:t>
      </w:r>
    </w:p>
    <w:p>
      <w:pPr>
        <w:pStyle w:val="Body A"/>
        <w:spacing w:line="240" w:lineRule="auto"/>
        <w:rPr>
          <w:rStyle w:val="Hyperlink.0"/>
          <w:lang w:val="en-US"/>
        </w:rPr>
      </w:pPr>
      <w:r>
        <w:rPr>
          <w:rStyle w:val="Hyperlink.0"/>
          <w:rtl w:val="0"/>
          <w:lang w:val="en-US"/>
        </w:rPr>
        <w:t>Also, anecdotal evidence supports the sensitivity of the solar model claim. When I initially showed my mentor the solar model predictions, he was curious and wanted to know what the model predicted for his town. After inputting the weather data into the model for his hometown, it returned 0 for unsuitable. This is interesting because, according to him, when people from the solar industry came to evaluate the location for possible home solar installations, they came to the same conclusion: unsuitable. This is an anecdotal example, but it shows that the model can circumvent the process of solar industry professionals coming to take measurements and physically evaluate a location. When considering this, it would be easy to say that the wind model could be used in similar applications.</w:t>
      </w:r>
    </w:p>
    <w:p>
      <w:pPr>
        <w:pStyle w:val="Style1"/>
        <w:spacing w:line="264" w:lineRule="auto"/>
      </w:pPr>
      <w:r>
        <w:rPr>
          <w:rStyle w:val="None A"/>
          <w:rtl w:val="0"/>
          <w:lang w:val="en-US"/>
        </w:rPr>
        <w:t>Conclusion</w:t>
      </w:r>
    </w:p>
    <w:p>
      <w:pPr>
        <w:pStyle w:val="Body A"/>
        <w:spacing w:line="240" w:lineRule="auto"/>
      </w:pPr>
      <w:r>
        <w:rPr>
          <w:rStyle w:val="Hyperlink.0"/>
          <w:rtl w:val="0"/>
          <w:lang w:val="en-US"/>
        </w:rPr>
        <w:t>This paper has showcased a method of applying semi-supervised machine learning methodologies to a high-quality labeled dataset to obtain highly accurate suitability labels for RE installations. To make this tool accessible to all people looking to apply this technology- homeowners, policymakers, corporate workers- I will make public the code and dataset that one would need to use this tool on GitHub, along with the instructions on how to apply this process to any new locations the user may desire. It will be located at https://github.com/phoenixsheppard28</w:t>
      </w:r>
      <w:r>
        <w:rPr>
          <w:rtl w:val="0"/>
          <w:lang w:val="de-DE"/>
        </w:rPr>
        <w:t xml:space="preserve">. </w:t>
      </w:r>
    </w:p>
    <w:p>
      <w:pPr>
        <w:pStyle w:val="Body A"/>
        <w:spacing w:line="240" w:lineRule="auto"/>
        <w:rPr>
          <w:rStyle w:val="Hyperlink.0"/>
          <w:lang w:val="en-US"/>
        </w:rPr>
      </w:pPr>
      <w:r>
        <w:rPr>
          <w:rStyle w:val="Hyperlink.0"/>
          <w:rtl w:val="0"/>
          <w:lang w:val="en-US"/>
        </w:rPr>
        <w:t>To resolve the climate crisis we as a human race have brought upon ourselves, we all must make conscious changes in our societies. No more can we rely on the deadly fossil fuels that further corrupt our world every day. Instead, we must make the daunting but hopeful jump to renewables with this technology. Governments, corporations, and individuals can all play their part in some way or another. Together, we can all make the shift towards reclaiming our earth.</w:t>
      </w:r>
    </w:p>
    <w:p>
      <w:pPr>
        <w:pStyle w:val="Style1"/>
        <w:spacing w:line="264" w:lineRule="auto"/>
      </w:pPr>
      <w:r>
        <w:rPr>
          <w:rStyle w:val="None A"/>
          <w:rtl w:val="0"/>
          <w:lang w:val="en-US"/>
        </w:rPr>
        <w:t>Acknowledgments</w:t>
      </w:r>
    </w:p>
    <w:p>
      <w:pPr>
        <w:pStyle w:val="Body A"/>
        <w:spacing w:line="240" w:lineRule="auto"/>
        <w:rPr>
          <w:rStyle w:val="Hyperlink.0"/>
          <w:lang w:val="en-US"/>
        </w:rPr>
      </w:pPr>
      <w:r>
        <w:rPr>
          <w:rStyle w:val="Hyperlink.0"/>
          <w:rtl w:val="0"/>
          <w:lang w:val="en-US"/>
        </w:rPr>
        <w:t>A very big thank you to Dr. Xiao Dong. He assisted me in researching and writing and always encouraged me to be rigorous and thorough in my work. Thank you, Xiao</w:t>
      </w:r>
    </w:p>
    <w:p>
      <w:pPr>
        <w:pStyle w:val="Style1"/>
        <w:spacing w:line="264" w:lineRule="auto"/>
      </w:pPr>
      <w:r>
        <w:rPr>
          <w:rStyle w:val="None A"/>
          <w:rtl w:val="0"/>
          <w:lang w:val="en-US"/>
        </w:rPr>
        <w:t>References</w:t>
      </w:r>
    </w:p>
    <w:p>
      <w:pPr>
        <w:pStyle w:val="Body A"/>
        <w:numPr>
          <w:ilvl w:val="0"/>
          <w:numId w:val="3"/>
        </w:numPr>
        <w:bidi w:val="0"/>
        <w:spacing w:line="240" w:lineRule="auto"/>
        <w:ind w:right="0"/>
        <w:jc w:val="both"/>
        <w:rPr>
          <w:rtl w:val="0"/>
          <w:lang w:val="pt-PT"/>
        </w:rPr>
      </w:pPr>
      <w:r>
        <w:rPr>
          <w:rtl w:val="0"/>
          <w:lang w:val="pt-PT"/>
        </w:rPr>
        <w:t>Petros</w:t>
      </w:r>
      <w:r>
        <w:rPr>
          <w:rFonts w:ascii="Arial Unicode MS" w:hAnsi="Arial Unicode MS" w:hint="default"/>
          <w:rtl w:val="0"/>
          <w:lang w:val="de-DE"/>
        </w:rPr>
        <w:t>’</w:t>
      </w:r>
      <w:r>
        <w:rPr>
          <w:rStyle w:val="Hyperlink.0"/>
          <w:rtl w:val="0"/>
          <w:lang w:val="en-US"/>
        </w:rPr>
        <w:t>yants, A. M. A pioneer of nuclear power, 1989.</w:t>
      </w:r>
    </w:p>
    <w:p>
      <w:pPr>
        <w:pStyle w:val="Body A"/>
        <w:numPr>
          <w:ilvl w:val="0"/>
          <w:numId w:val="3"/>
        </w:numPr>
        <w:bidi w:val="0"/>
        <w:spacing w:line="240" w:lineRule="auto"/>
        <w:ind w:right="0"/>
        <w:jc w:val="both"/>
        <w:rPr>
          <w:rtl w:val="0"/>
          <w:lang w:val="en-US"/>
        </w:rPr>
      </w:pPr>
      <w:r>
        <w:rPr>
          <w:rStyle w:val="Hyperlink.0"/>
          <w:rtl w:val="0"/>
          <w:lang w:val="en-US"/>
        </w:rPr>
        <w:t>Nuvolari, A.; Verspagen, B.; von Tunzelmann, N. The Early Diffusion of the Steam Engine in Britain, 1700</w:t>
      </w:r>
      <w:r>
        <w:rPr>
          <w:rtl w:val="0"/>
          <w:lang w:val="de-DE"/>
        </w:rPr>
        <w:t>–</w:t>
      </w:r>
      <w:r>
        <w:rPr>
          <w:rtl w:val="0"/>
          <w:lang w:val="pt-PT"/>
        </w:rPr>
        <w:t xml:space="preserve">1800: A Reappraisal. </w:t>
      </w:r>
      <w:r>
        <w:rPr>
          <w:i w:val="1"/>
          <w:iCs w:val="1"/>
          <w:rtl w:val="0"/>
          <w:lang w:val="it-IT"/>
        </w:rPr>
        <w:t>Cliometrica</w:t>
      </w:r>
      <w:r>
        <w:rPr>
          <w:rtl w:val="0"/>
          <w:lang w:val="de-DE"/>
        </w:rPr>
        <w:t xml:space="preserve"> </w:t>
      </w:r>
      <w:r>
        <w:rPr>
          <w:b w:val="1"/>
          <w:bCs w:val="1"/>
          <w:rtl w:val="0"/>
          <w:lang w:val="de-DE"/>
        </w:rPr>
        <w:t>2011</w:t>
      </w:r>
      <w:r>
        <w:rPr>
          <w:rtl w:val="0"/>
          <w:lang w:val="de-DE"/>
        </w:rPr>
        <w:t xml:space="preserve">, </w:t>
      </w:r>
      <w:r>
        <w:rPr>
          <w:i w:val="1"/>
          <w:iCs w:val="1"/>
          <w:rtl w:val="0"/>
          <w:lang w:val="de-DE"/>
        </w:rPr>
        <w:t>5</w:t>
      </w:r>
      <w:r>
        <w:rPr>
          <w:rtl w:val="0"/>
          <w:lang w:val="de-DE"/>
        </w:rPr>
        <w:t xml:space="preserve"> (3), 291</w:t>
      </w:r>
      <w:r>
        <w:rPr>
          <w:rtl w:val="0"/>
          <w:lang w:val="de-DE"/>
        </w:rPr>
        <w:t>–</w:t>
      </w:r>
      <w:r>
        <w:rPr>
          <w:rtl w:val="0"/>
          <w:lang w:val="de-DE"/>
        </w:rPr>
        <w:t>321. DOI:10.1007/s11698-011-0063-6.</w:t>
      </w:r>
    </w:p>
    <w:p>
      <w:pPr>
        <w:pStyle w:val="Body A"/>
        <w:numPr>
          <w:ilvl w:val="0"/>
          <w:numId w:val="3"/>
        </w:numPr>
        <w:bidi w:val="0"/>
        <w:spacing w:line="240" w:lineRule="auto"/>
        <w:ind w:right="0"/>
        <w:jc w:val="both"/>
        <w:rPr>
          <w:rtl w:val="0"/>
          <w:lang w:val="de-DE"/>
        </w:rPr>
      </w:pPr>
      <w:r>
        <w:rPr>
          <w:rtl w:val="0"/>
          <w:lang w:val="de-DE"/>
        </w:rPr>
        <w:t xml:space="preserve">Kumar, A.; Nickel, R. </w:t>
      </w:r>
      <w:r>
        <w:rPr>
          <w:i w:val="1"/>
          <w:iCs w:val="1"/>
          <w:rtl w:val="0"/>
          <w:lang w:val="de-DE"/>
        </w:rPr>
        <w:t>Reuters</w:t>
      </w:r>
      <w:r>
        <w:rPr>
          <w:rStyle w:val="Hyperlink.0"/>
          <w:rtl w:val="0"/>
          <w:lang w:val="en-US"/>
        </w:rPr>
        <w:t>. February 2023.</w:t>
      </w:r>
    </w:p>
    <w:p>
      <w:pPr>
        <w:pStyle w:val="Body A"/>
        <w:numPr>
          <w:ilvl w:val="0"/>
          <w:numId w:val="3"/>
        </w:numPr>
        <w:bidi w:val="0"/>
        <w:spacing w:line="240" w:lineRule="auto"/>
        <w:ind w:right="0"/>
        <w:jc w:val="both"/>
        <w:rPr>
          <w:rtl w:val="0"/>
          <w:lang w:val="en-US"/>
        </w:rPr>
      </w:pPr>
      <w:r>
        <w:rPr>
          <w:rStyle w:val="Hyperlink.0"/>
          <w:rtl w:val="0"/>
          <w:lang w:val="en-US"/>
        </w:rPr>
        <w:t>Sources of Greenhouse Gas Emissions | US EPA. https://www.epa.gov/ghgemissions/sources-greenhouse-gas-emissions (accessed 2023-10-24).</w:t>
      </w:r>
    </w:p>
    <w:p>
      <w:pPr>
        <w:pStyle w:val="Body A"/>
        <w:numPr>
          <w:ilvl w:val="0"/>
          <w:numId w:val="3"/>
        </w:numPr>
        <w:bidi w:val="0"/>
        <w:spacing w:line="240" w:lineRule="auto"/>
        <w:ind w:right="0"/>
        <w:jc w:val="both"/>
        <w:rPr>
          <w:rtl w:val="0"/>
          <w:lang w:val="en-US"/>
        </w:rPr>
      </w:pPr>
      <w:r>
        <w:rPr>
          <w:rStyle w:val="Hyperlink.0"/>
          <w:rtl w:val="0"/>
          <w:lang w:val="en-US"/>
        </w:rPr>
        <w:t>Site Considerations | US EPA. https://www.epa.gov/green-power-markets/site-considerations (accessed 2023-10-24).</w:t>
      </w:r>
    </w:p>
    <w:p>
      <w:pPr>
        <w:pStyle w:val="Body A"/>
        <w:numPr>
          <w:ilvl w:val="0"/>
          <w:numId w:val="3"/>
        </w:numPr>
        <w:bidi w:val="0"/>
        <w:spacing w:line="240" w:lineRule="auto"/>
        <w:ind w:right="0"/>
        <w:jc w:val="both"/>
        <w:rPr>
          <w:rtl w:val="0"/>
          <w:lang w:val="en-US"/>
        </w:rPr>
      </w:pPr>
      <w:r>
        <w:rPr>
          <w:rStyle w:val="Hyperlink.0"/>
          <w:rtl w:val="0"/>
          <w:lang w:val="en-US"/>
        </w:rPr>
        <w:t>How Hydropower Works. https://www.energy.gov/eere/water/how-hydropower-works (accessed 2023-10-24).</w:t>
      </w:r>
    </w:p>
    <w:p>
      <w:pPr>
        <w:pStyle w:val="Body A"/>
        <w:numPr>
          <w:ilvl w:val="0"/>
          <w:numId w:val="3"/>
        </w:numPr>
        <w:bidi w:val="0"/>
        <w:spacing w:line="240" w:lineRule="auto"/>
        <w:ind w:right="0"/>
        <w:jc w:val="both"/>
        <w:rPr>
          <w:rtl w:val="0"/>
          <w:lang w:val="de-DE"/>
        </w:rPr>
      </w:pPr>
      <w:r>
        <w:rPr>
          <w:rtl w:val="0"/>
          <w:lang w:val="de-DE"/>
        </w:rPr>
        <w:t xml:space="preserve">dhirajkumar612. </w:t>
      </w:r>
      <w:r>
        <w:rPr>
          <w:rFonts w:ascii="Arial Unicode MS" w:cs="Arial Unicode MS" w:hAnsi="Arial Unicode MS" w:eastAsia="Arial Unicode MS" w:hint="eastAsia"/>
          <w:b w:val="0"/>
          <w:bCs w:val="0"/>
          <w:i w:val="0"/>
          <w:iCs w:val="0"/>
          <w:rtl w:val="0"/>
          <w:lang w:val="de-DE"/>
        </w:rPr>
        <w:t>👨</w:t>
      </w:r>
      <w:r>
        <w:rPr>
          <w:rtl w:val="0"/>
          <w:lang w:val="de-DE"/>
        </w:rPr>
        <w:t>‍</w:t>
      </w:r>
      <w:r>
        <w:rPr>
          <w:rFonts w:ascii="Arial Unicode MS" w:cs="Arial Unicode MS" w:hAnsi="Arial Unicode MS" w:eastAsia="Arial Unicode MS" w:hint="eastAsia"/>
          <w:b w:val="0"/>
          <w:bCs w:val="0"/>
          <w:i w:val="0"/>
          <w:iCs w:val="0"/>
          <w:rtl w:val="0"/>
          <w:lang w:val="de-DE"/>
        </w:rPr>
        <w:t>🎓</w:t>
      </w:r>
      <w:r>
        <w:rPr>
          <w:rStyle w:val="Hyperlink.0"/>
          <w:rtl w:val="0"/>
          <w:lang w:val="en-US"/>
        </w:rPr>
        <w:t>Kaggle Survey 2022</w:t>
      </w:r>
      <w:r>
        <w:rPr>
          <w:rFonts w:ascii="Arial Unicode MS" w:cs="Arial Unicode MS" w:hAnsi="Arial Unicode MS" w:eastAsia="Arial Unicode MS" w:hint="eastAsia"/>
          <w:b w:val="0"/>
          <w:bCs w:val="0"/>
          <w:i w:val="0"/>
          <w:iCs w:val="0"/>
          <w:rtl w:val="0"/>
          <w:lang w:val="de-DE"/>
        </w:rPr>
        <w:t>📄</w:t>
      </w:r>
      <w:r>
        <w:rPr>
          <w:rFonts w:ascii="Arial Unicode MS" w:hAnsi="Arial Unicode MS" w:hint="default"/>
          <w:rtl w:val="0"/>
          <w:lang w:val="de-DE"/>
        </w:rPr>
        <w:t>✍</w:t>
      </w:r>
      <w:r>
        <w:rPr>
          <w:rFonts w:ascii="Arial Unicode MS" w:cs="Arial Unicode MS" w:hAnsi="Arial Unicode MS" w:eastAsia="Arial Unicode MS" w:hint="eastAsia"/>
          <w:b w:val="0"/>
          <w:bCs w:val="0"/>
          <w:i w:val="0"/>
          <w:iCs w:val="0"/>
          <w:rtl w:val="0"/>
          <w:lang w:val="de-DE"/>
        </w:rPr>
        <w:t>📊</w:t>
      </w:r>
      <w:r>
        <w:rPr>
          <w:rStyle w:val="Hyperlink.0"/>
          <w:rtl w:val="0"/>
          <w:lang w:val="en-US"/>
        </w:rPr>
        <w:t>. https://www.kaggle.com/code/dhirajkumar612/kaggle-survey-2022/notebook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Friedman, J. H. Greedy Function Approximation: A Gradient Boosting Machine. </w:t>
      </w:r>
      <w:r>
        <w:rPr>
          <w:i w:val="1"/>
          <w:iCs w:val="1"/>
          <w:rtl w:val="0"/>
          <w:lang w:val="en-US"/>
        </w:rPr>
        <w:t>The Annals of Statistics</w:t>
      </w:r>
      <w:r>
        <w:rPr>
          <w:rtl w:val="0"/>
          <w:lang w:val="de-DE"/>
        </w:rPr>
        <w:t xml:space="preserve"> </w:t>
      </w:r>
      <w:r>
        <w:rPr>
          <w:b w:val="1"/>
          <w:bCs w:val="1"/>
          <w:rtl w:val="0"/>
          <w:lang w:val="de-DE"/>
        </w:rPr>
        <w:t>2001</w:t>
      </w:r>
      <w:r>
        <w:rPr>
          <w:rtl w:val="0"/>
          <w:lang w:val="de-DE"/>
        </w:rPr>
        <w:t xml:space="preserve">, </w:t>
      </w:r>
      <w:r>
        <w:rPr>
          <w:i w:val="1"/>
          <w:iCs w:val="1"/>
          <w:rtl w:val="0"/>
          <w:lang w:val="de-DE"/>
        </w:rPr>
        <w:t>29</w:t>
      </w:r>
      <w:r>
        <w:rPr>
          <w:rtl w:val="0"/>
          <w:lang w:val="de-DE"/>
        </w:rPr>
        <w:t xml:space="preserve"> (5). DOI:10.1214/aos/1013203451.</w:t>
      </w:r>
    </w:p>
    <w:p>
      <w:pPr>
        <w:pStyle w:val="Body A"/>
        <w:numPr>
          <w:ilvl w:val="0"/>
          <w:numId w:val="3"/>
        </w:numPr>
        <w:bidi w:val="0"/>
        <w:spacing w:line="240" w:lineRule="auto"/>
        <w:ind w:right="0"/>
        <w:jc w:val="both"/>
        <w:rPr>
          <w:rtl w:val="0"/>
          <w:lang w:val="en-US"/>
        </w:rPr>
      </w:pPr>
      <w:r>
        <w:rPr>
          <w:rStyle w:val="Hyperlink.0"/>
          <w:rtl w:val="0"/>
          <w:lang w:val="en-US"/>
        </w:rPr>
        <w:t xml:space="preserve">Sohn, K.; Berthelot, D.; Carlini, N.; Zhang, Z.; Zhang, H.; Raffel, C. A.; Li, C.-L.; Kurakin, A.; Cubik, E. D. FixMatch: Simplifying Semi-Supervised Learning with Consistency and Confidence. </w:t>
      </w:r>
      <w:r>
        <w:rPr>
          <w:i w:val="1"/>
          <w:iCs w:val="1"/>
          <w:rtl w:val="0"/>
          <w:lang w:val="en-US"/>
        </w:rPr>
        <w:t xml:space="preserve">Advances in Neural Information Processing Systems </w:t>
      </w:r>
      <w:r>
        <w:rPr>
          <w:b w:val="1"/>
          <w:bCs w:val="1"/>
          <w:rtl w:val="0"/>
          <w:lang w:val="de-DE"/>
        </w:rPr>
        <w:t>2020</w:t>
      </w:r>
      <w:r>
        <w:rPr>
          <w:rtl w:val="0"/>
          <w:lang w:val="de-DE"/>
        </w:rPr>
        <w:t xml:space="preserve">, </w:t>
      </w:r>
      <w:r>
        <w:rPr>
          <w:i w:val="1"/>
          <w:iCs w:val="1"/>
          <w:rtl w:val="0"/>
          <w:lang w:val="de-DE"/>
        </w:rPr>
        <w:t>33</w:t>
      </w:r>
      <w:r>
        <w:rPr>
          <w:rtl w:val="0"/>
          <w:lang w:val="de-DE"/>
        </w:rPr>
        <w:t>, 596</w:t>
      </w:r>
      <w:r>
        <w:rPr>
          <w:rtl w:val="0"/>
          <w:lang w:val="de-DE"/>
        </w:rPr>
        <w:t>–</w:t>
      </w:r>
      <w:r>
        <w:rPr>
          <w:rtl w:val="0"/>
          <w:lang w:val="de-DE"/>
        </w:rPr>
        <w:t>608.</w:t>
      </w:r>
    </w:p>
    <w:p>
      <w:pPr>
        <w:pStyle w:val="Body A"/>
        <w:numPr>
          <w:ilvl w:val="0"/>
          <w:numId w:val="3"/>
        </w:numPr>
        <w:bidi w:val="0"/>
        <w:spacing w:line="240" w:lineRule="auto"/>
        <w:ind w:right="0"/>
        <w:jc w:val="both"/>
        <w:rPr>
          <w:rtl w:val="0"/>
          <w:lang w:val="en-US"/>
        </w:rPr>
      </w:pPr>
      <w:r>
        <w:rPr>
          <w:rStyle w:val="Hyperlink.0"/>
          <w:rtl w:val="0"/>
          <w:lang w:val="en-US"/>
        </w:rPr>
        <w:t xml:space="preserve">Kim, J.; Min, Y.; Kim, D.; Lee, G.; Seo, J.; Ryoo, K.; Kim, S. Conmatch: Semi-Supervised Learning with Confidence-Guided Consistency Regularization. </w:t>
      </w:r>
      <w:r>
        <w:rPr>
          <w:i w:val="1"/>
          <w:iCs w:val="1"/>
          <w:rtl w:val="0"/>
          <w:lang w:val="en-US"/>
        </w:rPr>
        <w:t>Lecture Notes in Computer Science</w:t>
      </w:r>
      <w:r>
        <w:rPr>
          <w:rtl w:val="0"/>
          <w:lang w:val="de-DE"/>
        </w:rPr>
        <w:t xml:space="preserve"> </w:t>
      </w:r>
      <w:r>
        <w:rPr>
          <w:b w:val="1"/>
          <w:bCs w:val="1"/>
          <w:rtl w:val="0"/>
          <w:lang w:val="de-DE"/>
        </w:rPr>
        <w:t>2022</w:t>
      </w:r>
      <w:r>
        <w:rPr>
          <w:rtl w:val="0"/>
          <w:lang w:val="de-DE"/>
        </w:rPr>
        <w:t>, 674</w:t>
      </w:r>
      <w:r>
        <w:rPr>
          <w:rtl w:val="0"/>
          <w:lang w:val="de-DE"/>
        </w:rPr>
        <w:t>–</w:t>
      </w:r>
      <w:r>
        <w:rPr>
          <w:rtl w:val="0"/>
          <w:lang w:val="pt-PT"/>
        </w:rPr>
        <w:t>690. DOI:10.1007/978-3-031-20056-4_39.</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 xml:space="preserve">Duan, Y.; Zhao, Z.; Qi, L.; Wang, L.; Zhou, L.; Shi, Y.; Gao, Y. Mutexmatch: Semi-Supervised Learning with Mutex-Based Consistency Regularization. </w:t>
      </w:r>
      <w:r>
        <w:rPr>
          <w:i w:val="1"/>
          <w:iCs w:val="1"/>
          <w:rtl w:val="0"/>
          <w:lang w:val="en-US"/>
        </w:rPr>
        <w:t>IEEE Transactions on Neural Networks and Learning Systems</w:t>
      </w:r>
      <w:r>
        <w:rPr>
          <w:rtl w:val="0"/>
          <w:lang w:val="de-DE"/>
        </w:rPr>
        <w:t xml:space="preserve"> </w:t>
      </w:r>
      <w:r>
        <w:rPr>
          <w:b w:val="1"/>
          <w:bCs w:val="1"/>
          <w:rtl w:val="0"/>
          <w:lang w:val="de-DE"/>
        </w:rPr>
        <w:t>2022</w:t>
      </w:r>
      <w:r>
        <w:rPr>
          <w:rtl w:val="0"/>
          <w:lang w:val="de-DE"/>
        </w:rPr>
        <w:t>, 1</w:t>
      </w:r>
      <w:r>
        <w:rPr>
          <w:rtl w:val="0"/>
          <w:lang w:val="de-DE"/>
        </w:rPr>
        <w:t>–</w:t>
      </w:r>
      <w:r>
        <w:rPr>
          <w:rtl w:val="0"/>
          <w:lang w:val="de-DE"/>
        </w:rPr>
        <w:t>15. DOI:10.1109/tnnls.2022.3228380.</w:t>
      </w:r>
      <w:r>
        <w:rPr>
          <w:rtl w:val="0"/>
          <w:lang w:val="de-DE"/>
        </w:rPr>
        <w:t> </w:t>
      </w:r>
    </w:p>
    <w:p>
      <w:pPr>
        <w:pStyle w:val="Body A"/>
        <w:numPr>
          <w:ilvl w:val="0"/>
          <w:numId w:val="3"/>
        </w:numPr>
        <w:bidi w:val="0"/>
        <w:spacing w:line="240" w:lineRule="auto"/>
        <w:ind w:right="0"/>
        <w:jc w:val="both"/>
        <w:rPr>
          <w:rtl w:val="0"/>
          <w:lang w:val="de-DE"/>
        </w:rPr>
      </w:pPr>
      <w:r>
        <w:rPr>
          <w:rtl w:val="0"/>
          <w:lang w:val="de-DE"/>
        </w:rPr>
        <w:t> </w:t>
      </w:r>
      <w:r>
        <w:rPr>
          <w:rStyle w:val="Hyperlink.0"/>
          <w:rtl w:val="0"/>
          <w:lang w:val="en-US"/>
        </w:rPr>
        <w:t xml:space="preserve">Fan, Y.; Kukleva, A.; Dai, D.; Schiele, B. Revisiting Consistency Regularization for Semi-Supervised Learning. </w:t>
      </w:r>
      <w:r>
        <w:rPr>
          <w:i w:val="1"/>
          <w:iCs w:val="1"/>
          <w:rtl w:val="0"/>
          <w:lang w:val="en-US"/>
        </w:rPr>
        <w:t>International Journal of Computer Vision</w:t>
      </w:r>
      <w:r>
        <w:rPr>
          <w:rtl w:val="0"/>
          <w:lang w:val="de-DE"/>
        </w:rPr>
        <w:t xml:space="preserve"> </w:t>
      </w:r>
      <w:r>
        <w:rPr>
          <w:b w:val="1"/>
          <w:bCs w:val="1"/>
          <w:rtl w:val="0"/>
          <w:lang w:val="de-DE"/>
        </w:rPr>
        <w:t>2022</w:t>
      </w:r>
      <w:r>
        <w:rPr>
          <w:rtl w:val="0"/>
          <w:lang w:val="de-DE"/>
        </w:rPr>
        <w:t xml:space="preserve">, </w:t>
      </w:r>
      <w:r>
        <w:rPr>
          <w:i w:val="1"/>
          <w:iCs w:val="1"/>
          <w:rtl w:val="0"/>
          <w:lang w:val="de-DE"/>
        </w:rPr>
        <w:t>131</w:t>
      </w:r>
      <w:r>
        <w:rPr>
          <w:rtl w:val="0"/>
          <w:lang w:val="de-DE"/>
        </w:rPr>
        <w:t xml:space="preserve"> (3), 626</w:t>
      </w:r>
      <w:r>
        <w:rPr>
          <w:rtl w:val="0"/>
          <w:lang w:val="de-DE"/>
        </w:rPr>
        <w:t>–</w:t>
      </w:r>
      <w:r>
        <w:rPr>
          <w:rtl w:val="0"/>
          <w:lang w:val="de-DE"/>
        </w:rPr>
        <w:t>643. DOI:10.1007/s11263-022-01723-4.</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https://nsrdb.nrel.gov/data-sets/us-data (accessed 2023-10-24).</w:t>
      </w:r>
    </w:p>
    <w:p>
      <w:pPr>
        <w:pStyle w:val="Body A"/>
        <w:numPr>
          <w:ilvl w:val="0"/>
          <w:numId w:val="3"/>
        </w:numPr>
        <w:bidi w:val="0"/>
        <w:spacing w:line="240" w:lineRule="auto"/>
        <w:ind w:right="0"/>
        <w:jc w:val="both"/>
        <w:rPr>
          <w:rtl w:val="0"/>
          <w:lang w:val="en-US"/>
        </w:rPr>
      </w:pPr>
      <w:r>
        <w:rPr>
          <w:rStyle w:val="Hyperlink.0"/>
          <w:rtl w:val="0"/>
          <w:lang w:val="en-US"/>
        </w:rPr>
        <w:t>Hall, I. J. In Generation of a typical meteorological year</w:t>
      </w:r>
      <w:r>
        <w:rPr>
          <w:rtl w:val="0"/>
          <w:lang w:val="it-IT"/>
        </w:rPr>
        <w:t>; Sandia Laboratories, 1978.</w:t>
      </w:r>
    </w:p>
    <w:p>
      <w:pPr>
        <w:pStyle w:val="Body A"/>
        <w:numPr>
          <w:ilvl w:val="0"/>
          <w:numId w:val="3"/>
        </w:numPr>
        <w:bidi w:val="0"/>
        <w:spacing w:line="240" w:lineRule="auto"/>
        <w:ind w:right="0"/>
        <w:jc w:val="both"/>
        <w:rPr>
          <w:rtl w:val="0"/>
          <w:lang w:val="en-US"/>
        </w:rPr>
      </w:pPr>
      <w:r>
        <w:rPr>
          <w:rStyle w:val="Hyperlink.0"/>
          <w:rtl w:val="0"/>
          <w:lang w:val="en-US"/>
        </w:rPr>
        <w:t xml:space="preserve">Kalogirou, S. A. Environmental Characteristics. </w:t>
      </w:r>
      <w:r>
        <w:rPr>
          <w:i w:val="1"/>
          <w:iCs w:val="1"/>
          <w:rtl w:val="0"/>
          <w:lang w:val="en-US"/>
        </w:rPr>
        <w:t>Solar Energy Engineering</w:t>
      </w:r>
      <w:r>
        <w:rPr>
          <w:rtl w:val="0"/>
          <w:lang w:val="de-DE"/>
        </w:rPr>
        <w:t xml:space="preserve"> </w:t>
      </w:r>
      <w:r>
        <w:rPr>
          <w:b w:val="1"/>
          <w:bCs w:val="1"/>
          <w:rtl w:val="0"/>
          <w:lang w:val="de-DE"/>
        </w:rPr>
        <w:t>2014</w:t>
      </w:r>
      <w:r>
        <w:rPr>
          <w:rtl w:val="0"/>
          <w:lang w:val="de-DE"/>
        </w:rPr>
        <w:t>, 51</w:t>
      </w:r>
      <w:r>
        <w:rPr>
          <w:rtl w:val="0"/>
          <w:lang w:val="de-DE"/>
        </w:rPr>
        <w:t>–</w:t>
      </w:r>
      <w:r>
        <w:rPr>
          <w:rtl w:val="0"/>
          <w:lang w:val="de-DE"/>
        </w:rPr>
        <w:t>123. DOI:10.1016/b978-0-12-397270-5.00002-9.</w:t>
      </w:r>
    </w:p>
    <w:p>
      <w:pPr>
        <w:pStyle w:val="Body A"/>
        <w:numPr>
          <w:ilvl w:val="0"/>
          <w:numId w:val="3"/>
        </w:numPr>
        <w:bidi w:val="0"/>
        <w:spacing w:line="240" w:lineRule="auto"/>
        <w:ind w:right="0"/>
        <w:jc w:val="both"/>
        <w:rPr>
          <w:rtl w:val="0"/>
          <w:lang w:val="it-IT"/>
        </w:rPr>
      </w:pPr>
      <w:r>
        <w:rPr>
          <w:rtl w:val="0"/>
          <w:lang w:val="it-IT"/>
        </w:rPr>
        <w:t>Polo, J.; Alonso-Abella, M.; Mart</w:t>
      </w:r>
      <w:r>
        <w:rPr>
          <w:rtl w:val="0"/>
          <w:lang w:val="de-DE"/>
        </w:rPr>
        <w:t>í</w:t>
      </w:r>
      <w:r>
        <w:rPr>
          <w:rtl w:val="0"/>
          <w:lang w:val="es-ES_tradnl"/>
        </w:rPr>
        <w:t>n-Chivelet, N.; Alonso-Montesinos, J.; L</w:t>
      </w:r>
      <w:r>
        <w:rPr>
          <w:rtl w:val="0"/>
          <w:lang w:val="es-ES_tradnl"/>
        </w:rPr>
        <w:t>ó</w:t>
      </w:r>
      <w:r>
        <w:rPr>
          <w:rStyle w:val="Hyperlink.0"/>
          <w:rtl w:val="0"/>
          <w:lang w:val="en-US"/>
        </w:rPr>
        <w:t xml:space="preserve">pez, G.; Marzo, A.; Nofuentes, G.; Vela-Barrionuevo, N. Typical Meteorological Year Methodologies Applied to Solar Spectral Irradiance for PV Applications. </w:t>
      </w:r>
      <w:r>
        <w:rPr>
          <w:i w:val="1"/>
          <w:iCs w:val="1"/>
          <w:rtl w:val="0"/>
          <w:lang w:val="de-DE"/>
        </w:rPr>
        <w:t>Energy</w:t>
      </w:r>
      <w:r>
        <w:rPr>
          <w:rtl w:val="0"/>
          <w:lang w:val="de-DE"/>
        </w:rPr>
        <w:t xml:space="preserve"> </w:t>
      </w:r>
      <w:r>
        <w:rPr>
          <w:b w:val="1"/>
          <w:bCs w:val="1"/>
          <w:rtl w:val="0"/>
          <w:lang w:val="de-DE"/>
        </w:rPr>
        <w:t>2020</w:t>
      </w:r>
      <w:r>
        <w:rPr>
          <w:rtl w:val="0"/>
          <w:lang w:val="de-DE"/>
        </w:rPr>
        <w:t xml:space="preserve">, </w:t>
      </w:r>
      <w:r>
        <w:rPr>
          <w:i w:val="1"/>
          <w:iCs w:val="1"/>
          <w:rtl w:val="0"/>
          <w:lang w:val="de-DE"/>
        </w:rPr>
        <w:t>190</w:t>
      </w:r>
      <w:r>
        <w:rPr>
          <w:rtl w:val="0"/>
          <w:lang w:val="de-DE"/>
        </w:rPr>
        <w:t>, 116453. DOI:10.1016/j.energy.2019.116453.</w:t>
      </w:r>
    </w:p>
    <w:p>
      <w:pPr>
        <w:pStyle w:val="Body A"/>
        <w:numPr>
          <w:ilvl w:val="0"/>
          <w:numId w:val="3"/>
        </w:numPr>
        <w:bidi w:val="0"/>
        <w:spacing w:line="240" w:lineRule="auto"/>
        <w:ind w:right="0"/>
        <w:jc w:val="both"/>
        <w:rPr>
          <w:rtl w:val="0"/>
          <w:lang w:val="en-US"/>
        </w:rPr>
      </w:pPr>
      <w:r>
        <w:rPr>
          <w:rStyle w:val="Hyperlink.0"/>
          <w:rtl w:val="0"/>
          <w:lang w:val="en-US"/>
        </w:rPr>
        <w:t xml:space="preserve">Yang, H. Study of Typical Meteorological Years and Their Effect on Building Energy and Renewable Energy Simulations. </w:t>
      </w:r>
      <w:r>
        <w:rPr>
          <w:i w:val="1"/>
          <w:iCs w:val="1"/>
          <w:rtl w:val="0"/>
          <w:lang w:val="en-US"/>
        </w:rPr>
        <w:t>ASHRAE Transactions</w:t>
      </w:r>
      <w:r>
        <w:rPr>
          <w:rtl w:val="0"/>
          <w:lang w:val="de-DE"/>
        </w:rPr>
        <w:t xml:space="preserve"> </w:t>
      </w:r>
      <w:r>
        <w:rPr>
          <w:b w:val="1"/>
          <w:bCs w:val="1"/>
          <w:rtl w:val="0"/>
          <w:lang w:val="de-DE"/>
        </w:rPr>
        <w:t>2004</w:t>
      </w:r>
      <w:r>
        <w:rPr>
          <w:rtl w:val="0"/>
          <w:lang w:val="de-DE"/>
        </w:rPr>
        <w:t xml:space="preserve">, </w:t>
      </w:r>
      <w:r>
        <w:rPr>
          <w:i w:val="1"/>
          <w:iCs w:val="1"/>
          <w:rtl w:val="0"/>
          <w:lang w:val="de-DE"/>
        </w:rPr>
        <w:t>110</w:t>
      </w:r>
      <w:r>
        <w:rPr>
          <w:rtl w:val="0"/>
          <w:lang w:val="de-DE"/>
        </w:rPr>
        <w:t xml:space="preserve"> (2), 424</w:t>
      </w:r>
      <w:r>
        <w:rPr>
          <w:rtl w:val="0"/>
          <w:lang w:val="de-DE"/>
        </w:rPr>
        <w:t>–</w:t>
      </w:r>
      <w:r>
        <w:rPr>
          <w:rtl w:val="0"/>
          <w:lang w:val="de-DE"/>
        </w:rPr>
        <w:t>431.</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U.S. Climate Normals. https://www.ncei.noaa.gov/access/us-climate-normals/#dataset=normals-hourly&amp;timeframe=30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Yang, L.; Lam, J. C.; Liu, J. Analysis of Typical Meteorological Years in Different Climates of China. </w:t>
      </w:r>
      <w:r>
        <w:rPr>
          <w:i w:val="1"/>
          <w:iCs w:val="1"/>
          <w:rtl w:val="0"/>
          <w:lang w:val="en-US"/>
        </w:rPr>
        <w:t>Energy Conversion and Management</w:t>
      </w:r>
      <w:r>
        <w:rPr>
          <w:rtl w:val="0"/>
          <w:lang w:val="de-DE"/>
        </w:rPr>
        <w:t xml:space="preserve"> </w:t>
      </w:r>
      <w:r>
        <w:rPr>
          <w:b w:val="1"/>
          <w:bCs w:val="1"/>
          <w:rtl w:val="0"/>
          <w:lang w:val="de-DE"/>
        </w:rPr>
        <w:t>2007</w:t>
      </w:r>
      <w:r>
        <w:rPr>
          <w:rtl w:val="0"/>
          <w:lang w:val="de-DE"/>
        </w:rPr>
        <w:t xml:space="preserve">, </w:t>
      </w:r>
      <w:r>
        <w:rPr>
          <w:i w:val="1"/>
          <w:iCs w:val="1"/>
          <w:rtl w:val="0"/>
          <w:lang w:val="de-DE"/>
        </w:rPr>
        <w:t>48</w:t>
      </w:r>
      <w:r>
        <w:rPr>
          <w:rtl w:val="0"/>
          <w:lang w:val="de-DE"/>
        </w:rPr>
        <w:t xml:space="preserve"> (2), 654</w:t>
      </w:r>
      <w:r>
        <w:rPr>
          <w:rtl w:val="0"/>
          <w:lang w:val="de-DE"/>
        </w:rPr>
        <w:t>–</w:t>
      </w:r>
      <w:r>
        <w:rPr>
          <w:rtl w:val="0"/>
          <w:lang w:val="es-ES_tradnl"/>
        </w:rPr>
        <w:t>668. DOI:10.1016/j.enconman.2006.05.016.</w:t>
      </w:r>
    </w:p>
    <w:p>
      <w:pPr>
        <w:pStyle w:val="Body A"/>
        <w:numPr>
          <w:ilvl w:val="0"/>
          <w:numId w:val="3"/>
        </w:numPr>
        <w:bidi w:val="0"/>
        <w:spacing w:line="240" w:lineRule="auto"/>
        <w:ind w:right="0"/>
        <w:jc w:val="both"/>
        <w:rPr>
          <w:rtl w:val="0"/>
          <w:lang w:val="en-US"/>
        </w:rPr>
      </w:pPr>
      <w:r>
        <w:rPr>
          <w:rStyle w:val="Hyperlink.0"/>
          <w:rtl w:val="0"/>
          <w:lang w:val="en-US"/>
        </w:rPr>
        <w:t>Climate Change Indicators: U.S. and Global Temperature. https://www.epa.gov/climate-indicators/climate-change-indicators-us-and-global-temperature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Letcher, T. M.; Scott, K. In </w:t>
      </w:r>
      <w:r>
        <w:rPr>
          <w:i w:val="1"/>
          <w:iCs w:val="1"/>
          <w:rtl w:val="0"/>
          <w:lang w:val="en-US"/>
        </w:rPr>
        <w:t>Comprehensive renewable energy</w:t>
      </w:r>
      <w:r>
        <w:rPr>
          <w:rtl w:val="0"/>
          <w:lang w:val="fr-FR"/>
        </w:rPr>
        <w:t>; Elsevier, 2022.</w:t>
      </w:r>
    </w:p>
    <w:p>
      <w:pPr>
        <w:pStyle w:val="Body A"/>
        <w:numPr>
          <w:ilvl w:val="0"/>
          <w:numId w:val="3"/>
        </w:numPr>
        <w:bidi w:val="0"/>
        <w:spacing w:line="240" w:lineRule="auto"/>
        <w:ind w:right="0"/>
        <w:jc w:val="both"/>
        <w:rPr>
          <w:rtl w:val="0"/>
          <w:lang w:val="en-US"/>
        </w:rPr>
      </w:pPr>
      <w:r>
        <w:rPr>
          <w:rStyle w:val="Hyperlink.0"/>
          <w:rtl w:val="0"/>
          <w:lang w:val="en-US"/>
        </w:rPr>
        <w:t>Wind Energy Maps and Data. https://windexchange.energy.gov/maps-data (accessed 2023-10-24).</w:t>
      </w:r>
    </w:p>
    <w:p>
      <w:pPr>
        <w:pStyle w:val="Body A"/>
        <w:numPr>
          <w:ilvl w:val="0"/>
          <w:numId w:val="3"/>
        </w:numPr>
        <w:bidi w:val="0"/>
        <w:spacing w:line="240" w:lineRule="auto"/>
        <w:ind w:right="0"/>
        <w:jc w:val="both"/>
        <w:rPr>
          <w:rtl w:val="0"/>
          <w:lang w:val="en-US"/>
        </w:rPr>
      </w:pPr>
      <w:r>
        <w:rPr>
          <w:rStyle w:val="Hyperlink.0"/>
          <w:rtl w:val="0"/>
          <w:lang w:val="en-US"/>
        </w:rPr>
        <w:t>Solar Resource Maps and Data. https://www.nrel.gov/gis/solar-resource-maps.html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Breiman, L. Bagging Predictors. </w:t>
      </w:r>
      <w:r>
        <w:rPr>
          <w:i w:val="1"/>
          <w:iCs w:val="1"/>
          <w:rtl w:val="0"/>
          <w:lang w:val="en-US"/>
        </w:rPr>
        <w:t>Machine Learning</w:t>
      </w:r>
      <w:r>
        <w:rPr>
          <w:rtl w:val="0"/>
          <w:lang w:val="de-DE"/>
        </w:rPr>
        <w:t xml:space="preserve"> </w:t>
      </w:r>
      <w:r>
        <w:rPr>
          <w:b w:val="1"/>
          <w:bCs w:val="1"/>
          <w:rtl w:val="0"/>
          <w:lang w:val="de-DE"/>
        </w:rPr>
        <w:t>1996</w:t>
      </w:r>
      <w:r>
        <w:rPr>
          <w:rtl w:val="0"/>
          <w:lang w:val="de-DE"/>
        </w:rPr>
        <w:t xml:space="preserve">, </w:t>
      </w:r>
      <w:r>
        <w:rPr>
          <w:i w:val="1"/>
          <w:iCs w:val="1"/>
          <w:rtl w:val="0"/>
          <w:lang w:val="de-DE"/>
        </w:rPr>
        <w:t>24</w:t>
      </w:r>
      <w:r>
        <w:rPr>
          <w:rtl w:val="0"/>
          <w:lang w:val="de-DE"/>
        </w:rPr>
        <w:t xml:space="preserve"> (2), 123</w:t>
      </w:r>
      <w:r>
        <w:rPr>
          <w:rtl w:val="0"/>
          <w:lang w:val="de-DE"/>
        </w:rPr>
        <w:t>–</w:t>
      </w:r>
      <w:r>
        <w:rPr>
          <w:rtl w:val="0"/>
          <w:lang w:val="pt-PT"/>
        </w:rPr>
        <w:t>140. DOI:10.1007/bf00058655.</w:t>
      </w:r>
    </w:p>
    <w:p>
      <w:pPr>
        <w:pStyle w:val="Body A"/>
        <w:numPr>
          <w:ilvl w:val="0"/>
          <w:numId w:val="3"/>
        </w:numPr>
        <w:bidi w:val="0"/>
        <w:spacing w:line="240" w:lineRule="auto"/>
        <w:ind w:right="0"/>
        <w:jc w:val="both"/>
        <w:rPr>
          <w:rtl w:val="0"/>
          <w:lang w:val="en-US"/>
        </w:rPr>
      </w:pPr>
      <w:r>
        <w:rPr>
          <w:rStyle w:val="Hyperlink.0"/>
          <w:rtl w:val="0"/>
          <w:lang w:val="en-US"/>
        </w:rPr>
        <w:t>1.10. Decision Trees. https://scikit-learn.org/stable/modules/tree.html#classification (accessed 2023-10-24).</w:t>
      </w:r>
    </w:p>
    <w:p>
      <w:pPr>
        <w:pStyle w:val="Body A"/>
        <w:numPr>
          <w:ilvl w:val="0"/>
          <w:numId w:val="3"/>
        </w:numPr>
        <w:bidi w:val="0"/>
        <w:spacing w:line="240" w:lineRule="auto"/>
        <w:ind w:right="0"/>
        <w:jc w:val="both"/>
        <w:rPr>
          <w:rtl w:val="0"/>
          <w:lang w:val="fr-FR"/>
        </w:rPr>
      </w:pPr>
      <w:r>
        <w:rPr>
          <w:rtl w:val="0"/>
          <w:lang w:val="fr-FR"/>
        </w:rPr>
        <w:t>1.11. Ensemble Methods</w:t>
      </w:r>
      <w:r>
        <w:rPr>
          <w:rtl w:val="0"/>
          <w:lang w:val="de-DE"/>
        </w:rPr>
        <w:t>¶</w:t>
      </w:r>
      <w:r>
        <w:rPr>
          <w:rStyle w:val="Hyperlink.0"/>
          <w:rtl w:val="0"/>
          <w:lang w:val="en-US"/>
        </w:rPr>
        <w:t>. https://scikit-learn.org/0.16/modules/ensemble.html (accessed 2023-10-24).</w:t>
      </w:r>
    </w:p>
    <w:p>
      <w:pPr>
        <w:pStyle w:val="Body A"/>
        <w:numPr>
          <w:ilvl w:val="0"/>
          <w:numId w:val="3"/>
        </w:numPr>
        <w:bidi w:val="0"/>
        <w:spacing w:line="240" w:lineRule="auto"/>
        <w:ind w:right="0"/>
        <w:jc w:val="both"/>
        <w:rPr>
          <w:rtl w:val="0"/>
          <w:lang w:val="de-DE"/>
        </w:rPr>
      </w:pPr>
      <w:r>
        <w:rPr>
          <w:rStyle w:val="None A"/>
          <w:rtl w:val="0"/>
          <w:lang w:val="de-DE"/>
        </w:rPr>
        <w:t xml:space="preserve">Arya, N. </w:t>
      </w:r>
      <w:r>
        <w:rPr>
          <w:i w:val="1"/>
          <w:iCs w:val="1"/>
          <w:rtl w:val="0"/>
          <w:lang w:val="de-DE"/>
        </w:rPr>
        <w:t>KDnuggets</w:t>
      </w:r>
      <w:r>
        <w:rPr>
          <w:rStyle w:val="None A"/>
          <w:rtl w:val="0"/>
          <w:lang w:val="de-DE"/>
        </w:rPr>
        <w:t>. 2022.</w:t>
      </w:r>
    </w:p>
    <w:p>
      <w:pPr>
        <w:pStyle w:val="Body A"/>
        <w:numPr>
          <w:ilvl w:val="0"/>
          <w:numId w:val="3"/>
        </w:numPr>
        <w:bidi w:val="0"/>
        <w:spacing w:line="240" w:lineRule="auto"/>
        <w:ind w:right="0"/>
        <w:jc w:val="both"/>
        <w:rPr>
          <w:rtl w:val="0"/>
          <w:lang w:val="en-US"/>
        </w:rPr>
      </w:pPr>
      <w:r>
        <w:rPr>
          <w:rStyle w:val="Hyperlink.0"/>
          <w:rtl w:val="0"/>
          <w:lang w:val="en-US"/>
        </w:rPr>
        <w:t>Sklearn.Ensemble.Randomforestclassifier. https://scikit-learn.org/stable/modules/generated/sklearn.ensemble.RandomForestClassifier.html (accessed 2023-10-24).</w:t>
      </w:r>
    </w:p>
    <w:p>
      <w:pPr>
        <w:pStyle w:val="Body A"/>
        <w:numPr>
          <w:ilvl w:val="0"/>
          <w:numId w:val="3"/>
        </w:numPr>
        <w:bidi w:val="0"/>
        <w:spacing w:line="240" w:lineRule="auto"/>
        <w:ind w:right="0"/>
        <w:jc w:val="both"/>
        <w:rPr>
          <w:rtl w:val="0"/>
          <w:lang w:val="de-DE"/>
        </w:rPr>
      </w:pPr>
      <w:r>
        <w:rPr>
          <w:rtl w:val="0"/>
          <w:lang w:val="de-DE"/>
        </w:rPr>
        <w:t xml:space="preserve">Breiman, L. </w:t>
      </w:r>
      <w:r>
        <w:rPr>
          <w:i w:val="1"/>
          <w:iCs w:val="1"/>
          <w:rtl w:val="0"/>
          <w:lang w:val="en-US"/>
        </w:rPr>
        <w:t>Machine Learning</w:t>
      </w:r>
      <w:r>
        <w:rPr>
          <w:rtl w:val="0"/>
          <w:lang w:val="de-DE"/>
        </w:rPr>
        <w:t xml:space="preserve"> </w:t>
      </w:r>
      <w:r>
        <w:rPr>
          <w:b w:val="1"/>
          <w:bCs w:val="1"/>
          <w:rtl w:val="0"/>
          <w:lang w:val="de-DE"/>
        </w:rPr>
        <w:t>1996</w:t>
      </w:r>
      <w:r>
        <w:rPr>
          <w:rtl w:val="0"/>
          <w:lang w:val="de-DE"/>
        </w:rPr>
        <w:t xml:space="preserve">, </w:t>
      </w:r>
      <w:r>
        <w:rPr>
          <w:i w:val="1"/>
          <w:iCs w:val="1"/>
          <w:rtl w:val="0"/>
          <w:lang w:val="de-DE"/>
        </w:rPr>
        <w:t>24</w:t>
      </w:r>
      <w:r>
        <w:rPr>
          <w:rtl w:val="0"/>
          <w:lang w:val="de-DE"/>
        </w:rPr>
        <w:t xml:space="preserve"> (1), 41</w:t>
      </w:r>
      <w:r>
        <w:rPr>
          <w:rtl w:val="0"/>
          <w:lang w:val="de-DE"/>
        </w:rPr>
        <w:t>–</w:t>
      </w:r>
      <w:r>
        <w:rPr>
          <w:rtl w:val="0"/>
          <w:lang w:val="de-DE"/>
        </w:rPr>
        <w:t>47. DOI:10.1023/a:1018094028462.</w:t>
      </w:r>
    </w:p>
    <w:p>
      <w:pPr>
        <w:pStyle w:val="Body A"/>
        <w:numPr>
          <w:ilvl w:val="0"/>
          <w:numId w:val="3"/>
        </w:numPr>
        <w:bidi w:val="0"/>
        <w:spacing w:line="240" w:lineRule="auto"/>
        <w:ind w:right="0"/>
        <w:jc w:val="both"/>
        <w:rPr>
          <w:rtl w:val="0"/>
          <w:lang w:val="it-IT"/>
        </w:rPr>
      </w:pPr>
      <w:r>
        <w:rPr>
          <w:rtl w:val="0"/>
          <w:lang w:val="it-IT"/>
        </w:rPr>
        <w:t>QuantDare</w:t>
      </w:r>
      <w:r>
        <w:rPr>
          <w:rtl w:val="0"/>
          <w:lang w:val="de-DE"/>
        </w:rPr>
        <w:t>. 2020.</w:t>
      </w:r>
    </w:p>
    <w:p>
      <w:pPr>
        <w:pStyle w:val="Body A"/>
        <w:numPr>
          <w:ilvl w:val="0"/>
          <w:numId w:val="3"/>
        </w:numPr>
        <w:bidi w:val="0"/>
        <w:spacing w:line="240" w:lineRule="auto"/>
        <w:ind w:right="0"/>
        <w:jc w:val="both"/>
        <w:rPr>
          <w:rtl w:val="0"/>
          <w:lang w:val="en-US"/>
        </w:rPr>
      </w:pPr>
      <w:r>
        <w:rPr>
          <w:rStyle w:val="Hyperlink.0"/>
          <w:rtl w:val="0"/>
          <w:lang w:val="en-US"/>
        </w:rPr>
        <w:t>Texas Land-Based Wind Speed at 100 Meters. https://windexchange.energy.gov/maps-data/357 (accessed 2023-10-24).</w:t>
      </w:r>
    </w:p>
    <w:p>
      <w:pPr>
        <w:pStyle w:val="Body A"/>
        <w:numPr>
          <w:ilvl w:val="0"/>
          <w:numId w:val="3"/>
        </w:numPr>
        <w:bidi w:val="0"/>
        <w:spacing w:line="240" w:lineRule="auto"/>
        <w:ind w:right="0"/>
        <w:jc w:val="both"/>
        <w:rPr>
          <w:rtl w:val="0"/>
          <w:lang w:val="en-US"/>
        </w:rPr>
      </w:pPr>
      <w:r>
        <w:rPr>
          <w:rStyle w:val="Hyperlink.0"/>
          <w:rtl w:val="0"/>
          <w:lang w:val="en-US"/>
        </w:rPr>
        <w:t>Global Horizontal Irradiance National Solar Radiation Data Base Physical Solar Model</w:t>
      </w:r>
      <w:r>
        <w:rPr>
          <w:rtl w:val="0"/>
          <w:lang w:val="de-DE"/>
        </w:rPr>
        <w:t>; 2018.</w:t>
      </w:r>
    </w:p>
    <w:p>
      <w:pPr>
        <w:pStyle w:val="Style1"/>
        <w:spacing w:line="264" w:lineRule="auto"/>
      </w:pPr>
      <w:r>
        <w:rPr>
          <w:rStyle w:val="None A"/>
          <w:rtl w:val="0"/>
          <w:lang w:val="en-US"/>
        </w:rPr>
        <w:t>Authors</w:t>
      </w:r>
    </w:p>
    <w:p>
      <w:pPr>
        <w:pStyle w:val="Body A"/>
        <w:spacing w:line="264" w:lineRule="auto"/>
      </w:pPr>
      <w:r>
        <w:rPr>
          <w:rStyle w:val="Hyperlink.0"/>
          <w:rtl w:val="0"/>
          <w:lang w:val="en-US"/>
        </w:rPr>
        <w:t>Phoenix Sheppard is a High School for Math, Science, and Engineering senior. He hopes to major in computer science and machine learning. He plans on pursuing a career as a software developer or machine learning researcher, working to make the world a better place.</w:t>
      </w:r>
    </w:p>
    <w:sectPr>
      <w:headerReference w:type="default" r:id="rId10"/>
      <w:footerReference w:type="default" r:id="rId11"/>
      <w:pgSz w:w="12240" w:h="15840" w:orient="portrait"/>
      <w:pgMar w:top="1440" w:right="1440" w:bottom="1440" w:left="1440" w:header="720" w:footer="3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Style w:val="None A"/>
      </w:rPr>
      <w:tab/>
      <w:tab/>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720" w:hanging="500"/>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None A">
    <w:name w:val="None A"/>
  </w:style>
  <w:style w:type="paragraph" w:styleId="Style1">
    <w:name w:val="Style1"/>
    <w:next w:val="Style1"/>
    <w:pPr>
      <w:keepNext w:val="1"/>
      <w:keepLines w:val="1"/>
      <w:pageBreakBefore w:val="0"/>
      <w:widowControl w:val="1"/>
      <w:shd w:val="clear" w:color="auto" w:fill="auto"/>
      <w:suppressAutoHyphens w:val="0"/>
      <w:bidi w:val="0"/>
      <w:spacing w:before="0" w:after="160" w:line="259" w:lineRule="auto"/>
      <w:ind w:left="0" w:right="0" w:firstLine="0"/>
      <w:jc w:val="both"/>
      <w:outlineLvl w:val="0"/>
    </w:pPr>
    <w:rPr>
      <w:rFonts w:ascii="Arial" w:cs="Arial Unicode MS" w:hAnsi="Arial" w:eastAsia="Arial Unicode MS"/>
      <w:b w:val="1"/>
      <w:bCs w:val="1"/>
      <w:i w:val="0"/>
      <w:iCs w:val="0"/>
      <w:caps w:val="0"/>
      <w:smallCaps w:val="0"/>
      <w:strike w:val="0"/>
      <w:dstrike w:val="0"/>
      <w:outline w:val="0"/>
      <w:color w:val="002060"/>
      <w:spacing w:val="0"/>
      <w:kern w:val="0"/>
      <w:position w:val="0"/>
      <w:sz w:val="28"/>
      <w:szCs w:val="28"/>
      <w:u w:val="none" w:color="002060"/>
      <w:shd w:val="nil" w:color="auto" w:fill="auto"/>
      <w:vertAlign w:val="baseline"/>
      <w:lang w:val="en-US"/>
      <w14:textFill>
        <w14:solidFill>
          <w14:srgbClr w14:val="00206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character" w:styleId="Hyperlink.0">
    <w:name w:val="Hyperlink.0"/>
    <w:rPr>
      <w:lang w:val="en-US"/>
    </w:rPr>
  </w:style>
  <w:style w:type="numbering" w:styleId="Numbered">
    <w:name w:val="Numbered"/>
    <w:pPr>
      <w:numPr>
        <w:numId w:val="1"/>
      </w:numPr>
    </w:pPr>
  </w:style>
  <w:style w:type="paragraph" w:styleId="Style2">
    <w:name w:val="Style2"/>
    <w:next w:val="Style2"/>
    <w:pPr>
      <w:keepNext w:val="0"/>
      <w:keepLines w:val="0"/>
      <w:pageBreakBefore w:val="0"/>
      <w:widowControl w:val="1"/>
      <w:shd w:val="clear" w:color="auto" w:fill="auto"/>
      <w:suppressAutoHyphens w:val="0"/>
      <w:bidi w:val="0"/>
      <w:spacing w:before="0" w:after="160" w:line="259" w:lineRule="auto"/>
      <w:ind w:left="0" w:right="0" w:firstLine="0"/>
      <w:jc w:val="both"/>
      <w:outlineLvl w:val="9"/>
    </w:pPr>
    <w:rPr>
      <w:rFonts w:ascii="Arial" w:cs="Arial Unicode MS" w:hAnsi="Arial" w:eastAsia="Arial Unicode MS"/>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