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CMMC Level 2 Readiness &amp; Assessment Prep on Google Workspace (NIST SP 800-171)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Outcome</w:t>
      </w:r>
    </w:p>
    <w:p>
      <w:r>
        <w:t xml:space="preserve">Your organization holds </w:t>
      </w:r>
      <w:r>
        <w:rPr>
          <w:b/>
        </w:rPr>
        <w:t>Controlled Unclassified Information (CUI)</w:t>
      </w:r>
      <w:r>
        <w:t xml:space="preserve"> on Google Workspace and must reach </w:t>
      </w:r>
      <w:r>
        <w:rPr>
          <w:b/>
        </w:rPr>
        <w:t>CMMC Level 2</w:t>
      </w:r>
      <w:r>
        <w:t xml:space="preserve"> — the </w:t>
      </w:r>
      <w:r>
        <w:rPr>
          <w:b/>
        </w:rPr>
        <w:t>110 security requirements of NIST SP 800-171</w:t>
      </w:r>
      <w:r>
        <w:t xml:space="preserve"> — to remain eligible for DoD work. This solution takes the tenant from *controls-unmapped, boundary-undefined, no-evidence* to </w:t>
      </w:r>
      <w:r>
        <w:rPr>
          <w:b/>
        </w:rPr>
        <w:t>assessment-ready</w:t>
      </w:r>
      <w:r>
        <w:t xml:space="preserve">: the CUI boundary is defined and enforced, the applicable NIST 800-171 controls are mapped to concrete Workspace configuration, the controls are applied and </w:t>
      </w:r>
      <w:r>
        <w:rPr>
          <w:b/>
        </w:rPr>
        <w:t>evidenced</w:t>
      </w:r>
      <w:r>
        <w:t xml:space="preserve">, and the </w:t>
      </w:r>
      <w:r>
        <w:rPr>
          <w:b/>
        </w:rPr>
        <w:t>System Security Plan (SSP)</w:t>
      </w:r>
      <w:r>
        <w:t xml:space="preserve"> and </w:t>
      </w:r>
      <w:r>
        <w:rPr>
          <w:b/>
        </w:rPr>
        <w:t>Plan of Action &amp; Milestones (POA&amp;M)</w:t>
      </w:r>
      <w:r>
        <w:t xml:space="preserve"> are complete — the exact posture a </w:t>
      </w:r>
      <w:r>
        <w:rPr>
          <w:b/>
        </w:rPr>
        <w:t>C3PAO</w:t>
      </w:r>
      <w:r>
        <w:t xml:space="preserve"> expects to find at the start of a Level 2 assessment.</w:t>
      </w:r>
    </w:p>
    <w:p>
      <w:pPr>
        <w:pStyle w:val="Heading2"/>
      </w:pPr>
      <w:r>
        <w:t>Approach</w:t>
      </w:r>
    </w:p>
    <w:p>
      <w:r>
        <w:t xml:space="preserve">A </w:t>
      </w:r>
      <w:r>
        <w:rPr>
          <w:b/>
        </w:rPr>
        <w:t>CUI-boundary-first, control-family-driven</w:t>
      </w:r>
      <w:r>
        <w:t xml:space="preserve"> playbook on the house model </w:t>
      </w:r>
      <w:r>
        <w:rPr>
          <w:b/>
        </w:rPr>
        <w:t>Assess → Design → Configure → Pilot → Validate → Expand</w:t>
      </w:r>
      <w:r>
        <w:t>:</w:t>
      </w:r>
    </w:p>
    <w:p>
      <w:pPr>
        <w:pStyle w:val="ListNumber"/>
      </w:pPr>
      <w:r>
        <w:rPr>
          <w:b/>
        </w:rPr>
        <w:t>Define the CUI boundary</w:t>
      </w:r>
      <w:r>
        <w:t xml:space="preserve"> — a dedicated </w:t>
      </w:r>
      <w:r>
        <w:rPr>
          <w:rFonts w:ascii="Consolas" w:hAnsi="Consolas"/>
          <w:sz w:val="19"/>
        </w:rPr>
        <w:t>CUI – Boundary – Org</w:t>
      </w:r>
      <w:r>
        <w:t xml:space="preserve"> organizational unit that fixes</w:t>
      </w:r>
    </w:p>
    <w:p>
      <w:r>
        <w:t xml:space="preserve">   assessment scope.</w:t>
      </w:r>
    </w:p>
    <w:p>
      <w:pPr>
        <w:pStyle w:val="ListNumber"/>
      </w:pPr>
      <w:r>
        <w:rPr>
          <w:b/>
        </w:rPr>
        <w:t>Map all 14 NIST 800-171 families</w:t>
      </w:r>
      <w:r>
        <w:t xml:space="preserve"> to real Workspace mechanisms (context-aware access, 2-step</w:t>
      </w:r>
    </w:p>
    <w:p>
      <w:r>
        <w:t xml:space="preserve">   verification, DLP, Vault retention, audit-log export, data-region/encryption, admin separation) in a    single </w:t>
      </w:r>
      <w:r>
        <w:rPr>
          <w:b/>
        </w:rPr>
        <w:t>control-map matrix</w:t>
      </w:r>
      <w:r>
        <w:t>.</w:t>
      </w:r>
    </w:p>
    <w:p>
      <w:pPr>
        <w:pStyle w:val="ListNumber"/>
      </w:pPr>
      <w:r>
        <w:rPr>
          <w:b/>
        </w:rPr>
        <w:t>Configure, pilot, and evidence</w:t>
      </w:r>
      <w:r>
        <w:t xml:space="preserve"> each control against the boundary — pilot-first, with pass/fail</w:t>
      </w:r>
    </w:p>
    <w:p>
      <w:r>
        <w:t xml:space="preserve">   gates and a documented rollback for every high-impact change.</w:t>
      </w:r>
    </w:p>
    <w:p>
      <w:pPr>
        <w:pStyle w:val="ListNumber"/>
      </w:pPr>
      <w:r>
        <w:rPr>
          <w:b/>
        </w:rPr>
        <w:t>Generate the SSP and POA&amp;M</w:t>
      </w:r>
      <w:r>
        <w:t xml:space="preserve"> from the completed control map, for the compliance owner to review and</w:t>
      </w:r>
    </w:p>
    <w:p>
      <w:r>
        <w:t xml:space="preserve">   own.</w:t>
      </w:r>
    </w:p>
    <w:p>
      <w:r>
        <w:t xml:space="preserve">Five read-only </w:t>
      </w:r>
      <w:r>
        <w:rPr>
          <w:b/>
        </w:rPr>
        <w:t>Python tools</w:t>
      </w:r>
      <w:r>
        <w:t xml:space="preserve"> (Google Admin SDK / Reports / Drive APIs) do the measuring: a control-status assessment, an evidence collector/exporter, a CUI-boundary exposure checker, an SSP/POA&amp;M draft generator, and a scope/config helper.</w:t>
      </w:r>
    </w:p>
    <w:p>
      <w:pPr>
        <w:pStyle w:val="Heading2"/>
      </w:pPr>
      <w:r>
        <w:t>Why it is low-risk</w:t>
      </w:r>
    </w:p>
    <w:p>
      <w:pPr>
        <w:pStyle w:val="ListBullet"/>
      </w:pPr>
      <w:r>
        <w:rPr>
          <w:b/>
        </w:rPr>
        <w:t>Pilot-first with rollback.</w:t>
      </w:r>
      <w:r>
        <w:t xml:space="preserve"> Every enforcing control (DLP, sharing, context-aware access, 2SV) is</w:t>
      </w:r>
    </w:p>
    <w:p>
      <w:r>
        <w:t xml:space="preserve">  proven on a pilot group before fleet enforcement; each has a one-lookup rollback scoped to the   boundary OU — never the whole tenant.</w:t>
      </w:r>
    </w:p>
    <w:p>
      <w:pPr>
        <w:pStyle w:val="ListBullet"/>
      </w:pPr>
      <w:r>
        <w:rPr>
          <w:b/>
        </w:rPr>
        <w:t>Read-only, safe-by-default tooling.</w:t>
      </w:r>
      <w:r>
        <w:t xml:space="preserve"> The tools require only least-privilege read-only scopes; they</w:t>
      </w:r>
    </w:p>
    <w:p>
      <w:r>
        <w:t xml:space="preserve">  cannot change the posture they measure, and no credentials or keys live in code.</w:t>
      </w:r>
    </w:p>
    <w:p>
      <w:pPr>
        <w:pStyle w:val="ListBullet"/>
      </w:pPr>
      <w:r>
        <w:rPr>
          <w:b/>
        </w:rPr>
        <w:t>Evidence-driven, not asserted.</w:t>
      </w:r>
      <w:r>
        <w:t xml:space="preserve"> Control status is *measured* from the live tenant, so the SSP and</w:t>
      </w:r>
    </w:p>
    <w:p>
      <w:r>
        <w:t xml:space="preserve">  POA&amp;M reflect reality, not optimism.</w:t>
      </w:r>
    </w:p>
    <w:p>
      <w:pPr>
        <w:pStyle w:val="Heading2"/>
      </w:pPr>
      <w:r>
        <w:t>The boundary we hold</w:t>
      </w:r>
    </w:p>
    <w:p>
      <w:r>
        <w:t xml:space="preserve">This engagement delivers </w:t>
      </w:r>
      <w:r>
        <w:rPr>
          <w:b/>
        </w:rPr>
        <w:t>readiness</w:t>
      </w:r>
      <w:r>
        <w:t xml:space="preserve"> — control mapping, configuration method, and evidence, plus the SSP and POA&amp;M. It does </w:t>
      </w:r>
      <w:r>
        <w:rPr>
          <w:b/>
        </w:rPr>
        <w:t>not</w:t>
      </w:r>
      <w:r>
        <w:t xml:space="preserve"> produce a CMMC assessment result, decide NIST 800-171 applicability/scoping, interpret ITAR/DFARS, or represent you before a C3PAO. Those determinations remain with your </w:t>
      </w:r>
      <w:r>
        <w:rPr>
          <w:b/>
        </w:rPr>
        <w:t>assessor, compliance officer, and legal counsel</w:t>
      </w:r>
      <w:r>
        <w:t xml:space="preserve">. The result is a tenant that is </w:t>
      </w:r>
      <w:r>
        <w:rPr>
          <w:b/>
        </w:rPr>
        <w:t>configured, evidenced, and assessment-ready</w:t>
      </w:r>
      <w:r>
        <w:t xml:space="preserve"> — at a fraction of open-ended readiness-consulting cost.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What this is</w:t>
      </w:r>
    </w:p>
    <w:p>
      <w:r>
        <w:t xml:space="preserve">This solution is a </w:t>
      </w:r>
      <w:r>
        <w:rPr>
          <w:b/>
        </w:rPr>
        <w:t>readiness and assessment-preparation playbook</w:t>
      </w:r>
      <w:r>
        <w:t xml:space="preserve"> for organizations that handle </w:t>
      </w:r>
      <w:r>
        <w:rPr>
          <w:b/>
        </w:rPr>
        <w:t>Controlled Unclassified Information (CUI)</w:t>
      </w:r>
      <w:r>
        <w:t xml:space="preserve"> on </w:t>
      </w:r>
      <w:r>
        <w:rPr>
          <w:b/>
        </w:rPr>
        <w:t>Google Workspace</w:t>
      </w:r>
      <w:r>
        <w:t xml:space="preserve"> and must reach </w:t>
      </w:r>
      <w:r>
        <w:rPr>
          <w:b/>
        </w:rPr>
        <w:t>CMMC Level 2</w:t>
      </w:r>
      <w:r>
        <w:t xml:space="preserve"> — the maturity level that maps to the </w:t>
      </w:r>
      <w:r>
        <w:rPr>
          <w:b/>
        </w:rPr>
        <w:t>110 security requirements of NIST SP 800-171</w:t>
      </w:r>
      <w:r>
        <w:t xml:space="preserve"> across </w:t>
      </w:r>
      <w:r>
        <w:rPr>
          <w:b/>
        </w:rPr>
        <w:t>14 control families</w:t>
      </w:r>
      <w:r>
        <w:t xml:space="preserve">. It takes an enterprise from "we hold CUI in Workspace but our controls are unmapped and unevidenced" to "the CUI boundary is defined, the applicable NIST 800-171 controls are mapped to concrete Workspace configuration, the controls are applied and </w:t>
      </w:r>
      <w:r>
        <w:rPr>
          <w:b/>
        </w:rPr>
        <w:t>evidenced</w:t>
      </w:r>
      <w:r>
        <w:t xml:space="preserve">, and the </w:t>
      </w:r>
      <w:r>
        <w:rPr>
          <w:b/>
        </w:rPr>
        <w:t>System Security Plan (SSP)</w:t>
      </w:r>
      <w:r>
        <w:t xml:space="preserve"> and </w:t>
      </w:r>
      <w:r>
        <w:rPr>
          <w:b/>
        </w:rPr>
        <w:t>Plan of Action &amp; Milestones (POA&amp;M)</w:t>
      </w:r>
      <w:r>
        <w:t xml:space="preserve"> are in hand" — the state a </w:t>
      </w:r>
      <w:r>
        <w:rPr>
          <w:b/>
        </w:rPr>
        <w:t>C3PAO (Certified Third-Party Assessment Organization)</w:t>
      </w:r>
      <w:r>
        <w:t xml:space="preserve"> expects to find at the start of a Level 2 assessment.</w:t>
      </w:r>
    </w:p>
    <w:p>
      <w:r>
        <w:t xml:space="preserve">It builds on and references the organization's existing </w:t>
      </w:r>
      <w:r>
        <w:rPr>
          <w:b/>
        </w:rPr>
        <w:t>Assured Controls / ITAR / DFARS data-region posture</w:t>
      </w:r>
      <w:r>
        <w:t xml:space="preserve"> (the separate regulated-workload solution) but is the distinct </w:t>
      </w:r>
      <w:r>
        <w:rPr>
          <w:b/>
        </w:rPr>
        <w:t>certification-journey</w:t>
      </w:r>
      <w:r>
        <w:t xml:space="preserve"> product: its job is to produce the *control mapping, configuration method, and evidence* that a CMMC assessment consumes.</w:t>
      </w:r>
    </w:p>
    <w:p>
      <w:pPr>
        <w:ind w:left="432"/>
      </w:pPr>
      <w:r>
        <w:rPr>
          <w:i/>
          <w:color w:val="2E86C1"/>
        </w:rPr>
        <w:t>Critical boundary — read first. This is readiness and preparation, not assessment, certification, or legal interpretation. The solution provides the technical control mapping, configuration procedure, and evidence artifacts. It does not — and cannot — produce a CMMC assessment *result*, decide NIST 800-171 applicability/scoping for your organization, interpret ITAR / DFARS 252.204-7012 / DFARS 252.204-7019/7020/7021, or schedule/represent a C3PAO assessment. Every one of those is a determination reserved to your organization's assessor, compliance officer, and legal counsel. Where this document cites NIST SP 800-171 or CMMC, it cites them at the framework level to structure the technical work — it never asserts that a given configuration "satisfies" a control as a matter of assessment fact. Treat control-satisfaction language throughout as "*configured to support*," pending your assessor's determination.</w:t>
      </w:r>
    </w:p>
    <w:p>
      <w:pPr>
        <w:pStyle w:val="Heading2"/>
      </w:pPr>
      <w:r>
        <w:t>The problem it solves</w:t>
      </w:r>
    </w:p>
    <w:p>
      <w:r>
        <w:t>A defense-supply-chain organization that has standardized on Google Workspace for mail, files, collaboration, and meetings, and that receives or generates CUI under a DoD contract, faces a recurring, expensive gap:</w:t>
      </w:r>
    </w:p>
    <w:p>
      <w:pPr>
        <w:pStyle w:val="ListBullet"/>
      </w:pPr>
      <w:r>
        <w:t xml:space="preserve">The </w:t>
      </w:r>
      <w:r>
        <w:rPr>
          <w:b/>
        </w:rPr>
        <w:t>110 NIST 800-171 requirements</w:t>
      </w:r>
      <w:r>
        <w:t xml:space="preserve"> are written technology-neutrally; nobody has mapped them to the</w:t>
      </w:r>
    </w:p>
    <w:p>
      <w:r>
        <w:t xml:space="preserve">  </w:t>
      </w:r>
      <w:r>
        <w:rPr>
          <w:b/>
        </w:rPr>
        <w:t>specific Workspace setting, admin path, or API</w:t>
      </w:r>
      <w:r>
        <w:t xml:space="preserve"> that implements each one.</w:t>
      </w:r>
    </w:p>
    <w:p>
      <w:pPr>
        <w:pStyle w:val="ListBullet"/>
      </w:pPr>
      <w:r>
        <w:t xml:space="preserve">The </w:t>
      </w:r>
      <w:r>
        <w:rPr>
          <w:b/>
        </w:rPr>
        <w:t>CUI boundary</w:t>
      </w:r>
      <w:r>
        <w:t xml:space="preserve"> — which users, groups, organizational units (OUs), Shared Drives, and data</w:t>
      </w:r>
    </w:p>
    <w:p>
      <w:r>
        <w:t xml:space="preserve">  flows are *in scope* — has never been drawn, so the assessment scope is undefined and unbounded.</w:t>
      </w:r>
    </w:p>
    <w:p>
      <w:pPr>
        <w:pStyle w:val="ListBullet"/>
      </w:pPr>
      <w:r>
        <w:t xml:space="preserve">Controls may in fact be *configured*, but there is </w:t>
      </w:r>
      <w:r>
        <w:rPr>
          <w:b/>
        </w:rPr>
        <w:t>no evidence</w:t>
      </w:r>
      <w:r>
        <w:t xml:space="preserve"> — no exported configuration, no</w:t>
      </w:r>
    </w:p>
    <w:p>
      <w:r>
        <w:t xml:space="preserve">  audit-log extract, no screenshots — to show an assessor.</w:t>
      </w:r>
    </w:p>
    <w:p>
      <w:pPr>
        <w:pStyle w:val="ListBullet"/>
      </w:pPr>
      <w:r>
        <w:t xml:space="preserve">There is </w:t>
      </w:r>
      <w:r>
        <w:rPr>
          <w:b/>
        </w:rPr>
        <w:t>no SSP</w:t>
      </w:r>
      <w:r>
        <w:t xml:space="preserve"> describing how each requirement is met, and </w:t>
      </w:r>
      <w:r>
        <w:rPr>
          <w:b/>
        </w:rPr>
        <w:t>no POA&amp;M</w:t>
      </w:r>
      <w:r>
        <w:t xml:space="preserve"> tracking the gaps, so</w:t>
      </w:r>
    </w:p>
    <w:p>
      <w:r>
        <w:t xml:space="preserve">  the organization cannot even submit a self-assessment score to </w:t>
      </w:r>
      <w:r>
        <w:rPr>
          <w:b/>
        </w:rPr>
        <w:t>SPRS</w:t>
      </w:r>
      <w:r>
        <w:t>, let alone host a C3PAO.</w:t>
      </w:r>
    </w:p>
    <w:p>
      <w:r>
        <w:t xml:space="preserve">The result is a stalled certification, repeated ad-hoc consulting, and contract risk. This solution replaces that with a </w:t>
      </w:r>
      <w:r>
        <w:rPr>
          <w:b/>
        </w:rPr>
        <w:t>repeatable, evidenced, self-guided path</w:t>
      </w:r>
      <w:r>
        <w:t>.</w:t>
      </w:r>
    </w:p>
    <w:p>
      <w:pPr>
        <w:pStyle w:val="Heading2"/>
      </w:pPr>
      <w:r>
        <w:t>How it works — the reference model</w:t>
      </w:r>
    </w:p>
    <w:p>
      <w:r>
        <w:t xml:space="preserve">The solution organizes the work around a </w:t>
      </w:r>
      <w:r>
        <w:rPr>
          <w:b/>
        </w:rPr>
        <w:t>CUI-boundary-first, control-family-driven</w:t>
      </w:r>
      <w:r>
        <w:t xml:space="preserve"> reference model on Google Workspace:</w:t>
      </w:r>
    </w:p>
    <w:p>
      <w:pPr>
        <w:pStyle w:val="ListNumber"/>
      </w:pPr>
      <w:r>
        <w:rPr>
          <w:b/>
        </w:rPr>
        <w:t>Define the CUI boundary.</w:t>
      </w:r>
      <w:r>
        <w:t xml:space="preserve"> A dedicated </w:t>
      </w:r>
      <w:r>
        <w:rPr>
          <w:b/>
        </w:rPr>
        <w:t>`CUI – Boundary – Org` organizational unit</w:t>
      </w:r>
      <w:r>
        <w:t xml:space="preserve"> (and, where</w:t>
      </w:r>
    </w:p>
    <w:p>
      <w:r>
        <w:t xml:space="preserve">   the design calls for it, a </w:t>
      </w:r>
      <w:r>
        <w:rPr>
          <w:b/>
        </w:rPr>
        <w:t>`CUI – Enclave – Org` sub-OU</w:t>
      </w:r>
      <w:r>
        <w:t xml:space="preserve">) collects the users, groups, and Shared    Drives that store, process, or transmit CUI. Everything inside the boundary is </w:t>
      </w:r>
      <w:r>
        <w:rPr>
          <w:b/>
        </w:rPr>
        <w:t>in assessment    scope</w:t>
      </w:r>
      <w:r>
        <w:t>; everything outside is explicitly out (subject to your assessor's scoping determination).</w:t>
      </w:r>
    </w:p>
    <w:p>
      <w:pPr>
        <w:pStyle w:val="ListNumber"/>
      </w:pPr>
      <w:r>
        <w:rPr>
          <w:b/>
        </w:rPr>
        <w:t>Map the 14 families to Workspace capability.</w:t>
      </w:r>
      <w:r>
        <w:t xml:space="preserve"> Each of the 14 NIST 800-171 families —</w:t>
      </w:r>
    </w:p>
    <w:p>
      <w:r>
        <w:t xml:space="preserve">   </w:t>
      </w:r>
      <w:r>
        <w:rPr>
          <w:b/>
        </w:rPr>
        <w:t>Access Control (AC), Awareness &amp; Training (AT), Audit &amp; Accountability (AU), Configuration    Management (CM), Identification &amp; Authentication (IA), Incident Response (IR), Maintenance (MA),    Media Protection (MP), Personnel Security (PS), Physical Protection (PE), Risk Assessment (RA),    Security Assessment (CA), System &amp; Communications Protection (SC), and System &amp; Information    Integrity (SI)</w:t>
      </w:r>
      <w:r>
        <w:t xml:space="preserve"> — is mapped to the Workspace/Cloud-Identity mechanism that implements it:    context-aware access, 2-step verification / security keys, DLP, Vault retention, audit logs and log    export, client-side / default encryption, data-region and Assured Controls, admin-role separation,    and so on. The mapping is captured in a </w:t>
      </w:r>
      <w:r>
        <w:rPr>
          <w:b/>
        </w:rPr>
        <w:t>`NIST 800-171 – Control Map – Org` matrix</w:t>
      </w:r>
      <w:r>
        <w:t xml:space="preserve">    (control → Workspace setting → status → evidence pointer), the single spreadsheet that drives the    rest of the engagement.</w:t>
      </w:r>
    </w:p>
    <w:p>
      <w:pPr>
        <w:pStyle w:val="ListNumber"/>
      </w:pPr>
      <w:r>
        <w:rPr>
          <w:b/>
        </w:rPr>
        <w:t>Configure the controls</w:t>
      </w:r>
      <w:r>
        <w:t xml:space="preserve"> against the boundary OU, pilot-first, following the house deployment</w:t>
      </w:r>
    </w:p>
    <w:p>
      <w:r>
        <w:t xml:space="preserve">   model, each configured artifact named to a consistent convention.</w:t>
      </w:r>
    </w:p>
    <w:p>
      <w:pPr>
        <w:pStyle w:val="ListNumber"/>
      </w:pPr>
      <w:r>
        <w:rPr>
          <w:b/>
        </w:rPr>
        <w:t>Evidence every control.</w:t>
      </w:r>
      <w:r>
        <w:t xml:space="preserve"> For each control the solution captures the </w:t>
      </w:r>
      <w:r>
        <w:rPr>
          <w:b/>
        </w:rPr>
        <w:t>configuration state</w:t>
      </w:r>
    </w:p>
    <w:p>
      <w:r>
        <w:t xml:space="preserve">   (exported policy/setting via Admin SDK) and the </w:t>
      </w:r>
      <w:r>
        <w:rPr>
          <w:b/>
        </w:rPr>
        <w:t>operational evidence</w:t>
      </w:r>
      <w:r>
        <w:t xml:space="preserve"> (audit-log extract from the    Reports API) into an </w:t>
      </w:r>
      <w:r>
        <w:rPr>
          <w:b/>
        </w:rPr>
        <w:t>`Evidence – CUI Boundary – &lt;date&gt;` package</w:t>
      </w:r>
      <w:r>
        <w:t>.</w:t>
      </w:r>
    </w:p>
    <w:p>
      <w:pPr>
        <w:pStyle w:val="ListNumber"/>
      </w:pPr>
      <w:r>
        <w:rPr>
          <w:b/>
        </w:rPr>
        <w:t>Author the SSP and POA&amp;M.</w:t>
      </w:r>
      <w:r>
        <w:t xml:space="preserve"> The completed control map feeds a </w:t>
      </w:r>
      <w:r>
        <w:rPr>
          <w:rFonts w:ascii="Consolas" w:hAnsi="Consolas"/>
          <w:sz w:val="19"/>
        </w:rPr>
        <w:t>SSP – CUI Boundary – Org</w:t>
      </w:r>
    </w:p>
    <w:p>
      <w:r>
        <w:t xml:space="preserve">   document (one implementation statement per requirement) and a </w:t>
      </w:r>
      <w:r>
        <w:rPr>
          <w:rFonts w:ascii="Consolas" w:hAnsi="Consolas"/>
          <w:sz w:val="19"/>
        </w:rPr>
        <w:t>POA&amp;M – CUI Boundary – Org</w:t>
      </w:r>
      <w:r>
        <w:t xml:space="preserve">    register (one row per not-yet-met or partially-met requirement, with owner and milestone).</w:t>
      </w:r>
    </w:p>
    <w:p>
      <w:pPr>
        <w:pStyle w:val="ListNumber"/>
      </w:pPr>
      <w:r>
        <w:rPr>
          <w:b/>
        </w:rPr>
        <w:t>Reach an assessment-ready gate</w:t>
      </w:r>
      <w:r>
        <w:t xml:space="preserve"> — controls configured + evidenced, boundary enforced, SSP/POA&amp;M</w:t>
      </w:r>
    </w:p>
    <w:p>
      <w:r>
        <w:t xml:space="preserve">   complete — at which point the organization engages its C3PAO. </w:t>
      </w:r>
      <w:r>
        <w:rPr>
          <w:b/>
        </w:rPr>
        <w:t>The assessment itself and its    outcome are out of scope.</w:t>
      </w:r>
    </w:p>
    <w:p>
      <w:pPr>
        <w:pStyle w:val="Heading2"/>
      </w:pPr>
      <w:r>
        <w:t>The deployment model (house standard)</w:t>
      </w:r>
    </w:p>
    <w:p>
      <w:r>
        <w:t xml:space="preserve">All production changes follow </w:t>
      </w:r>
      <w:r>
        <w:rPr>
          <w:b/>
        </w:rPr>
        <w:t>Assess → Design → Configure → Pilot → Validate → Expand</w:t>
      </w:r>
      <w:r>
        <w:t xml:space="preserve">, pilot-first, with explicit </w:t>
      </w:r>
      <w:r>
        <w:rPr>
          <w:b/>
        </w:rPr>
        <w:t>pass/fail gates</w:t>
      </w:r>
      <w:r>
        <w:t xml:space="preserve"> and a </w:t>
      </w:r>
      <w:r>
        <w:rPr>
          <w:b/>
        </w:rPr>
        <w:t>documented rollback</w:t>
      </w:r>
      <w:r>
        <w:t xml:space="preserve"> for every high-impact change (DLP enforcement, sharing restriction, context-aware access, log export, encryption). Nothing enforced fleet-wide until it has passed on the </w:t>
      </w:r>
      <w:r>
        <w:rPr>
          <w:rFonts w:ascii="Consolas" w:hAnsi="Consolas"/>
          <w:sz w:val="19"/>
        </w:rPr>
        <w:t>CUI – Pilot – Org</w:t>
      </w:r>
      <w:r>
        <w:t xml:space="preserve"> group.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Assessment-ready, not just "secure."</w:t>
      </w:r>
      <w:r>
        <w:t xml:space="preserve"> The deliverable is the exact evidence + SSP + POA&amp;M an</w:t>
      </w:r>
    </w:p>
    <w:p>
      <w:r>
        <w:t xml:space="preserve">  assessor asks for — configured, exported, and organized to the 110 requirements.</w:t>
      </w:r>
    </w:p>
    <w:p>
      <w:pPr>
        <w:pStyle w:val="ListBullet"/>
      </w:pPr>
      <w:r>
        <w:rPr>
          <w:b/>
        </w:rPr>
        <w:t>Boundary discipline.</w:t>
      </w:r>
      <w:r>
        <w:t xml:space="preserve"> A defined, enforced CUI boundary shrinks and stabilizes assessment scope.</w:t>
      </w:r>
    </w:p>
    <w:p>
      <w:pPr>
        <w:pStyle w:val="ListBullet"/>
      </w:pPr>
      <w:r>
        <w:rPr>
          <w:b/>
        </w:rPr>
        <w:t>Repeatable and evidenced by tooling.</w:t>
      </w:r>
      <w:r>
        <w:t xml:space="preserve"> Five Python tools read the live tenant to produce the</w:t>
      </w:r>
    </w:p>
    <w:p>
      <w:r>
        <w:t xml:space="preserve">  control-status map, the evidence package, the boundary-exposure check, and the SSP/POA&amp;M draft — so   the state is *measured*, not asserted.</w:t>
      </w:r>
    </w:p>
    <w:p>
      <w:pPr>
        <w:pStyle w:val="ListBullet"/>
      </w:pPr>
      <w:r>
        <w:rPr>
          <w:b/>
        </w:rPr>
        <w:t>Lower cost, faster.</w:t>
      </w:r>
      <w:r>
        <w:t xml:space="preserve"> Self-guided steps replace open-ended readiness consulting; the certification</w:t>
      </w:r>
    </w:p>
    <w:p>
      <w:r>
        <w:t xml:space="preserve">  determination stays where it belongs (your assessor).</w:t>
      </w:r>
    </w:p>
    <w:p>
      <w:pPr>
        <w:pStyle w:val="Heading2"/>
      </w:pPr>
      <w:r>
        <w:t>Limitations (boundary restated)</w:t>
      </w:r>
    </w:p>
    <w:p>
      <w:pPr>
        <w:pStyle w:val="ListBullet"/>
      </w:pPr>
      <w:r>
        <w:rPr>
          <w:b/>
        </w:rPr>
        <w:t>No assessment result or certification.</w:t>
      </w:r>
      <w:r>
        <w:t xml:space="preserve"> Configuration and evidence only; the C3PAO determines</w:t>
      </w:r>
    </w:p>
    <w:p>
      <w:r>
        <w:t xml:space="preserve">  conformance.</w:t>
      </w:r>
    </w:p>
    <w:p>
      <w:pPr>
        <w:pStyle w:val="ListBullet"/>
      </w:pPr>
      <w:r>
        <w:rPr>
          <w:b/>
        </w:rPr>
        <w:t>No applicability/scoping/legal call.</w:t>
      </w:r>
      <w:r>
        <w:t xml:space="preserve"> Which requirements apply, what counts as CUI, and any</w:t>
      </w:r>
    </w:p>
    <w:p>
      <w:r>
        <w:t xml:space="preserve">  ITAR/DFARS interpretation are your compliance/legal/assessor's to make.</w:t>
      </w:r>
    </w:p>
    <w:p>
      <w:pPr>
        <w:pStyle w:val="ListBullet"/>
      </w:pPr>
      <w:r>
        <w:rPr>
          <w:b/>
        </w:rPr>
        <w:t>Vendor behavior may vary by edition/rollout.</w:t>
      </w:r>
      <w:r>
        <w:t xml:space="preserve"> Assured Controls, data-region, client-side</w:t>
      </w:r>
    </w:p>
    <w:p>
      <w:r>
        <w:t xml:space="preserve">  encryption, and some log-export/DLP capabilities depend on your </w:t>
      </w:r>
      <w:r>
        <w:rPr>
          <w:b/>
        </w:rPr>
        <w:t>Workspace edition and add-ons</w:t>
      </w:r>
      <w:r>
        <w:t xml:space="preserve"> and   on features that roll out over time. Every such item is flagged </w:t>
      </w:r>
      <w:r>
        <w:rPr>
          <w:b/>
        </w:rPr>
        <w:t>"verify your edition / Assured   Controls availability in your tenant."</w:t>
      </w:r>
      <w:r>
        <w:t xml:space="preserve"> This solution never asserts a Google feature exists or   behaves a certain way beyond current public documentation.</w:t>
      </w:r>
    </w:p>
    <w:p>
      <w:pPr>
        <w:pStyle w:val="Heading1"/>
      </w:pPr>
      <w:r>
        <w:t>Requirements</w:t>
      </w:r>
    </w:p>
    <w:p>
      <w:r>
        <w:t xml:space="preserve">These are the </w:t>
      </w:r>
      <w:r>
        <w:rPr>
          <w:b/>
        </w:rPr>
        <w:t>solution-specific</w:t>
      </w:r>
      <w:r>
        <w:t xml:space="preserve"> prerequisites for CMMC Level 2 readiness on Google Workspace. They are </w:t>
      </w:r>
      <w:r>
        <w:rPr>
          <w:b/>
        </w:rPr>
        <w:t>in addition to</w:t>
      </w:r>
      <w:r>
        <w:t xml:space="preserve"> the shared category prerequisites in </w:t>
      </w:r>
      <w:r>
        <w:rPr>
          <w:rFonts w:ascii="Consolas" w:hAnsi="Consolas"/>
          <w:sz w:val="19"/>
        </w:rPr>
        <w:t>global-requirements-google.md</w:t>
      </w:r>
      <w:r>
        <w:t xml:space="preserve"> (a provisioned Workspace/Cloud-Identity tenant with super-admin, DNS control, an identity source of truth, a pilot OU/group and change control, and engaged security/compliance/governance stakeholders). Do not re-satisfy those here — verify them, then confirm the following.</w:t>
      </w:r>
    </w:p>
    <w:p>
      <w:pPr>
        <w:ind w:left="432"/>
      </w:pPr>
      <w:r>
        <w:rPr>
          <w:i/>
          <w:color w:val="2E86C1"/>
        </w:rPr>
        <w:t>Scoping/applicability is not a prerequisite you satisfy technically. Whether CMMC Level 2 and specific NIST 800-171 requirements apply to your organization, and what constitutes CUI, are determinations for your compliance/legal team and assessor. The requirements below prepare the *environment and inputs*; they do not decide scope.</w:t>
      </w:r>
    </w:p>
    <w:p>
      <w:r>
        <w:t>__________________________________________________</w:t>
      </w:r>
    </w:p>
    <w:p>
      <w:pPr>
        <w:pStyle w:val="Heading2"/>
      </w:pPr>
      <w:r>
        <w:t>1. Workspace edition/add-on that supports the regulated-workload controls</w:t>
      </w:r>
    </w:p>
    <w:p>
      <w:pPr>
        <w:pStyle w:val="ListBullet"/>
      </w:pPr>
      <w:r>
        <w:rPr>
          <w:b/>
        </w:rPr>
        <w:t>Description:</w:t>
      </w:r>
      <w:r>
        <w:t xml:space="preserve"> A Google Workspace edition (and any add-on) that provides the controls CMMC L2</w:t>
      </w:r>
    </w:p>
    <w:p>
      <w:r>
        <w:t xml:space="preserve">  readiness relies on: </w:t>
      </w:r>
      <w:r>
        <w:rPr>
          <w:b/>
        </w:rPr>
        <w:t>Vault</w:t>
      </w:r>
      <w:r>
        <w:t xml:space="preserve"> (retention/eDiscovery), </w:t>
      </w:r>
      <w:r>
        <w:rPr>
          <w:b/>
        </w:rPr>
        <w:t>DLP for Drive/Gmail</w:t>
      </w:r>
      <w:r>
        <w:t xml:space="preserve">, </w:t>
      </w:r>
      <w:r>
        <w:rPr>
          <w:b/>
        </w:rPr>
        <w:t>context-aware   access</w:t>
      </w:r>
      <w:r>
        <w:t xml:space="preserve">, </w:t>
      </w:r>
      <w:r>
        <w:rPr>
          <w:b/>
        </w:rPr>
        <w:t>data regions</w:t>
      </w:r>
      <w:r>
        <w:t xml:space="preserve">, </w:t>
      </w:r>
      <w:r>
        <w:rPr>
          <w:b/>
        </w:rPr>
        <w:t>audit-log export</w:t>
      </w:r>
      <w:r>
        <w:t xml:space="preserve">, and — where the CUI workload requires it —   </w:t>
      </w:r>
      <w:r>
        <w:rPr>
          <w:b/>
        </w:rPr>
        <w:t>Assured Controls</w:t>
      </w:r>
      <w:r>
        <w:t xml:space="preserve"> and </w:t>
      </w:r>
      <w:r>
        <w:rPr>
          <w:b/>
        </w:rPr>
        <w:t>client-side encryption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Several NIST 800-171 families (AU, MP, SC, AC) are implemented through these</w:t>
      </w:r>
    </w:p>
    <w:p>
      <w:r>
        <w:t xml:space="preserve">  features; without the edition/add-on they are unavailable.</w:t>
      </w:r>
    </w:p>
    <w:p>
      <w:pPr>
        <w:pStyle w:val="ListBullet"/>
      </w:pPr>
      <w:r>
        <w:rPr>
          <w:b/>
        </w:rPr>
        <w:t>How to verify:</w:t>
      </w:r>
      <w:r>
        <w:t xml:space="preserve"> In the </w:t>
      </w:r>
      <w:r>
        <w:rPr>
          <w:b/>
        </w:rPr>
        <w:t>Admin console → Billing → Subscriptions</w:t>
      </w:r>
      <w:r>
        <w:t>, confirm the edition and any</w:t>
      </w:r>
    </w:p>
    <w:p>
      <w:r>
        <w:t xml:space="preserve">  Assured Controls / AppSec add-on. In </w:t>
      </w:r>
      <w:r>
        <w:rPr>
          <w:b/>
        </w:rPr>
        <w:t>Account → Account settings → Legal &amp; compliance</w:t>
      </w:r>
      <w:r>
        <w:t xml:space="preserve"> / </w:t>
      </w:r>
      <w:r>
        <w:rPr>
          <w:b/>
        </w:rPr>
        <w:t>Data   regions</w:t>
      </w:r>
      <w:r>
        <w:t xml:space="preserve">, confirm data-region and (if licensed) Assured Controls surfaces are present.   </w:t>
      </w:r>
      <w:r>
        <w:rPr>
          <w:b/>
        </w:rPr>
        <w:t>Verify Assured Controls availability in your tenant</w:t>
      </w:r>
      <w:r>
        <w:t xml:space="preserve"> — it is edition/contract-dependent.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Engage Google or your reseller to move to the qualifying edition and</w:t>
      </w:r>
    </w:p>
    <w:p>
      <w:r>
        <w:t xml:space="preserve">  enable the required add-ons </w:t>
      </w:r>
      <w:r>
        <w:rPr>
          <w:b/>
        </w:rPr>
        <w:t>before</w:t>
      </w:r>
      <w:r>
        <w:t xml:space="preserve"> configuration. Flag any capability you cannot confirm as a   </w:t>
      </w:r>
      <w:r>
        <w:rPr>
          <w:b/>
        </w:rPr>
        <w:t>POA&amp;M</w:t>
      </w:r>
      <w:r>
        <w:t xml:space="preserve"> item rather than assuming it exists.</w:t>
      </w:r>
    </w:p>
    <w:p>
      <w:pPr>
        <w:pStyle w:val="Heading2"/>
      </w:pPr>
      <w:r>
        <w:t>2. A defined CUI boundary input (users, groups, Shared Drives, data flows)</w:t>
      </w:r>
    </w:p>
    <w:p>
      <w:pPr>
        <w:pStyle w:val="ListBullet"/>
      </w:pPr>
      <w:r>
        <w:rPr>
          <w:b/>
        </w:rPr>
        <w:t>Description:</w:t>
      </w:r>
      <w:r>
        <w:t xml:space="preserve"> A documented list — even a draft — of </w:t>
      </w:r>
      <w:r>
        <w:rPr>
          <w:b/>
        </w:rPr>
        <w:t>who handles CUI</w:t>
      </w:r>
      <w:r>
        <w:t>, **which groups/OUs they</w:t>
      </w:r>
    </w:p>
    <w:p>
      <w:r>
        <w:t xml:space="preserve">  belong to</w:t>
      </w:r>
      <w:r>
        <w:rPr>
          <w:b/>
        </w:rPr>
        <w:t xml:space="preserve">, </w:t>
      </w:r>
      <w:r>
        <w:t>which Shared Drives / shared locations hold CUI</w:t>
      </w:r>
      <w:r>
        <w:rPr>
          <w:b/>
        </w:rPr>
        <w:t xml:space="preserve">, and </w:t>
      </w:r>
      <w:r>
        <w:t xml:space="preserve">how CUI enters and leaves**   (mail, Drive sharing, external collaboration, connected apps). This is the input to the   </w:t>
      </w:r>
      <w:r>
        <w:rPr>
          <w:rFonts w:ascii="Consolas" w:hAnsi="Consolas"/>
          <w:sz w:val="19"/>
        </w:rPr>
        <w:t>CUI – Boundary – Org</w:t>
      </w:r>
      <w:r>
        <w:t xml:space="preserve"> OU.</w:t>
      </w:r>
    </w:p>
    <w:p>
      <w:pPr>
        <w:pStyle w:val="ListBullet"/>
      </w:pPr>
      <w:r>
        <w:rPr>
          <w:b/>
        </w:rPr>
        <w:t>Why required:</w:t>
      </w:r>
      <w:r>
        <w:t xml:space="preserve"> The boundary defines assessment scope; every subsequent control is applied *to the</w:t>
      </w:r>
    </w:p>
    <w:p>
      <w:r>
        <w:t xml:space="preserve">  boundary*. Without it, scope is unbounded and evidence is unfocused.</w:t>
      </w:r>
    </w:p>
    <w:p>
      <w:pPr>
        <w:pStyle w:val="ListBullet"/>
      </w:pPr>
      <w:r>
        <w:rPr>
          <w:b/>
        </w:rPr>
        <w:t>How to verify:</w:t>
      </w:r>
      <w:r>
        <w:t xml:space="preserve"> Confirm a data map / CUI inventory exists (from the compliance/data-governance</w:t>
      </w:r>
    </w:p>
    <w:p>
      <w:r>
        <w:t xml:space="preserve">  stakeholders named in the shared requirements). The included boundary-exposure tool can help   *validate* a draft, but the </w:t>
      </w:r>
      <w:r>
        <w:rPr>
          <w:b/>
        </w:rPr>
        <w:t>authoritative determination of what is CUI is your compliance team's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Work with data-governance/compliance to produce a first-pass CUI</w:t>
      </w:r>
    </w:p>
    <w:p>
      <w:r>
        <w:t xml:space="preserve">  inventory and data-flow map; refine it during the Assess stage. Treat unknowns as boundary risks.</w:t>
      </w:r>
    </w:p>
    <w:p>
      <w:pPr>
        <w:pStyle w:val="Heading2"/>
      </w:pPr>
      <w:r>
        <w:t>3. Assessor / C3PAO and compliance-owner engagement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compliance owner</w:t>
      </w:r>
      <w:r>
        <w:t xml:space="preserve"> (accountable for the SSP/POA&amp;M and the SPRS score) and,</w:t>
      </w:r>
    </w:p>
    <w:p>
      <w:r>
        <w:t xml:space="preserve">  ideally, the </w:t>
      </w:r>
      <w:r>
        <w:rPr>
          <w:b/>
        </w:rPr>
        <w:t>C3PAO or Registered Practitioner</w:t>
      </w:r>
      <w:r>
        <w:t xml:space="preserve"> the organization intends to use — engaged early so   the readiness work targets their expectations.</w:t>
      </w:r>
    </w:p>
    <w:p>
      <w:pPr>
        <w:pStyle w:val="ListBullet"/>
      </w:pPr>
      <w:r>
        <w:rPr>
          <w:b/>
        </w:rPr>
        <w:t>Why required:</w:t>
      </w:r>
      <w:r>
        <w:t xml:space="preserve"> Applicability, scoping, evidence-format expectations, and the ultimate</w:t>
      </w:r>
    </w:p>
    <w:p>
      <w:r>
        <w:t xml:space="preserve">  determination are theirs. Building readiness without them risks re-work.</w:t>
      </w:r>
    </w:p>
    <w:p>
      <w:pPr>
        <w:pStyle w:val="ListBullet"/>
      </w:pPr>
      <w:r>
        <w:rPr>
          <w:b/>
        </w:rPr>
        <w:t>How to verify:</w:t>
      </w:r>
      <w:r>
        <w:t xml:space="preserve"> Confirm the compliance owner is identified and that assessor expectations (scope,</w:t>
      </w:r>
    </w:p>
    <w:p>
      <w:r>
        <w:t xml:space="preserve">  evidence format, SSP template) are known or requested.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compliance owner before authoring the SSP; engage a</w:t>
      </w:r>
    </w:p>
    <w:p>
      <w:r>
        <w:t xml:space="preserve">  C3PAO/RP per your organization's procurement process. </w:t>
      </w:r>
      <w:r>
        <w:rPr>
          <w:b/>
        </w:rPr>
        <w:t>This solution does not select or represent an   assessor.</w:t>
      </w:r>
    </w:p>
    <w:p>
      <w:pPr>
        <w:pStyle w:val="Heading2"/>
      </w:pPr>
      <w:r>
        <w:t>4. Baseline of the existing Assured Controls / data-region posture</w:t>
      </w:r>
    </w:p>
    <w:p>
      <w:pPr>
        <w:pStyle w:val="ListBullet"/>
      </w:pPr>
      <w:r>
        <w:rPr>
          <w:b/>
        </w:rPr>
        <w:t>Description:</w:t>
      </w:r>
      <w:r>
        <w:t xml:space="preserve"> Knowledge of the current </w:t>
      </w:r>
      <w:r>
        <w:rPr>
          <w:b/>
        </w:rPr>
        <w:t>data-region policy</w:t>
      </w:r>
      <w:r>
        <w:t xml:space="preserve">, </w:t>
      </w:r>
      <w:r>
        <w:rPr>
          <w:b/>
        </w:rPr>
        <w:t>Assured Controls state</w:t>
      </w:r>
      <w:r>
        <w:t>, and</w:t>
      </w:r>
    </w:p>
    <w:p>
      <w:r>
        <w:t xml:space="preserve">  </w:t>
      </w:r>
      <w:r>
        <w:rPr>
          <w:b/>
        </w:rPr>
        <w:t>client-side-encryption</w:t>
      </w:r>
      <w:r>
        <w:t xml:space="preserve"> configuration for the CUI OUs — typically established by the separate   Assured Controls / ITAR / DFARS solution.</w:t>
      </w:r>
    </w:p>
    <w:p>
      <w:pPr>
        <w:pStyle w:val="ListBullet"/>
      </w:pPr>
      <w:r>
        <w:rPr>
          <w:b/>
        </w:rPr>
        <w:t>Why required:</w:t>
      </w:r>
      <w:r>
        <w:t xml:space="preserve"> NIST 800-171 SC (System &amp; Communications Protection) and MP (Media Protection)</w:t>
      </w:r>
    </w:p>
    <w:p>
      <w:r>
        <w:t xml:space="preserve">  controls reuse this posture; the readiness work maps to it rather than rebuilding it.</w:t>
      </w:r>
    </w:p>
    <w:p>
      <w:pPr>
        <w:pStyle w:val="ListBullet"/>
      </w:pPr>
      <w:r>
        <w:rPr>
          <w:b/>
        </w:rPr>
        <w:t>How to verify:</w:t>
      </w:r>
      <w:r>
        <w:t xml:space="preserve"> Review the data-region/Assured Controls configuration for the CUI OUs in the Admin</w:t>
      </w:r>
    </w:p>
    <w:p>
      <w:r>
        <w:t xml:space="preserve">  console and confirm it matches the organization's documented regulated-workload design.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Complete the Assured Controls / data-region work first (separate</w:t>
      </w:r>
    </w:p>
    <w:p>
      <w:r>
        <w:t xml:space="preserve">  solution), then return to map those controls into the SSP.</w:t>
      </w:r>
    </w:p>
    <w:p>
      <w:pPr>
        <w:pStyle w:val="Heading2"/>
      </w:pPr>
      <w:r>
        <w:t>5. API access for the assessment and evidence tooling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Google Cloud project</w:t>
      </w:r>
      <w:r>
        <w:t xml:space="preserve"> with the </w:t>
      </w:r>
      <w:r>
        <w:rPr>
          <w:b/>
        </w:rPr>
        <w:t>Admin SDK (Directory + Reports)</w:t>
      </w:r>
      <w:r>
        <w:t xml:space="preserve">, </w:t>
      </w:r>
      <w:r>
        <w:rPr>
          <w:b/>
        </w:rPr>
        <w:t>Drive</w:t>
      </w:r>
      <w:r>
        <w:t>,</w:t>
      </w:r>
    </w:p>
    <w:p>
      <w:r>
        <w:t xml:space="preserve">  and </w:t>
      </w:r>
      <w:r>
        <w:rPr>
          <w:b/>
        </w:rPr>
        <w:t>Groups Settings</w:t>
      </w:r>
      <w:r>
        <w:t xml:space="preserve"> APIs enabled, plus an OAuth client or a service account with </w:t>
      </w:r>
      <w:r>
        <w:rPr>
          <w:b/>
        </w:rPr>
        <w:t>domain-wide   delegation</w:t>
      </w:r>
      <w:r>
        <w:t xml:space="preserve"> limited to </w:t>
      </w:r>
      <w:r>
        <w:rPr>
          <w:b/>
        </w:rPr>
        <w:t>read-only</w:t>
      </w:r>
      <w:r>
        <w:t xml:space="preserve"> admin scopes, for running the five Python tools.</w:t>
      </w:r>
    </w:p>
    <w:p>
      <w:pPr>
        <w:pStyle w:val="ListBullet"/>
      </w:pPr>
      <w:r>
        <w:rPr>
          <w:b/>
        </w:rPr>
        <w:t>Why required:</w:t>
      </w:r>
      <w:r>
        <w:t xml:space="preserve"> The tools read directory, policy, sharing, and audit-log data to produce the</w:t>
      </w:r>
    </w:p>
    <w:p>
      <w:r>
        <w:t xml:space="preserve">  control-status map and evidence package. They are read-only/dry-run by default.</w:t>
      </w:r>
    </w:p>
    <w:p>
      <w:pPr>
        <w:pStyle w:val="ListBullet"/>
      </w:pPr>
      <w:r>
        <w:rPr>
          <w:b/>
        </w:rPr>
        <w:t>How to verify:</w:t>
      </w:r>
      <w:r>
        <w:t xml:space="preserve"> In the Cloud console confirm the APIs are enabled; run `assess-nist-controls.py</w:t>
      </w:r>
    </w:p>
    <w:p>
      <w:r>
        <w:t xml:space="preserve">  --check-auth` (below) to confirm the credential authenticates with read-only scopes.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the project, enable the APIs, and configure a **least-privilege</w:t>
      </w:r>
    </w:p>
    <w:p>
      <w:r>
        <w:t xml:space="preserve">  read-only</w:t>
      </w:r>
      <w:r>
        <w:rPr>
          <w:b/>
        </w:rPr>
        <w:t xml:space="preserve"> credential (OAuth user consent or a delegated service account restricted to the   `*.readonly` admin scopes). </w:t>
      </w:r>
      <w:r>
        <w:t>Never</w:t>
      </w:r>
      <w:r>
        <w:rPr>
          <w:b/>
        </w:rPr>
        <w:t xml:space="preserve"> grant write scopes to the evidence tooling; </w:t>
      </w:r>
      <w:r>
        <w:t>never** commit or   export the credential. Store secrets outside the repo (ADC / a secured secret store).</w:t>
      </w:r>
    </w:p>
    <w:p>
      <w:pPr>
        <w:pStyle w:val="Heading2"/>
      </w:pPr>
      <w:r>
        <w:t>6. Change-control window scoped to CUI-boundary changes</w:t>
      </w:r>
    </w:p>
    <w:p>
      <w:pPr>
        <w:pStyle w:val="ListBullet"/>
      </w:pPr>
      <w:r>
        <w:rPr>
          <w:b/>
        </w:rPr>
        <w:t>Description:</w:t>
      </w:r>
      <w:r>
        <w:t xml:space="preserve"> Beyond the shared change-control prerequisite, a change window and rollback plan</w:t>
      </w:r>
    </w:p>
    <w:p>
      <w:r>
        <w:t xml:space="preserve">  specifically for the </w:t>
      </w:r>
      <w:r>
        <w:rPr>
          <w:b/>
        </w:rPr>
        <w:t>high-impact CUI-boundary controls</w:t>
      </w:r>
      <w:r>
        <w:t xml:space="preserve"> — DLP enforcement, external-sharing   restriction, context-aware access, and audit-log export — because these affect users' ability to   send mail and share files.</w:t>
      </w:r>
    </w:p>
    <w:p>
      <w:pPr>
        <w:pStyle w:val="ListBullet"/>
      </w:pPr>
      <w:r>
        <w:rPr>
          <w:b/>
        </w:rPr>
        <w:t>Why required:</w:t>
      </w:r>
      <w:r>
        <w:t xml:space="preserve"> Enforcing these fleet-wide without a pilot and rollback can block legitimate work or</w:t>
      </w:r>
    </w:p>
    <w:p>
      <w:r>
        <w:t xml:space="preserve">  break collaboration. The deployment model requires a documented rollback for each.</w:t>
      </w:r>
    </w:p>
    <w:p>
      <w:pPr>
        <w:pStyle w:val="ListBullet"/>
      </w:pPr>
      <w:r>
        <w:rPr>
          <w:b/>
        </w:rPr>
        <w:t>How to verify:</w:t>
      </w:r>
      <w:r>
        <w:t xml:space="preserve"> Confirm an approved window and a named rollback owner for the CUI-boundary changes.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Agree the window and rollback path with the change-control and</w:t>
      </w:r>
    </w:p>
    <w:p>
      <w:r>
        <w:t xml:space="preserve">  business owners before the Configure stage.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Follow these stages in order: </w:t>
      </w:r>
      <w:r>
        <w:rPr>
          <w:b/>
        </w:rPr>
        <w:t>Assess → Design → Configure → Pilot → Validate → Expand</w:t>
      </w:r>
      <w:r>
        <w:t xml:space="preserve">. Every artifact is </w:t>
      </w:r>
      <w:r>
        <w:rPr>
          <w:b/>
        </w:rPr>
        <w:t>named to a convention</w:t>
      </w:r>
      <w:r>
        <w:t xml:space="preserve"> and reused verbatim later. Every high-impact production change is </w:t>
      </w:r>
      <w:r>
        <w:rPr>
          <w:b/>
        </w:rPr>
        <w:t>piloted first</w:t>
      </w:r>
      <w:r>
        <w:t xml:space="preserve"> and has a </w:t>
      </w:r>
      <w:r>
        <w:rPr>
          <w:b/>
        </w:rPr>
        <w:t>rollback</w:t>
      </w:r>
      <w:r>
        <w:t xml:space="preserve">. </w:t>
      </w:r>
      <w:r>
        <w:rPr>
          <w:b/>
        </w:rPr>
        <w:t>Certification determinations are out of scope</w:t>
      </w:r>
      <w:r>
        <w:t xml:space="preserve"> — this produces configuration and evidence; your assessor determines conformance.</w:t>
      </w:r>
    </w:p>
    <w:p>
      <w:r>
        <w:rPr>
          <w:b/>
        </w:rPr>
        <w:t>Naming conventions used throughout (create once, reuse exactly):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</w:tr>
      <w:tr>
        <w:tc>
          <w:tcPr>
            <w:tcW w:type="dxa" w:w="4320"/>
          </w:tcPr>
          <w:p>
            <w:r>
              <w:t>CUI boundary OU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– Boundary – Org</w:t>
            </w:r>
          </w:p>
        </w:tc>
      </w:tr>
      <w:tr>
        <w:tc>
          <w:tcPr>
            <w:tcW w:type="dxa" w:w="4320"/>
          </w:tcPr>
          <w:p>
            <w:r>
              <w:t>CUI enclave sub-OU (optional)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– Enclave – Org</w:t>
            </w:r>
          </w:p>
        </w:tc>
      </w:tr>
      <w:tr>
        <w:tc>
          <w:tcPr>
            <w:tcW w:type="dxa" w:w="4320"/>
          </w:tcPr>
          <w:p>
            <w:r>
              <w:t>Pilot group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 – Pilot – Org</w:t>
            </w:r>
          </w:p>
        </w:tc>
      </w:tr>
      <w:tr>
        <w:tc>
          <w:tcPr>
            <w:tcW w:type="dxa" w:w="4320"/>
          </w:tcPr>
          <w:p>
            <w:r>
              <w:t>Control map (matrix)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NIST 800-171 – Control Map – Org</w:t>
            </w:r>
          </w:p>
        </w:tc>
      </w:tr>
      <w:tr>
        <w:tc>
          <w:tcPr>
            <w:tcW w:type="dxa" w:w="4320"/>
          </w:tcPr>
          <w:p>
            <w:r>
              <w:t>DLP rule (Drive/Gmail)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DLP – CUI – Enforce</w:t>
            </w:r>
            <w:r>
              <w:t xml:space="preserve"> (pilot: </w:t>
            </w:r>
            <w:r>
              <w:rPr>
                <w:rFonts w:ascii="Consolas" w:hAnsi="Consolas"/>
                <w:sz w:val="19"/>
              </w:rPr>
              <w:t>DLP – CUI – Monitor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External-sharing policy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Sharing – CUI Boundary – Restricted</w:t>
            </w:r>
          </w:p>
        </w:tc>
      </w:tr>
      <w:tr>
        <w:tc>
          <w:tcPr>
            <w:tcW w:type="dxa" w:w="4320"/>
          </w:tcPr>
          <w:p>
            <w:r>
              <w:t>Context-aware access level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CAA – CUI Boundary – Enforce</w:t>
            </w:r>
          </w:p>
        </w:tc>
      </w:tr>
      <w:tr>
        <w:tc>
          <w:tcPr>
            <w:tcW w:type="dxa" w:w="4320"/>
          </w:tcPr>
          <w:p>
            <w:r>
              <w:t>Retention rule (Vault)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Retention – CUI – Org</w:t>
            </w:r>
          </w:p>
        </w:tc>
      </w:tr>
      <w:tr>
        <w:tc>
          <w:tcPr>
            <w:tcW w:type="dxa" w:w="4320"/>
          </w:tcPr>
          <w:p>
            <w:r>
              <w:t>Audit-log export sink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AuditExport – CUI – Org</w:t>
            </w:r>
          </w:p>
        </w:tc>
      </w:tr>
      <w:tr>
        <w:tc>
          <w:tcPr>
            <w:tcW w:type="dxa" w:w="4320"/>
          </w:tcPr>
          <w:p>
            <w:r>
              <w:t>Evidence package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Evidence – CUI Boundary – &lt;YYYY-MM-DD&gt;</w:t>
            </w:r>
          </w:p>
        </w:tc>
      </w:tr>
      <w:tr>
        <w:tc>
          <w:tcPr>
            <w:tcW w:type="dxa" w:w="4320"/>
          </w:tcPr>
          <w:p>
            <w:r>
              <w:t>System Security Plan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SSP – CUI Boundary – Org</w:t>
            </w:r>
          </w:p>
        </w:tc>
      </w:tr>
      <w:tr>
        <w:tc>
          <w:tcPr>
            <w:tcW w:type="dxa" w:w="4320"/>
          </w:tcPr>
          <w:p>
            <w:r>
              <w:t>Plan of Action &amp; Milestones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POA&amp;M – CUI Boundary – Org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Stage 1 — Assess (read-only, no changes)</w:t>
      </w:r>
    </w:p>
    <w:p>
      <w:pPr>
        <w:pStyle w:val="ListNumber"/>
      </w:pPr>
      <w:r>
        <w:rPr>
          <w:b/>
        </w:rPr>
        <w:t>Confirm scope inputs.</w:t>
      </w:r>
      <w:r>
        <w:t xml:space="preserve"> Gather the CUI inventory / data-flow map (Requirement 2) and the</w:t>
      </w:r>
    </w:p>
    <w:p>
      <w:r>
        <w:t xml:space="preserve">   compliance owner's expectations (Requirement 3). Record which of the 110 requirements the compliance    team considers </w:t>
      </w:r>
      <w:r>
        <w:rPr>
          <w:b/>
        </w:rPr>
        <w:t>in scope</w:t>
      </w:r>
      <w:r>
        <w:t xml:space="preserve"> — </w:t>
      </w:r>
      <w:r>
        <w:rPr>
          <w:b/>
        </w:rPr>
        <w:t>do not decide this yourself; it is their determination.</w:t>
      </w:r>
    </w:p>
    <w:p>
      <w:pPr>
        <w:pStyle w:val="ListNumber"/>
      </w:pPr>
      <w:r>
        <w:rPr>
          <w:b/>
        </w:rPr>
        <w:t>Baseline the tenant.</w:t>
      </w:r>
      <w:r>
        <w:t xml:space="preserve"> Run the assessment tool read-only to capture the current state of every</w:t>
      </w:r>
    </w:p>
    <w:p>
      <w:r>
        <w:t xml:space="preserve">   mappable control:</w:t>
      </w:r>
    </w:p>
    <w:p>
      <w:r>
        <w:rPr>
          <w:rFonts w:ascii="Consolas" w:hAnsi="Consolas"/>
          <w:sz w:val="18"/>
        </w:rPr>
        <w:t xml:space="preserve">   python assess-nist-controls.py --domain corp.example --out control-map.csv</w:t>
      </w:r>
    </w:p>
    <w:p>
      <w:r>
        <w:t xml:space="preserve">   This produces the first draft of the </w:t>
      </w:r>
      <w:r>
        <w:rPr>
          <w:rFonts w:ascii="Consolas" w:hAnsi="Consolas"/>
          <w:sz w:val="19"/>
        </w:rPr>
        <w:t>NIST 800-171 – Control Map – Org</w:t>
      </w:r>
      <w:r>
        <w:t xml:space="preserve"> matrix: for each control    it records the Workspace setting it maps to, the observed value, and a </w:t>
      </w:r>
      <w:r>
        <w:rPr>
          <w:b/>
        </w:rPr>
        <w:t>status</w:t>
      </w:r>
      <w:r>
        <w:t xml:space="preserve">    (</w:t>
      </w:r>
      <w:r>
        <w:rPr>
          <w:rFonts w:ascii="Consolas" w:hAnsi="Consolas"/>
          <w:sz w:val="19"/>
        </w:rPr>
        <w:t>configured</w:t>
      </w:r>
      <w:r>
        <w:t xml:space="preserve"> / </w:t>
      </w:r>
      <w:r>
        <w:rPr>
          <w:rFonts w:ascii="Consolas" w:hAnsi="Consolas"/>
          <w:sz w:val="19"/>
        </w:rPr>
        <w:t>partial</w:t>
      </w:r>
      <w:r>
        <w:t xml:space="preserve"> / </w:t>
      </w:r>
      <w:r>
        <w:rPr>
          <w:rFonts w:ascii="Consolas" w:hAnsi="Consolas"/>
          <w:sz w:val="19"/>
        </w:rPr>
        <w:t>not-configured</w:t>
      </w:r>
      <w:r>
        <w:t xml:space="preserve"> / </w:t>
      </w:r>
      <w:r>
        <w:rPr>
          <w:rFonts w:ascii="Consolas" w:hAnsi="Consolas"/>
          <w:sz w:val="19"/>
        </w:rPr>
        <w:t>manual</w:t>
      </w:r>
      <w:r>
        <w:t xml:space="preserve"> / </w:t>
      </w:r>
      <w:r>
        <w:rPr>
          <w:rFonts w:ascii="Consolas" w:hAnsi="Consolas"/>
          <w:sz w:val="19"/>
        </w:rPr>
        <w:t>verify-edition</w:t>
      </w:r>
      <w:r>
        <w:t>).</w:t>
      </w:r>
    </w:p>
    <w:p>
      <w:pPr>
        <w:pStyle w:val="ListNumber"/>
      </w:pPr>
      <w:r>
        <w:rPr>
          <w:b/>
        </w:rPr>
        <w:t>Baseline the boundary exposure.</w:t>
      </w:r>
      <w:r>
        <w:t xml:space="preserve"> Run the boundary checker read-only over the draft CUI OU/groups:</w:t>
      </w:r>
    </w:p>
    <w:p>
      <w:r>
        <w:rPr>
          <w:rFonts w:ascii="Consolas" w:hAnsi="Consolas"/>
          <w:sz w:val="18"/>
        </w:rPr>
        <w:t xml:space="preserve">   python cui-boundary-check.py --ou "/CUI – Boundary – Org" --out boundary-exposure.csv</w:t>
      </w:r>
    </w:p>
    <w:p>
      <w:r>
        <w:t xml:space="preserve">   Record external-sharing exposure, non-member access, and mail-flow to external domains as </w:t>
      </w:r>
      <w:r>
        <w:rPr>
          <w:b/>
        </w:rPr>
        <w:t>findings</w:t>
      </w:r>
      <w:r>
        <w:t xml:space="preserve">    (not yet remediated).</w:t>
      </w:r>
    </w:p>
    <w:p>
      <w:pPr>
        <w:pStyle w:val="ListNumber"/>
      </w:pPr>
      <w:r>
        <w:rPr>
          <w:b/>
        </w:rPr>
        <w:t>Gate 1 (Assess complete):</w:t>
      </w:r>
      <w:r>
        <w:t xml:space="preserve"> Control-map draft exists with a status for all in-scope requirements;</w:t>
      </w:r>
    </w:p>
    <w:p>
      <w:r>
        <w:t xml:space="preserve">   boundary-exposure findings captured; compliance owner has confirmed the in-scope requirement set.    </w:t>
      </w:r>
      <w:r>
        <w:rPr>
          <w:b/>
        </w:rPr>
        <w:t>Fail</w:t>
      </w:r>
      <w:r>
        <w:t xml:space="preserve"> → resolve missing inputs before designing.</w:t>
      </w:r>
    </w:p>
    <w:p>
      <w:pPr>
        <w:pStyle w:val="Heading2"/>
      </w:pPr>
      <w:r>
        <w:t>Stage 2 — Design</w:t>
      </w:r>
    </w:p>
    <w:p>
      <w:pPr>
        <w:pStyle w:val="ListNumber"/>
      </w:pPr>
      <w:r>
        <w:rPr>
          <w:b/>
        </w:rPr>
        <w:t>Draw the boundary.</w:t>
      </w:r>
      <w:r>
        <w:t xml:space="preserve"> Design the </w:t>
      </w:r>
      <w:r>
        <w:rPr>
          <w:rFonts w:ascii="Consolas" w:hAnsi="Consolas"/>
          <w:sz w:val="19"/>
        </w:rPr>
        <w:t>CUI – Boundary – Org</w:t>
      </w:r>
      <w:r>
        <w:t xml:space="preserve"> OU (and </w:t>
      </w:r>
      <w:r>
        <w:rPr>
          <w:rFonts w:ascii="Consolas" w:hAnsi="Consolas"/>
          <w:sz w:val="19"/>
        </w:rPr>
        <w:t>CUI – Enclave – Org</w:t>
      </w:r>
    </w:p>
    <w:p>
      <w:r>
        <w:t xml:space="preserve">   sub-OU if a stricter enclave is warranted): which users move in, which Shared Drives are in scope,    which groups gate access.</w:t>
      </w:r>
    </w:p>
    <w:p>
      <w:pPr>
        <w:pStyle w:val="ListNumber"/>
      </w:pPr>
      <w:r>
        <w:rPr>
          <w:b/>
        </w:rPr>
        <w:t>Design the control-to-setting mapping.</w:t>
      </w:r>
      <w:r>
        <w:t xml:space="preserve"> For each in-scope requirement, decide the concrete</w:t>
      </w:r>
    </w:p>
    <w:p>
      <w:r>
        <w:t xml:space="preserve">   Workspace mechanism (see the family map below) and the </w:t>
      </w:r>
      <w:r>
        <w:rPr>
          <w:b/>
        </w:rPr>
        <w:t>artifact name</w:t>
      </w:r>
      <w:r>
        <w:t xml:space="preserve"> that will implement it.    Update the control map's "planned setting" column.</w:t>
      </w:r>
    </w:p>
    <w:p>
      <w:pPr>
        <w:pStyle w:val="ListNumber"/>
      </w:pPr>
      <w:r>
        <w:rPr>
          <w:b/>
        </w:rPr>
        <w:t>Design the evidence model.</w:t>
      </w:r>
      <w:r>
        <w:t xml:space="preserve"> Decide, per control, what constitutes evidence: a config export, an</w:t>
      </w:r>
    </w:p>
    <w:p>
      <w:r>
        <w:t xml:space="preserve">   audit-log extract, or a documented manual procedure (for the non-technical families such as PS/PE/AT).</w:t>
      </w:r>
    </w:p>
    <w:p>
      <w:pPr>
        <w:pStyle w:val="ListNumber"/>
      </w:pPr>
      <w:r>
        <w:rPr>
          <w:b/>
        </w:rPr>
        <w:t>Design rollback</w:t>
      </w:r>
      <w:r>
        <w:t xml:space="preserve"> for each high-impact change (DLP, sharing, CAA, log export): the exact prior</w:t>
      </w:r>
    </w:p>
    <w:p>
      <w:r>
        <w:t xml:space="preserve">   value and how to restore it.</w:t>
      </w:r>
    </w:p>
    <w:p>
      <w:pPr>
        <w:pStyle w:val="ListNumber"/>
      </w:pPr>
      <w:r>
        <w:rPr>
          <w:b/>
        </w:rPr>
        <w:t>Gate 2 (Design complete):</w:t>
      </w:r>
      <w:r>
        <w:t xml:space="preserve"> Every in-scope requirement has a planned mechanism + evidence type +</w:t>
      </w:r>
    </w:p>
    <w:p>
      <w:r>
        <w:t xml:space="preserve">   (for high-impact ones) a rollback. Compliance owner has reviewed the SSP outline.</w:t>
      </w:r>
    </w:p>
    <w:p>
      <w:pPr>
        <w:pStyle w:val="Heading3"/>
      </w:pPr>
      <w:r>
        <w:t>NIST 800-171 family → Google Workspace mechanism (design reference)</w:t>
      </w:r>
    </w:p>
    <w:p>
      <w:r>
        <w:t xml:space="preserve">Map at this level; the exact click-path is validated against </w:t>
      </w:r>
      <w:r>
        <w:rPr>
          <w:b/>
        </w:rPr>
        <w:t>current Google documentation</w:t>
      </w:r>
      <w:r>
        <w:t xml:space="preserve"> and your edition. Items marked </w:t>
      </w:r>
      <w:r>
        <w:rPr>
          <w:b/>
        </w:rPr>
        <w:t>(verify edition)</w:t>
      </w:r>
      <w:r>
        <w:t xml:space="preserve"> depend on your Workspace edition / Assured Controls add-on.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Primary Workspace mechanism(s)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</w:t>
            </w:r>
            <w:r>
              <w:t xml:space="preserve"> Access Control</w:t>
            </w:r>
          </w:p>
        </w:tc>
        <w:tc>
          <w:tcPr>
            <w:tcW w:type="dxa" w:w="4320"/>
          </w:tcPr>
          <w:p>
            <w:r>
              <w:t xml:space="preserve">OU/group membership on </w:t>
            </w:r>
            <w:r>
              <w:rPr>
                <w:rFonts w:ascii="Consolas" w:hAnsi="Consolas"/>
                <w:sz w:val="19"/>
              </w:rPr>
              <w:t>CUI – Boundary – Org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Sharing – CUI Boundary – Restricted</w:t>
            </w:r>
            <w:r>
              <w:t xml:space="preserve"> external-sharing policy; </w:t>
            </w:r>
            <w:r>
              <w:rPr>
                <w:rFonts w:ascii="Consolas" w:hAnsi="Consolas"/>
                <w:sz w:val="19"/>
              </w:rPr>
              <w:t>CAA – CUI Boundary – Enforce</w:t>
            </w:r>
            <w:r>
              <w:t xml:space="preserve"> context-aware access; Shared Drive member/role limits; admin role separation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</w:t>
            </w:r>
            <w:r>
              <w:t xml:space="preserve"> Awareness &amp; Training</w:t>
            </w:r>
          </w:p>
        </w:tc>
        <w:tc>
          <w:tcPr>
            <w:tcW w:type="dxa" w:w="4320"/>
          </w:tcPr>
          <w:p>
            <w:r>
              <w:t>Documented CUI-handling training + attestation records (</w:t>
            </w:r>
            <w:r>
              <w:rPr>
                <w:b/>
              </w:rPr>
              <w:t>manual evidence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</w:t>
            </w:r>
            <w:r>
              <w:t xml:space="preserve"> Audit &amp; Accountability</w:t>
            </w:r>
          </w:p>
        </w:tc>
        <w:tc>
          <w:tcPr>
            <w:tcW w:type="dxa" w:w="4320"/>
          </w:tcPr>
          <w:p>
            <w:r>
              <w:t xml:space="preserve">Admin/login/Drive/Gmail </w:t>
            </w:r>
            <w:r>
              <w:rPr>
                <w:b/>
              </w:rPr>
              <w:t>audit logs</w:t>
            </w:r>
            <w:r>
              <w:t xml:space="preserve">; </w:t>
            </w:r>
            <w:r>
              <w:rPr>
                <w:rFonts w:ascii="Consolas" w:hAnsi="Consolas"/>
                <w:sz w:val="19"/>
              </w:rPr>
              <w:t>AuditExport – CUI – Org</w:t>
            </w:r>
            <w:r>
              <w:t xml:space="preserve"> log export to a retained sink; log review procedure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CM</w:t>
            </w:r>
            <w:r>
              <w:t xml:space="preserve"> Configuration Management</w:t>
            </w:r>
          </w:p>
        </w:tc>
        <w:tc>
          <w:tcPr>
            <w:tcW w:type="dxa" w:w="4320"/>
          </w:tcPr>
          <w:p>
            <w:r>
              <w:t>Baseline of OU policies; change-control records; app allow/deny (Marketplace + API access) for the boundary 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IA</w:t>
            </w:r>
            <w:r>
              <w:t xml:space="preserve"> Identification &amp; Authentication</w:t>
            </w:r>
          </w:p>
        </w:tc>
        <w:tc>
          <w:tcPr>
            <w:tcW w:type="dxa" w:w="4320"/>
          </w:tcPr>
          <w:p>
            <w:r>
              <w:t xml:space="preserve">Enforced </w:t>
            </w:r>
            <w:r>
              <w:rPr>
                <w:b/>
              </w:rPr>
              <w:t>2-step verification / security keys</w:t>
            </w:r>
            <w:r>
              <w:t>; SSO/identity source; session-length policy; no shared accounts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IR</w:t>
            </w:r>
            <w:r>
              <w:t xml:space="preserve"> Incident Response</w:t>
            </w:r>
          </w:p>
        </w:tc>
        <w:tc>
          <w:tcPr>
            <w:tcW w:type="dxa" w:w="4320"/>
          </w:tcPr>
          <w:p>
            <w:r>
              <w:t>Alert Center / audit-driven detection; documented IR procedure and reporting path (</w:t>
            </w:r>
            <w:r>
              <w:rPr>
                <w:b/>
              </w:rPr>
              <w:t>manual + tooling evidence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</w:t>
            </w:r>
            <w:r>
              <w:t xml:space="preserve"> Maintenance</w:t>
            </w:r>
          </w:p>
        </w:tc>
        <w:tc>
          <w:tcPr>
            <w:tcW w:type="dxa" w:w="4320"/>
          </w:tcPr>
          <w:p>
            <w:r>
              <w:t>Admin-action logging for maintenance; least-privilege admin roles (</w:t>
            </w:r>
            <w:r>
              <w:rPr>
                <w:b/>
              </w:rPr>
              <w:t>mostly manual/managed-service evidence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MP</w:t>
            </w:r>
            <w:r>
              <w:t xml:space="preserve"> Media Protection</w:t>
            </w:r>
          </w:p>
        </w:tc>
        <w:tc>
          <w:tcPr>
            <w:tcW w:type="dxa" w:w="4320"/>
          </w:tcPr>
          <w:p>
            <w:r>
              <w:t xml:space="preserve">Data-region / </w:t>
            </w:r>
            <w:r>
              <w:rPr>
                <w:b/>
              </w:rPr>
              <w:t>client-side or default encryption (verify edition)</w:t>
            </w:r>
            <w:r>
              <w:t>; DLP-controlled export; device-policy controls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PS</w:t>
            </w:r>
            <w:r>
              <w:t xml:space="preserve"> Personnel Security</w:t>
            </w:r>
          </w:p>
        </w:tc>
        <w:tc>
          <w:tcPr>
            <w:tcW w:type="dxa" w:w="4320"/>
          </w:tcPr>
          <w:p>
            <w:r>
              <w:t>Onboarding/offboarding tied to identity source; suspension on separation (</w:t>
            </w:r>
            <w:r>
              <w:rPr>
                <w:b/>
              </w:rPr>
              <w:t>manual + directory evidence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</w:t>
            </w:r>
            <w:r>
              <w:t xml:space="preserve"> Physical Protection</w:t>
            </w:r>
          </w:p>
        </w:tc>
        <w:tc>
          <w:tcPr>
            <w:tcW w:type="dxa" w:w="4320"/>
          </w:tcPr>
          <w:p>
            <w:r>
              <w:t>Inherited from Google data-center controls (cite Google compliance docs) + endpoint physical controls (</w:t>
            </w:r>
            <w:r>
              <w:rPr>
                <w:b/>
              </w:rPr>
              <w:t>manual/inherited evidence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</w:t>
            </w:r>
            <w:r>
              <w:t xml:space="preserve"> Risk Assessment</w:t>
            </w:r>
          </w:p>
        </w:tc>
        <w:tc>
          <w:tcPr>
            <w:tcW w:type="dxa" w:w="4320"/>
          </w:tcPr>
          <w:p>
            <w:r>
              <w:t>Vulnerability/risk process; this readiness assessment itself (</w:t>
            </w:r>
            <w:r>
              <w:rPr>
                <w:b/>
              </w:rPr>
              <w:t>manual evidence + control map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</w:t>
            </w:r>
            <w:r>
              <w:t xml:space="preserve"> Security Assessment</w:t>
            </w:r>
          </w:p>
        </w:tc>
        <w:tc>
          <w:tcPr>
            <w:tcW w:type="dxa" w:w="4320"/>
          </w:tcPr>
          <w:p>
            <w:r>
              <w:t>The SSP, POA&amp;M, and continuous control monitoring (this solution's outputs)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</w:t>
            </w:r>
            <w:r>
              <w:t xml:space="preserve"> System &amp; Communications Protection</w:t>
            </w:r>
          </w:p>
        </w:tc>
        <w:tc>
          <w:tcPr>
            <w:tcW w:type="dxa" w:w="4320"/>
          </w:tcPr>
          <w:p>
            <w:r>
              <w:t xml:space="preserve">TLS/mail security (SPF/DKIM/DMARC), </w:t>
            </w:r>
            <w:r>
              <w:rPr>
                <w:b/>
              </w:rPr>
              <w:t>data regions / Assured Controls (verify edition)</w:t>
            </w:r>
            <w:r>
              <w:t>, encryption in transit/at rest, boundary separation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</w:t>
            </w:r>
            <w:r>
              <w:t xml:space="preserve"> System &amp; Information Integrity</w:t>
            </w:r>
          </w:p>
        </w:tc>
        <w:tc>
          <w:tcPr>
            <w:tcW w:type="dxa" w:w="4320"/>
          </w:tcPr>
          <w:p>
            <w:r>
              <w:t>DLP (</w:t>
            </w:r>
            <w:r>
              <w:rPr>
                <w:rFonts w:ascii="Consolas" w:hAnsi="Consolas"/>
                <w:sz w:val="19"/>
              </w:rPr>
              <w:t>DLP – CUI – Enforce</w:t>
            </w:r>
            <w:r>
              <w:t>), Gmail security sandbox/attachment controls, alerting, flaw-remediation process</w:t>
            </w:r>
          </w:p>
        </w:tc>
      </w:tr>
    </w:tbl>
    <w:p>
      <w:pPr>
        <w:pStyle w:val="Heading2"/>
      </w:pPr>
      <w:r>
        <w:t>Stage 3 — Configure (against the boundary OU)</w:t>
      </w:r>
    </w:p>
    <w:p>
      <w:r>
        <w:t xml:space="preserve">Perform each change in the Admin console (paths </w:t>
      </w:r>
      <w:r>
        <w:rPr>
          <w:b/>
        </w:rPr>
        <w:t>verified against current Google documentation</w:t>
      </w:r>
      <w:r>
        <w:t xml:space="preserve">; where a label/path is version-dependent, </w:t>
      </w:r>
      <w:r>
        <w:rPr>
          <w:b/>
        </w:rPr>
        <w:t>verify in your tenant</w:t>
      </w:r>
      <w:r>
        <w:t>), and record the resulting value in the control map. Configure on the OU, not the whole domain.</w:t>
      </w:r>
    </w:p>
    <w:p>
      <w:pPr>
        <w:pStyle w:val="ListNumber"/>
      </w:pPr>
      <w:r>
        <w:rPr>
          <w:b/>
        </w:rPr>
        <w:t>Create/confirm the boundary OU</w:t>
      </w:r>
      <w:r>
        <w:t xml:space="preserve"> </w:t>
      </w:r>
      <w:r>
        <w:rPr>
          <w:rFonts w:ascii="Consolas" w:hAnsi="Consolas"/>
          <w:sz w:val="19"/>
        </w:rPr>
        <w:t>CUI – Boundary – Org</w:t>
      </w:r>
      <w:r>
        <w:t xml:space="preserve"> and move the in-scope users into it;</w:t>
      </w:r>
    </w:p>
    <w:p>
      <w:r>
        <w:t xml:space="preserve">    create the </w:t>
      </w:r>
      <w:r>
        <w:rPr>
          <w:rFonts w:ascii="Consolas" w:hAnsi="Consolas"/>
          <w:sz w:val="19"/>
        </w:rPr>
        <w:t>CUI – Pilot – Org</w:t>
      </w:r>
      <w:r>
        <w:t xml:space="preserve"> group as a subset for piloting.</w:t>
      </w:r>
    </w:p>
    <w:p>
      <w:pPr>
        <w:pStyle w:val="ListNumber"/>
      </w:pPr>
      <w:r>
        <w:rPr>
          <w:b/>
        </w:rPr>
        <w:t>AC — external sharing:</w:t>
      </w:r>
      <w:r>
        <w:t xml:space="preserve"> apply </w:t>
      </w:r>
      <w:r>
        <w:rPr>
          <w:rFonts w:ascii="Consolas" w:hAnsi="Consolas"/>
          <w:sz w:val="19"/>
        </w:rPr>
        <w:t>Sharing – CUI Boundary – Restricted</w:t>
      </w:r>
      <w:r>
        <w:t xml:space="preserve"> (Drive external-sharing</w:t>
      </w:r>
    </w:p>
    <w:p>
      <w:r>
        <w:t xml:space="preserve">    restricted/allow-listed) to the OU. </w:t>
      </w:r>
      <w:r>
        <w:rPr>
          <w:b/>
        </w:rPr>
        <w:t>Rollback:</w:t>
      </w:r>
      <w:r>
        <w:t xml:space="preserve"> restore the OU's prior sharing setting.</w:t>
      </w:r>
    </w:p>
    <w:p>
      <w:pPr>
        <w:pStyle w:val="ListNumber"/>
      </w:pPr>
      <w:r>
        <w:rPr>
          <w:b/>
        </w:rPr>
        <w:t>AC — context-aware access:</w:t>
      </w:r>
      <w:r>
        <w:t xml:space="preserve"> create access level </w:t>
      </w:r>
      <w:r>
        <w:rPr>
          <w:rFonts w:ascii="Consolas" w:hAnsi="Consolas"/>
          <w:sz w:val="19"/>
        </w:rPr>
        <w:t>CAA – CUI Boundary – Enforce</w:t>
      </w:r>
      <w:r>
        <w:t xml:space="preserve"> and assign it</w:t>
      </w:r>
    </w:p>
    <w:p>
      <w:r>
        <w:t xml:space="preserve">    to the CUI apps for the OU. </w:t>
      </w:r>
      <w:r>
        <w:rPr>
          <w:b/>
        </w:rPr>
        <w:t>Rollback:</w:t>
      </w:r>
      <w:r>
        <w:t xml:space="preserve"> unassign the access level.</w:t>
      </w:r>
    </w:p>
    <w:p>
      <w:pPr>
        <w:pStyle w:val="ListNumber"/>
      </w:pPr>
      <w:r>
        <w:rPr>
          <w:b/>
        </w:rPr>
        <w:t>IA — 2SV / keys:</w:t>
      </w:r>
      <w:r>
        <w:t xml:space="preserve"> enforce 2-step verification (security keys where required) for the OU;</w:t>
      </w:r>
    </w:p>
    <w:p>
      <w:r>
        <w:t xml:space="preserve">    configure session length. </w:t>
      </w:r>
      <w:r>
        <w:rPr>
          <w:b/>
        </w:rPr>
        <w:t>Rollback:</w:t>
      </w:r>
      <w:r>
        <w:t xml:space="preserve"> revert enforcement to prior state.</w:t>
      </w:r>
    </w:p>
    <w:p>
      <w:pPr>
        <w:pStyle w:val="ListNumber"/>
      </w:pPr>
      <w:r>
        <w:rPr>
          <w:b/>
        </w:rPr>
        <w:t>SI/MP — DLP:</w:t>
      </w:r>
      <w:r>
        <w:t xml:space="preserve"> create the DLP rule, first as </w:t>
      </w:r>
      <w:r>
        <w:rPr>
          <w:rFonts w:ascii="Consolas" w:hAnsi="Consolas"/>
          <w:sz w:val="19"/>
        </w:rPr>
        <w:t>DLP – CUI – Monitor</w:t>
      </w:r>
      <w:r>
        <w:t xml:space="preserve"> (audit action) for the</w:t>
      </w:r>
    </w:p>
    <w:p>
      <w:r>
        <w:t xml:space="preserve">    pilot, later promoted to </w:t>
      </w:r>
      <w:r>
        <w:rPr>
          <w:rFonts w:ascii="Consolas" w:hAnsi="Consolas"/>
          <w:sz w:val="19"/>
        </w:rPr>
        <w:t>DLP – CUI – Enforce</w:t>
      </w:r>
      <w:r>
        <w:t xml:space="preserve"> (block/warn). </w:t>
      </w:r>
      <w:r>
        <w:rPr>
          <w:b/>
        </w:rPr>
        <w:t>Rollback:</w:t>
      </w:r>
      <w:r>
        <w:t xml:space="preserve"> set the rule to     monitor/off.</w:t>
      </w:r>
    </w:p>
    <w:p>
      <w:pPr>
        <w:pStyle w:val="ListNumber"/>
      </w:pPr>
      <w:r>
        <w:rPr>
          <w:b/>
        </w:rPr>
        <w:t>AU — audit-log export &amp; retention:</w:t>
      </w:r>
      <w:r>
        <w:t xml:space="preserve"> configure </w:t>
      </w:r>
      <w:r>
        <w:rPr>
          <w:rFonts w:ascii="Consolas" w:hAnsi="Consolas"/>
          <w:sz w:val="19"/>
        </w:rPr>
        <w:t>AuditExport – CUI – Org</w:t>
      </w:r>
      <w:r>
        <w:t xml:space="preserve"> (log export/BigQuery</w:t>
      </w:r>
    </w:p>
    <w:p>
      <w:r>
        <w:t xml:space="preserve">    or your retained sink) and the </w:t>
      </w:r>
      <w:r>
        <w:rPr>
          <w:rFonts w:ascii="Consolas" w:hAnsi="Consolas"/>
          <w:sz w:val="19"/>
        </w:rPr>
        <w:t>Retention – CUI – Org</w:t>
      </w:r>
      <w:r>
        <w:t xml:space="preserve"> Vault rule. </w:t>
      </w:r>
      <w:r>
        <w:rPr>
          <w:b/>
        </w:rPr>
        <w:t>Rollback:</w:t>
      </w:r>
      <w:r>
        <w:t xml:space="preserve"> disable the     export sink / retention rule.</w:t>
      </w:r>
    </w:p>
    <w:p>
      <w:pPr>
        <w:pStyle w:val="ListNumber"/>
      </w:pPr>
      <w:r>
        <w:rPr>
          <w:b/>
        </w:rPr>
        <w:t>SC/MP — data region &amp; encryption:</w:t>
      </w:r>
      <w:r>
        <w:t xml:space="preserve"> confirm the CUI OU's </w:t>
      </w:r>
      <w:r>
        <w:rPr>
          <w:b/>
        </w:rPr>
        <w:t>data-region</w:t>
      </w:r>
      <w:r>
        <w:t xml:space="preserve"> policy and, where the</w:t>
      </w:r>
    </w:p>
    <w:p>
      <w:r>
        <w:t xml:space="preserve">    workload requires and the edition supports it, </w:t>
      </w:r>
      <w:r>
        <w:rPr>
          <w:b/>
        </w:rPr>
        <w:t>client-side/default encryption</w:t>
      </w:r>
      <w:r>
        <w:t xml:space="preserve"> — </w:t>
      </w:r>
      <w:r>
        <w:rPr>
          <w:b/>
        </w:rPr>
        <w:t>verify     Assured Controls / encryption availability in your tenant</w:t>
      </w:r>
      <w:r>
        <w:t xml:space="preserve">; if unavailable, record a </w:t>
      </w:r>
      <w:r>
        <w:rPr>
          <w:b/>
        </w:rPr>
        <w:t>POA&amp;M</w:t>
      </w:r>
      <w:r>
        <w:t xml:space="preserve"> item     rather than asserting the control.</w:t>
      </w:r>
    </w:p>
    <w:p>
      <w:pPr>
        <w:pStyle w:val="ListNumber"/>
      </w:pPr>
      <w:r>
        <w:rPr>
          <w:b/>
        </w:rPr>
        <w:t>CM — app control:</w:t>
      </w:r>
      <w:r>
        <w:t xml:space="preserve"> restrict Marketplace/third-party app and API access for the boundary OU to an</w:t>
      </w:r>
    </w:p>
    <w:p>
      <w:r>
        <w:t xml:space="preserve">    allow-list. </w:t>
      </w:r>
      <w:r>
        <w:rPr>
          <w:b/>
        </w:rPr>
        <w:t>Rollback:</w:t>
      </w:r>
      <w:r>
        <w:t xml:space="preserve"> restore prior app-access setting.</w:t>
      </w:r>
    </w:p>
    <w:p>
      <w:pPr>
        <w:pStyle w:val="ListNumber"/>
      </w:pPr>
      <w:r>
        <w:t xml:space="preserve">Record every configured value and its </w:t>
      </w:r>
      <w:r>
        <w:rPr>
          <w:b/>
        </w:rPr>
        <w:t>evidence pointer</w:t>
      </w:r>
      <w:r>
        <w:t xml:space="preserve"> in </w:t>
      </w:r>
      <w:r>
        <w:rPr>
          <w:rFonts w:ascii="Consolas" w:hAnsi="Consolas"/>
          <w:sz w:val="19"/>
        </w:rPr>
        <w:t>NIST 800-171 – Control Map – Org</w:t>
      </w:r>
      <w:r>
        <w:t>.</w:t>
      </w:r>
    </w:p>
    <w:p>
      <w:pPr>
        <w:pStyle w:val="Heading2"/>
      </w:pPr>
      <w:r>
        <w:t>Stage 4 — Pilot (`CUI – Pilot – Org`)</w:t>
      </w:r>
    </w:p>
    <w:p>
      <w:pPr>
        <w:pStyle w:val="ListNumber"/>
      </w:pPr>
      <w:r>
        <w:t>Apply the enforcing variants (DLP monitor→warn, CAA, sharing restriction, 2SV) to the **pilot group</w:t>
      </w:r>
    </w:p>
    <w:p>
      <w:r>
        <w:t xml:space="preserve">    only**.</w:t>
      </w:r>
    </w:p>
    <w:p>
      <w:pPr>
        <w:pStyle w:val="ListNumber"/>
      </w:pPr>
      <w:r>
        <w:t>Run the validation suite (see 05-testing) against the pilot; confirm legitimate work is not blocked</w:t>
      </w:r>
    </w:p>
    <w:p>
      <w:r>
        <w:t xml:space="preserve">    and controls behave as designed.</w:t>
      </w:r>
    </w:p>
    <w:p>
      <w:pPr>
        <w:pStyle w:val="ListNumber"/>
      </w:pPr>
      <w:r>
        <w:rPr>
          <w:b/>
        </w:rPr>
        <w:t>Gate 3 (Pilot pass):</w:t>
      </w:r>
      <w:r>
        <w:t xml:space="preserve"> All pilot validations pass and no legitimate-workflow breakage. </w:t>
      </w:r>
      <w:r>
        <w:rPr>
          <w:b/>
        </w:rPr>
        <w:t>Fail</w:t>
      </w:r>
      <w:r>
        <w:t xml:space="preserve"> →</w:t>
      </w:r>
    </w:p>
    <w:p>
      <w:r>
        <w:t xml:space="preserve">    tune the rule (e.g. DLP detector, sharing exception) and re-pilot; </w:t>
      </w:r>
      <w:r>
        <w:rPr>
          <w:b/>
        </w:rPr>
        <w:t>do not expand on a failed     pilot.</w:t>
      </w:r>
      <w:r>
        <w:t xml:space="preserve"> Rollback the pilot changes if unrecoverable.</w:t>
      </w:r>
    </w:p>
    <w:p>
      <w:pPr>
        <w:pStyle w:val="Heading2"/>
      </w:pPr>
      <w:r>
        <w:t>Stage 5 — Validate &amp; evidence</w:t>
      </w:r>
    </w:p>
    <w:p>
      <w:pPr>
        <w:pStyle w:val="ListNumber"/>
      </w:pPr>
      <w:r>
        <w:rPr>
          <w:b/>
        </w:rPr>
        <w:t>Collect evidence</w:t>
      </w:r>
      <w:r>
        <w:t xml:space="preserve"> across the boundary OU:</w:t>
      </w:r>
    </w:p>
    <w:p>
      <w:r>
        <w:rPr>
          <w:rFonts w:ascii="Consolas" w:hAnsi="Consolas"/>
          <w:sz w:val="18"/>
        </w:rPr>
        <w:t xml:space="preserve">    python collect-evidence.py --ou "/CUI – Boundary – Org" --package "Evidence – CUI Boundary – 2026-07-06"</w:t>
      </w:r>
    </w:p>
    <w:p>
      <w:r>
        <w:t xml:space="preserve">    This exports the </w:t>
      </w:r>
      <w:r>
        <w:rPr>
          <w:b/>
        </w:rPr>
        <w:t>configuration state</w:t>
      </w:r>
      <w:r>
        <w:t xml:space="preserve"> (policies/settings, read-only) and the </w:t>
      </w:r>
      <w:r>
        <w:rPr>
          <w:b/>
        </w:rPr>
        <w:t>operational     evidence</w:t>
      </w:r>
      <w:r>
        <w:t xml:space="preserve"> (audit-log extracts, read-only) into the named package, indexed to the control map.</w:t>
      </w:r>
    </w:p>
    <w:p>
      <w:pPr>
        <w:pStyle w:val="ListNumber"/>
      </w:pPr>
      <w:r>
        <w:rPr>
          <w:b/>
        </w:rPr>
        <w:t>Generate the SSP + POA&amp;M drafts</w:t>
      </w:r>
      <w:r>
        <w:t xml:space="preserve"> from the completed control map:</w:t>
      </w:r>
    </w:p>
    <w:p>
      <w:r>
        <w:rPr>
          <w:rFonts w:ascii="Consolas" w:hAnsi="Consolas"/>
          <w:sz w:val="18"/>
        </w:rPr>
        <w:t xml:space="preserve">    python generate-ssp-poam.py --control-map control-map.csv --out-ssp "SSP – CUI Boundary – Org.md" --out-poam "POA&amp;M – CUI Boundary – Org.csv"</w:t>
      </w:r>
    </w:p>
    <w:p>
      <w:r>
        <w:t xml:space="preserve">    The SSP gets one implementation statement per requirement; the POA&amp;M gets one row per     </w:t>
      </w:r>
      <w:r>
        <w:rPr>
          <w:rFonts w:ascii="Consolas" w:hAnsi="Consolas"/>
          <w:sz w:val="19"/>
        </w:rPr>
        <w:t>partial</w:t>
      </w:r>
      <w:r>
        <w:t>/</w:t>
      </w:r>
      <w:r>
        <w:rPr>
          <w:rFonts w:ascii="Consolas" w:hAnsi="Consolas"/>
          <w:sz w:val="19"/>
        </w:rPr>
        <w:t>not-configured</w:t>
      </w:r>
      <w:r>
        <w:t>/</w:t>
      </w:r>
      <w:r>
        <w:rPr>
          <w:rFonts w:ascii="Consolas" w:hAnsi="Consolas"/>
          <w:sz w:val="19"/>
        </w:rPr>
        <w:t>verify-edition</w:t>
      </w:r>
      <w:r>
        <w:t xml:space="preserve"> requirement with owner + milestone placeholders. </w:t>
      </w:r>
      <w:r>
        <w:rPr>
          <w:b/>
        </w:rPr>
        <w:t>A     human compliance owner reviews, corrects, and owns these — the tool drafts, it does not attest.</w:t>
      </w:r>
    </w:p>
    <w:p>
      <w:pPr>
        <w:pStyle w:val="ListNumber"/>
      </w:pPr>
      <w:r>
        <w:rPr>
          <w:b/>
        </w:rPr>
        <w:t>Gate 4 (Assessment-ready):</w:t>
      </w:r>
      <w:r>
        <w:t xml:space="preserve"> every in-scope requirement is </w:t>
      </w:r>
      <w:r>
        <w:rPr>
          <w:rFonts w:ascii="Consolas" w:hAnsi="Consolas"/>
          <w:sz w:val="19"/>
        </w:rPr>
        <w:t>configured</w:t>
      </w:r>
      <w:r>
        <w:t xml:space="preserve"> </w:t>
      </w:r>
      <w:r>
        <w:rPr>
          <w:b/>
        </w:rPr>
        <w:t>and</w:t>
      </w:r>
      <w:r>
        <w:t xml:space="preserve"> evidenced, </w:t>
      </w:r>
      <w:r>
        <w:rPr>
          <w:b/>
        </w:rPr>
        <w:t>or</w:t>
      </w:r>
    </w:p>
    <w:p>
      <w:r>
        <w:t xml:space="preserve">    tracked on the POA&amp;M with an owner and milestone; the boundary-exposure check is clean; SSP and POA&amp;M     are complete and reviewed by the compliance owner. </w:t>
      </w:r>
      <w:r>
        <w:rPr>
          <w:b/>
        </w:rPr>
        <w:t>This gate is readiness — not a certification.</w:t>
      </w:r>
    </w:p>
    <w:p>
      <w:pPr>
        <w:pStyle w:val="Heading2"/>
      </w:pPr>
      <w:r>
        <w:t>Stage 6 — Expand &amp; sustain</w:t>
      </w:r>
    </w:p>
    <w:p>
      <w:pPr>
        <w:pStyle w:val="ListNumber"/>
      </w:pPr>
      <w:r>
        <w:t xml:space="preserve">Roll the enforcing controls from the pilot to the full </w:t>
      </w:r>
      <w:r>
        <w:rPr>
          <w:rFonts w:ascii="Consolas" w:hAnsi="Consolas"/>
          <w:sz w:val="19"/>
        </w:rPr>
        <w:t>CUI – Boundary – Org</w:t>
      </w:r>
      <w:r>
        <w:t xml:space="preserve"> OU under the</w:t>
      </w:r>
    </w:p>
    <w:p>
      <w:r>
        <w:t xml:space="preserve">    change window, with rollback ready.</w:t>
      </w:r>
    </w:p>
    <w:p>
      <w:pPr>
        <w:pStyle w:val="ListNumber"/>
      </w:pPr>
      <w:r>
        <w:t xml:space="preserve">Schedule </w:t>
      </w:r>
      <w:r>
        <w:rPr>
          <w:b/>
        </w:rPr>
        <w:t>continuous monitoring</w:t>
      </w:r>
      <w:r>
        <w:t xml:space="preserve">: re-run </w:t>
      </w:r>
      <w:r>
        <w:rPr>
          <w:rFonts w:ascii="Consolas" w:hAnsi="Consolas"/>
          <w:sz w:val="19"/>
        </w:rPr>
        <w:t>assess-nist-controls.py</w:t>
      </w:r>
      <w:r>
        <w:t xml:space="preserve"> and </w:t>
      </w:r>
      <w:r>
        <w:rPr>
          <w:rFonts w:ascii="Consolas" w:hAnsi="Consolas"/>
          <w:sz w:val="19"/>
        </w:rPr>
        <w:t>cui-boundary-check.py</w:t>
      </w:r>
      <w:r>
        <w:t xml:space="preserve"> on a</w:t>
      </w:r>
    </w:p>
    <w:p>
      <w:r>
        <w:t xml:space="preserve">    cadence, refresh the evidence package before the assessment window, and keep the POA&amp;M current.</w:t>
      </w:r>
    </w:p>
    <w:p>
      <w:pPr>
        <w:pStyle w:val="ListNumber"/>
      </w:pPr>
      <w:r>
        <w:rPr>
          <w:b/>
        </w:rPr>
        <w:t>Hand off to the C3PAO/compliance team.</w:t>
      </w:r>
      <w:r>
        <w:t xml:space="preserve"> The assessment, the scoring submission to SPRS, and the</w:t>
      </w:r>
    </w:p>
    <w:p>
      <w:r>
        <w:t xml:space="preserve">    certification decision are </w:t>
      </w:r>
      <w:r>
        <w:rPr>
          <w:b/>
        </w:rPr>
        <w:t>theirs</w:t>
      </w:r>
      <w:r>
        <w:t xml:space="preserve"> — this solution's responsibility ends at a reviewed,     evidenced, assessment-ready posture.</w:t>
      </w:r>
    </w:p>
    <w:p>
      <w:pPr>
        <w:ind w:left="432"/>
      </w:pPr>
      <w:r>
        <w:rPr>
          <w:i/>
          <w:color w:val="2E86C1"/>
        </w:rPr>
        <w:t>Rollback summary. Each high-impact control (sharing, CAA, 2SV, DLP, log export, encryption) has a single documented prior value restorable from the control map. Because everything is applied to the OU/pilot group first, a rollback is scoped to the boundary and never touches the wider tenant.</w:t>
      </w:r>
    </w:p>
    <w:p>
      <w:pPr>
        <w:pStyle w:val="Heading1"/>
      </w:pPr>
      <w:r>
        <w:t>Testing &amp; Validation</w:t>
      </w:r>
    </w:p>
    <w:p>
      <w:r>
        <w:t xml:space="preserve">Run these after the Configure and Pilot stages, and again to refresh evidence before the assessment window. Each test states the </w:t>
      </w:r>
      <w:r>
        <w:rPr>
          <w:b/>
        </w:rPr>
        <w:t>procedure</w:t>
      </w:r>
      <w:r>
        <w:t xml:space="preserve"> and the </w:t>
      </w:r>
      <w:r>
        <w:rPr>
          <w:b/>
        </w:rPr>
        <w:t>expected pass/fail</w:t>
      </w:r>
      <w:r>
        <w:t xml:space="preserve">. A test </w:t>
      </w:r>
      <w:r>
        <w:rPr>
          <w:b/>
        </w:rPr>
        <w:t>passing</w:t>
      </w:r>
      <w:r>
        <w:t xml:space="preserve"> means the control is *configured and evidenced as designed* — it does </w:t>
      </w:r>
      <w:r>
        <w:rPr>
          <w:b/>
        </w:rPr>
        <w:t>not</w:t>
      </w:r>
      <w:r>
        <w:t xml:space="preserve"> assert the control "satisfies" a NIST 800-171 requirement as an assessment matter; that determination is your assessor's.</w:t>
      </w:r>
    </w:p>
    <w:p>
      <w:r>
        <w:t xml:space="preserve">Run validations against the </w:t>
      </w:r>
      <w:r>
        <w:rPr>
          <w:rFonts w:ascii="Consolas" w:hAnsi="Consolas"/>
          <w:sz w:val="19"/>
        </w:rPr>
        <w:t>CUI – Pilot – Org</w:t>
      </w:r>
      <w:r>
        <w:t xml:space="preserve"> group first (Gate 3), then across the full </w:t>
      </w:r>
      <w:r>
        <w:rPr>
          <w:rFonts w:ascii="Consolas" w:hAnsi="Consolas"/>
          <w:sz w:val="19"/>
        </w:rPr>
        <w:t>CUI – Boundary – Org</w:t>
      </w:r>
      <w:r>
        <w:t xml:space="preserve"> OU (Gate 4).</w:t>
      </w:r>
    </w:p>
    <w:p>
      <w:r>
        <w:t>__________________________________________________</w:t>
      </w:r>
    </w:p>
    <w:p>
      <w:pPr>
        <w:pStyle w:val="Heading2"/>
      </w:pPr>
      <w:r>
        <w:t>T1 — Boundary membership is correct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cui-boundary-check.py --ou "/CUI – Boundary – Org" --out boundary-exposure.csv</w:t>
      </w:r>
    </w:p>
    <w:p>
      <w:r>
        <w:t xml:space="preserve">  then review membership against the CUI inventory.</w:t>
      </w:r>
    </w:p>
    <w:p>
      <w:pPr>
        <w:pStyle w:val="ListBullet"/>
      </w:pPr>
      <w:r>
        <w:rPr>
          <w:b/>
        </w:rPr>
        <w:t>Pass:</w:t>
      </w:r>
      <w:r>
        <w:t xml:space="preserve"> Every user/group/Shared Drive in the CUI inventory is inside the boundary OU, and no</w:t>
      </w:r>
    </w:p>
    <w:p>
      <w:r>
        <w:t xml:space="preserve">  unexpected members are present.</w:t>
      </w:r>
    </w:p>
    <w:p>
      <w:pPr>
        <w:pStyle w:val="ListBullet"/>
      </w:pPr>
      <w:r>
        <w:rPr>
          <w:b/>
        </w:rPr>
        <w:t>Fail:</w:t>
      </w:r>
      <w:r>
        <w:t xml:space="preserve"> Missing in-scope members, or out-of-scope members present → correct OU membership and</w:t>
      </w:r>
    </w:p>
    <w:p>
      <w:r>
        <w:t xml:space="preserve">  re-run before evidencing.</w:t>
      </w:r>
    </w:p>
    <w:p>
      <w:pPr>
        <w:pStyle w:val="Heading2"/>
      </w:pPr>
      <w:r>
        <w:t>T2 — External sharing is restricted (AC)</w:t>
      </w:r>
    </w:p>
    <w:p>
      <w:pPr>
        <w:pStyle w:val="ListBullet"/>
      </w:pPr>
      <w:r>
        <w:rPr>
          <w:b/>
        </w:rPr>
        <w:t>Procedure:</w:t>
      </w:r>
      <w:r>
        <w:t xml:space="preserve"> As a boundary-OU user, attempt to share a CUI Drive file externally; also run the</w:t>
      </w:r>
    </w:p>
    <w:p>
      <w:r>
        <w:t xml:space="preserve">  boundary checker's sharing scan.</w:t>
      </w:r>
    </w:p>
    <w:p>
      <w:pPr>
        <w:pStyle w:val="ListBullet"/>
      </w:pPr>
      <w:r>
        <w:rPr>
          <w:b/>
        </w:rPr>
        <w:t>Pass:</w:t>
      </w:r>
      <w:r>
        <w:t xml:space="preserve"> External sharing is blocked or limited to the allow-list per **`Sharing – CUI Boundary –</w:t>
      </w:r>
    </w:p>
    <w:p>
      <w:r>
        <w:t xml:space="preserve">  Restricted`**; the checker reports no unexpected external exposure.</w:t>
      </w:r>
    </w:p>
    <w:p>
      <w:pPr>
        <w:pStyle w:val="ListBullet"/>
      </w:pPr>
      <w:r>
        <w:rPr>
          <w:b/>
        </w:rPr>
        <w:t>Fail:</w:t>
      </w:r>
      <w:r>
        <w:t xml:space="preserve"> External share succeeds outside policy → re-apply the sharing policy; re-pilot.</w:t>
      </w:r>
    </w:p>
    <w:p>
      <w:pPr>
        <w:pStyle w:val="Heading2"/>
      </w:pPr>
      <w:r>
        <w:t>T3 — Context-aware access enforces (AC)</w:t>
      </w:r>
    </w:p>
    <w:p>
      <w:pPr>
        <w:pStyle w:val="ListBullet"/>
      </w:pPr>
      <w:r>
        <w:rPr>
          <w:b/>
        </w:rPr>
        <w:t>Procedure:</w:t>
      </w:r>
      <w:r>
        <w:t xml:space="preserve"> Access a CUI app from a context that violates </w:t>
      </w:r>
      <w:r>
        <w:rPr>
          <w:rFonts w:ascii="Consolas" w:hAnsi="Consolas"/>
          <w:sz w:val="19"/>
        </w:rPr>
        <w:t>CAA – CUI Boundary – Enforce</w:t>
      </w:r>
      <w:r>
        <w:t xml:space="preserve"> (e.g.</w:t>
      </w:r>
    </w:p>
    <w:p>
      <w:r>
        <w:t xml:space="preserve">  disallowed location/device state per your access level).</w:t>
      </w:r>
    </w:p>
    <w:p>
      <w:pPr>
        <w:pStyle w:val="ListBullet"/>
      </w:pPr>
      <w:r>
        <w:rPr>
          <w:b/>
        </w:rPr>
        <w:t>Pass:</w:t>
      </w:r>
      <w:r>
        <w:t xml:space="preserve"> Access is denied from the non-conforming context and allowed from a conforming one.</w:t>
      </w:r>
    </w:p>
    <w:p>
      <w:pPr>
        <w:pStyle w:val="ListBullet"/>
      </w:pPr>
      <w:r>
        <w:rPr>
          <w:b/>
        </w:rPr>
        <w:t>Fail:</w:t>
      </w:r>
      <w:r>
        <w:t xml:space="preserve"> Access allowed from a non-conforming context → verify access-level assignment to the OU's</w:t>
      </w:r>
    </w:p>
    <w:p>
      <w:r>
        <w:t xml:space="preserve">  apps.</w:t>
      </w:r>
    </w:p>
    <w:p>
      <w:pPr>
        <w:pStyle w:val="Heading2"/>
      </w:pPr>
      <w:r>
        <w:t>T4 — 2-Step Verification / keys enforced (IA)</w:t>
      </w:r>
    </w:p>
    <w:p>
      <w:pPr>
        <w:pStyle w:val="ListBullet"/>
      </w:pPr>
      <w:r>
        <w:rPr>
          <w:b/>
        </w:rPr>
        <w:t>Procedure:</w:t>
      </w:r>
      <w:r>
        <w:t xml:space="preserve"> Confirm a boundary-OU account cannot complete sign-in without the enforced second</w:t>
      </w:r>
    </w:p>
    <w:p>
      <w:r>
        <w:t xml:space="preserve">  factor; review the 2SV enrollment report.</w:t>
      </w:r>
    </w:p>
    <w:p>
      <w:pPr>
        <w:pStyle w:val="ListBullet"/>
      </w:pPr>
      <w:r>
        <w:rPr>
          <w:b/>
        </w:rPr>
        <w:t>Pass:</w:t>
      </w:r>
      <w:r>
        <w:t xml:space="preserve"> 2SV (security keys where required) is enforced for 100% of boundary-OU accounts; no</w:t>
      </w:r>
    </w:p>
    <w:p>
      <w:r>
        <w:t xml:space="preserve">  exempted accounts remain.</w:t>
      </w:r>
    </w:p>
    <w:p>
      <w:pPr>
        <w:pStyle w:val="ListBullet"/>
      </w:pPr>
      <w:r>
        <w:rPr>
          <w:b/>
        </w:rPr>
        <w:t>Fail:</w:t>
      </w:r>
      <w:r>
        <w:t xml:space="preserve"> Any boundary account without enforced 2SV → remediate before evidencing.</w:t>
      </w:r>
    </w:p>
    <w:p>
      <w:pPr>
        <w:pStyle w:val="Heading2"/>
      </w:pPr>
      <w:r>
        <w:t>T5 — DLP detects and acts on CUI (SI/MP)</w:t>
      </w:r>
    </w:p>
    <w:p>
      <w:pPr>
        <w:pStyle w:val="ListBullet"/>
      </w:pPr>
      <w:r>
        <w:rPr>
          <w:b/>
        </w:rPr>
        <w:t>Procedure:</w:t>
      </w:r>
      <w:r>
        <w:t xml:space="preserve"> Send/share test content matching the CUI detector; in pilot the rule is</w:t>
      </w:r>
    </w:p>
    <w:p>
      <w:r>
        <w:t xml:space="preserve">  </w:t>
      </w:r>
      <w:r>
        <w:rPr>
          <w:rFonts w:ascii="Consolas" w:hAnsi="Consolas"/>
          <w:sz w:val="19"/>
        </w:rPr>
        <w:t>DLP – CUI – Monitor</w:t>
      </w:r>
      <w:r>
        <w:t xml:space="preserve">, in enforcement </w:t>
      </w:r>
      <w:r>
        <w:rPr>
          <w:rFonts w:ascii="Consolas" w:hAnsi="Consolas"/>
          <w:sz w:val="19"/>
        </w:rPr>
        <w:t>DLP – CUI – Enforce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Monitor logs the event; Enforce blocks/warns as designed; no false-block of legitimate</w:t>
      </w:r>
    </w:p>
    <w:p>
      <w:r>
        <w:t xml:space="preserve">  non-CUI content in the pilot sample.</w:t>
      </w:r>
    </w:p>
    <w:p>
      <w:pPr>
        <w:pStyle w:val="ListBullet"/>
      </w:pPr>
      <w:r>
        <w:rPr>
          <w:b/>
        </w:rPr>
        <w:t>Fail:</w:t>
      </w:r>
      <w:r>
        <w:t xml:space="preserve"> CUI content passes undetected, or heavy false positives → tune the detector; re-pilot. **Do</w:t>
      </w:r>
    </w:p>
    <w:p>
      <w:r>
        <w:t xml:space="preserve">  not promote monitor→enforce fleet-wide on a failed pilot.**</w:t>
      </w:r>
    </w:p>
    <w:p>
      <w:pPr>
        <w:pStyle w:val="Heading2"/>
      </w:pPr>
      <w:r>
        <w:t>T6 — Audit logging and export work (AU)</w:t>
      </w:r>
    </w:p>
    <w:p>
      <w:pPr>
        <w:pStyle w:val="ListBullet"/>
      </w:pPr>
      <w:r>
        <w:rPr>
          <w:b/>
        </w:rPr>
        <w:t>Procedure:</w:t>
      </w:r>
      <w:r>
        <w:t xml:space="preserve"> Perform a set of known admin and user actions in the boundary; confirm they appear in</w:t>
      </w:r>
    </w:p>
    <w:p>
      <w:r>
        <w:t xml:space="preserve">  the audit logs and in the </w:t>
      </w:r>
      <w:r>
        <w:rPr>
          <w:rFonts w:ascii="Consolas" w:hAnsi="Consolas"/>
          <w:sz w:val="19"/>
        </w:rPr>
        <w:t>AuditExport – CUI – Org</w:t>
      </w:r>
      <w:r>
        <w:t xml:space="preserve"> sink.</w:t>
      </w:r>
    </w:p>
    <w:p>
      <w:pPr>
        <w:pStyle w:val="ListBullet"/>
      </w:pPr>
      <w:r>
        <w:rPr>
          <w:b/>
        </w:rPr>
        <w:t>Pass:</w:t>
      </w:r>
      <w:r>
        <w:t xml:space="preserve"> All test actions are recorded and present in the exported/retained sink within the expected</w:t>
      </w:r>
    </w:p>
    <w:p>
      <w:r>
        <w:t xml:space="preserve">  latency; retention rule </w:t>
      </w:r>
      <w:r>
        <w:rPr>
          <w:rFonts w:ascii="Consolas" w:hAnsi="Consolas"/>
          <w:sz w:val="19"/>
        </w:rPr>
        <w:t>Retention – CUI – Org</w:t>
      </w:r>
      <w:r>
        <w:t xml:space="preserve"> is active.</w:t>
      </w:r>
    </w:p>
    <w:p>
      <w:pPr>
        <w:pStyle w:val="ListBullet"/>
      </w:pPr>
      <w:r>
        <w:rPr>
          <w:b/>
        </w:rPr>
        <w:t>Fail:</w:t>
      </w:r>
      <w:r>
        <w:t xml:space="preserve"> Missing events or export not populating → verify export configuration and retention rule.</w:t>
      </w:r>
    </w:p>
    <w:p>
      <w:pPr>
        <w:pStyle w:val="Heading2"/>
      </w:pPr>
      <w:r>
        <w:t>T7 — Data region / encryption posture (SC/MP)</w:t>
      </w:r>
    </w:p>
    <w:p>
      <w:pPr>
        <w:pStyle w:val="ListBullet"/>
      </w:pPr>
      <w:r>
        <w:rPr>
          <w:b/>
        </w:rPr>
        <w:t>Procedure:</w:t>
      </w:r>
      <w:r>
        <w:t xml:space="preserve"> Confirm the boundary OU's data-region policy and (where licensed) encryption state via</w:t>
      </w:r>
    </w:p>
    <w:p>
      <w:r>
        <w:t xml:space="preserve">  the Admin console and </w:t>
      </w:r>
      <w:r>
        <w:rPr>
          <w:rFonts w:ascii="Consolas" w:hAnsi="Consolas"/>
          <w:sz w:val="19"/>
        </w:rPr>
        <w:t>assess-nist-controls.py</w:t>
      </w:r>
      <w:r>
        <w:t>.</w:t>
      </w:r>
    </w:p>
    <w:p>
      <w:pPr>
        <w:pStyle w:val="ListBullet"/>
      </w:pPr>
      <w:r>
        <w:rPr>
          <w:b/>
        </w:rPr>
        <w:t>Pass:</w:t>
      </w:r>
      <w:r>
        <w:t xml:space="preserve"> Data region and encryption match the documented regulated-workload design. **Verify Assured</w:t>
      </w:r>
    </w:p>
    <w:p>
      <w:r>
        <w:t xml:space="preserve">  Controls / encryption availability in your tenant</w:t>
      </w:r>
      <w:r>
        <w:rPr>
          <w:b/>
        </w:rPr>
        <w:t xml:space="preserve"> — if a capability is unavailable by edition, this   test </w:t>
      </w:r>
      <w:r>
        <w:t>defers to a POA&amp;M item** rather than failing the readiness gate.</w:t>
      </w:r>
    </w:p>
    <w:p>
      <w:pPr>
        <w:pStyle w:val="ListBullet"/>
      </w:pPr>
      <w:r>
        <w:rPr>
          <w:b/>
        </w:rPr>
        <w:t>Fail (actionable):</w:t>
      </w:r>
      <w:r>
        <w:t xml:space="preserve"> Configuration drifts from the documented design → re-apply; **capability</w:t>
      </w:r>
    </w:p>
    <w:p>
      <w:r>
        <w:t xml:space="preserve">  unavailable by edition** → record on POA&amp;M, not a hard fail.</w:t>
      </w:r>
    </w:p>
    <w:p>
      <w:pPr>
        <w:pStyle w:val="Heading2"/>
      </w:pPr>
      <w:r>
        <w:t>T8 — App / API access controlled (CM)</w:t>
      </w:r>
    </w:p>
    <w:p>
      <w:pPr>
        <w:pStyle w:val="ListBullet"/>
      </w:pPr>
      <w:r>
        <w:rPr>
          <w:b/>
        </w:rPr>
        <w:t>Procedure:</w:t>
      </w:r>
      <w:r>
        <w:t xml:space="preserve"> From a boundary-OU account, attempt to authorize a non-allow-listed Marketplace/OAuth</w:t>
      </w:r>
    </w:p>
    <w:p>
      <w:r>
        <w:t xml:space="preserve">  app.</w:t>
      </w:r>
    </w:p>
    <w:p>
      <w:pPr>
        <w:pStyle w:val="ListBullet"/>
      </w:pPr>
      <w:r>
        <w:rPr>
          <w:b/>
        </w:rPr>
        <w:t>Pass:</w:t>
      </w:r>
      <w:r>
        <w:t xml:space="preserve"> Authorization is blocked per the allow-list.</w:t>
      </w:r>
    </w:p>
    <w:p>
      <w:pPr>
        <w:pStyle w:val="ListBullet"/>
      </w:pPr>
      <w:r>
        <w:rPr>
          <w:b/>
        </w:rPr>
        <w:t>Fail:</w:t>
      </w:r>
      <w:r>
        <w:t xml:space="preserve"> Non-allow-listed app authorizes → re-apply app-access restriction.</w:t>
      </w:r>
    </w:p>
    <w:p>
      <w:pPr>
        <w:pStyle w:val="Heading2"/>
      </w:pPr>
      <w:r>
        <w:t>T9 — Evidence package is complete and indexed</w:t>
      </w:r>
    </w:p>
    <w:p>
      <w:pPr>
        <w:pStyle w:val="ListBullet"/>
      </w:pPr>
      <w:r>
        <w:rPr>
          <w:b/>
        </w:rPr>
        <w:t>Procedure:</w:t>
      </w:r>
      <w:r>
        <w:t xml:space="preserve"> `python collect-evidence.py --ou "/CUI – Boundary – Org" --package "Evidence – CUI</w:t>
      </w:r>
    </w:p>
    <w:p>
      <w:r>
        <w:t xml:space="preserve">  Boundary – &lt;date&gt;"` then review the package index against the control map.</w:t>
      </w:r>
    </w:p>
    <w:p>
      <w:pPr>
        <w:pStyle w:val="ListBullet"/>
      </w:pPr>
      <w:r>
        <w:rPr>
          <w:b/>
        </w:rPr>
        <w:t>Pass:</w:t>
      </w:r>
      <w:r>
        <w:t xml:space="preserve"> Every </w:t>
      </w:r>
      <w:r>
        <w:rPr>
          <w:rFonts w:ascii="Consolas" w:hAnsi="Consolas"/>
          <w:sz w:val="19"/>
        </w:rPr>
        <w:t>configured</w:t>
      </w:r>
      <w:r>
        <w:t xml:space="preserve"> control has a matching config export and/or audit-log extract in the</w:t>
      </w:r>
    </w:p>
    <w:p>
      <w:r>
        <w:t xml:space="preserve">  package, indexed to its control ID.</w:t>
      </w:r>
    </w:p>
    <w:p>
      <w:pPr>
        <w:pStyle w:val="ListBullet"/>
      </w:pPr>
      <w:r>
        <w:rPr>
          <w:b/>
        </w:rPr>
        <w:t>Fail:</w:t>
      </w:r>
      <w:r>
        <w:t xml:space="preserve"> A configured control has no evidence → collect the missing artifact.</w:t>
      </w:r>
    </w:p>
    <w:p>
      <w:pPr>
        <w:pStyle w:val="Heading2"/>
      </w:pPr>
      <w:r>
        <w:t>T10 — SSP and POA&amp;M are complete (CA)</w:t>
      </w:r>
    </w:p>
    <w:p>
      <w:pPr>
        <w:pStyle w:val="ListBullet"/>
      </w:pPr>
      <w:r>
        <w:rPr>
          <w:b/>
        </w:rPr>
        <w:t>Procedure:</w:t>
      </w:r>
      <w:r>
        <w:t xml:space="preserve"> </w:t>
      </w:r>
      <w:r>
        <w:rPr>
          <w:rFonts w:ascii="Consolas" w:hAnsi="Consolas"/>
          <w:sz w:val="19"/>
        </w:rPr>
        <w:t>python generate-ssp-poam.py …</w:t>
      </w:r>
      <w:r>
        <w:t>, then the compliance owner reviews.</w:t>
      </w:r>
    </w:p>
    <w:p>
      <w:pPr>
        <w:pStyle w:val="ListBullet"/>
      </w:pPr>
      <w:r>
        <w:rPr>
          <w:b/>
        </w:rPr>
        <w:t>Pass:</w:t>
      </w:r>
      <w:r>
        <w:t xml:space="preserve"> </w:t>
      </w:r>
      <w:r>
        <w:rPr>
          <w:rFonts w:ascii="Consolas" w:hAnsi="Consolas"/>
          <w:sz w:val="19"/>
        </w:rPr>
        <w:t>SSP – CUI Boundary – Org</w:t>
      </w:r>
      <w:r>
        <w:t xml:space="preserve"> has an implementation statement for every in-scope</w:t>
      </w:r>
    </w:p>
    <w:p>
      <w:r>
        <w:t xml:space="preserve">  requirement; </w:t>
      </w:r>
      <w:r>
        <w:rPr>
          <w:rFonts w:ascii="Consolas" w:hAnsi="Consolas"/>
          <w:sz w:val="19"/>
        </w:rPr>
        <w:t>POA&amp;M – CUI Boundary – Org</w:t>
      </w:r>
      <w:r>
        <w:t xml:space="preserve"> has a row (owner + milestone) for every   partial/not-configured/verify-edition requirement; the compliance owner has reviewed and accepted the   drafts.</w:t>
      </w:r>
    </w:p>
    <w:p>
      <w:pPr>
        <w:pStyle w:val="ListBullet"/>
      </w:pPr>
      <w:r>
        <w:rPr>
          <w:b/>
        </w:rPr>
        <w:t>Fail:</w:t>
      </w:r>
      <w:r>
        <w:t xml:space="preserve"> Any in-scope requirement missing an SSP statement or an unmet requirement missing from the</w:t>
      </w:r>
    </w:p>
    <w:p>
      <w:r>
        <w:t xml:space="preserve">  POA&amp;M → complete before declaring assessment-ready.</w:t>
      </w:r>
    </w:p>
    <w:p>
      <w:r>
        <w:t>__________________________________________________</w:t>
      </w:r>
    </w:p>
    <w:p>
      <w:r>
        <w:rPr>
          <w:b/>
        </w:rPr>
        <w:t>Overall readiness gate (Gate 4):</w:t>
      </w:r>
      <w:r>
        <w:t xml:space="preserve"> T1–T10 pass (with T7 edition-gaps parked on the POA&amp;M), and the compliance owner has accepted the SSP + POA&amp;M. At this point the environment is </w:t>
      </w:r>
      <w:r>
        <w:rPr>
          <w:b/>
        </w:rPr>
        <w:t>assessment-ready</w:t>
      </w:r>
      <w:r>
        <w:t>. The C3PAO assessment and its outcome remain out of scope.</w:t>
      </w:r>
    </w:p>
    <w:p>
      <w:pPr>
        <w:pStyle w:val="Heading1"/>
      </w:pPr>
      <w:r>
        <w:t>Troubleshooting</w:t>
      </w:r>
    </w:p>
    <w:p>
      <w:r>
        <w:t xml:space="preserve">Common failure modes during CMMC Level 2 readiness on Google Workspace, and how to resolve them. These address the </w:t>
      </w:r>
      <w:r>
        <w:rPr>
          <w:b/>
        </w:rPr>
        <w:t>technical readiness and evidence</w:t>
      </w:r>
      <w:r>
        <w:t xml:space="preserve"> work — they do </w:t>
      </w:r>
      <w:r>
        <w:rPr>
          <w:b/>
        </w:rPr>
        <w:t>not</w:t>
      </w:r>
      <w:r>
        <w:t xml:space="preserve"> resolve assessment, applicability, or legal questions, which stay with your assessor/compliance/legal team.</w:t>
      </w:r>
    </w:p>
    <w:p>
      <w:r>
        <w:t>__________________________________________________</w:t>
      </w:r>
    </w:p>
    <w:p>
      <w:pPr>
        <w:pStyle w:val="Heading2"/>
      </w:pPr>
      <w:r>
        <w:t>Authentication &amp; API access</w:t>
      </w:r>
    </w:p>
    <w:p>
      <w:r>
        <w:rPr>
          <w:b/>
        </w:rPr>
        <w:t>Symptom: `assess-nist-controls.py --check-auth` fails, or tools return 401/403.</w:t>
      </w:r>
    </w:p>
    <w:p>
      <w:pPr>
        <w:pStyle w:val="ListBullet"/>
      </w:pPr>
      <w:r>
        <w:t xml:space="preserve">Confirm the service account has </w:t>
      </w:r>
      <w:r>
        <w:rPr>
          <w:b/>
        </w:rPr>
        <w:t>domain-wide delegation</w:t>
      </w:r>
      <w:r>
        <w:t xml:space="preserve"> and that the delegated scopes in the Admin</w:t>
      </w:r>
    </w:p>
    <w:p>
      <w:r>
        <w:t xml:space="preserve">  console </w:t>
      </w:r>
      <w:r>
        <w:rPr>
          <w:b/>
        </w:rPr>
        <w:t>exactly match</w:t>
      </w:r>
      <w:r>
        <w:t xml:space="preserve"> the </w:t>
      </w:r>
      <w:r>
        <w:rPr>
          <w:rFonts w:ascii="Consolas" w:hAnsi="Consolas"/>
          <w:sz w:val="19"/>
        </w:rPr>
        <w:t>*.readonly</w:t>
      </w:r>
      <w:r>
        <w:t xml:space="preserve"> scopes the tool requests (a superset or mismatch is   rejected).</w:t>
      </w:r>
    </w:p>
    <w:p>
      <w:pPr>
        <w:pStyle w:val="ListBullet"/>
      </w:pPr>
      <w:r>
        <w:t xml:space="preserve">Confirm </w:t>
      </w:r>
      <w:r>
        <w:rPr>
          <w:rFonts w:ascii="Consolas" w:hAnsi="Consolas"/>
          <w:sz w:val="19"/>
        </w:rPr>
        <w:t>--subject</w:t>
      </w:r>
      <w:r>
        <w:t xml:space="preserve"> is a </w:t>
      </w:r>
      <w:r>
        <w:rPr>
          <w:b/>
        </w:rPr>
        <w:t>super-admin (or sufficiently privileged) user</w:t>
      </w:r>
      <w:r>
        <w:t xml:space="preserve"> to impersonate.</w:t>
      </w:r>
    </w:p>
    <w:p>
      <w:pPr>
        <w:pStyle w:val="ListBullet"/>
      </w:pPr>
      <w:r>
        <w:t xml:space="preserve">Confirm the </w:t>
      </w:r>
      <w:r>
        <w:rPr>
          <w:b/>
        </w:rPr>
        <w:t>Admin SDK (Directory + Reports)</w:t>
      </w:r>
      <w:r>
        <w:t xml:space="preserve">, </w:t>
      </w:r>
      <w:r>
        <w:rPr>
          <w:b/>
        </w:rPr>
        <w:t>Drive</w:t>
      </w:r>
      <w:r>
        <w:t xml:space="preserve">, and </w:t>
      </w:r>
      <w:r>
        <w:rPr>
          <w:b/>
        </w:rPr>
        <w:t>Groups Settings</w:t>
      </w:r>
      <w:r>
        <w:t xml:space="preserve"> APIs are enabled</w:t>
      </w:r>
    </w:p>
    <w:p>
      <w:r>
        <w:t xml:space="preserve">  in the Cloud project.</w:t>
      </w:r>
    </w:p>
    <w:p>
      <w:pPr>
        <w:pStyle w:val="ListBullet"/>
      </w:pPr>
      <w:r>
        <w:t xml:space="preserve">Never work around this by granting </w:t>
      </w:r>
      <w:r>
        <w:rPr>
          <w:b/>
        </w:rPr>
        <w:t>write</w:t>
      </w:r>
      <w:r>
        <w:t xml:space="preserve"> scopes to the read-only tools — fix the read-only grant.</w:t>
      </w:r>
    </w:p>
    <w:p>
      <w:r>
        <w:rPr>
          <w:b/>
        </w:rPr>
        <w:t>Symptom: 403 "insufficient permission" only on the Reports/audit calls.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sz w:val="19"/>
        </w:rPr>
        <w:t>admin.reports.audit.readonly</w:t>
      </w:r>
      <w:r>
        <w:t xml:space="preserve"> scope must be delegated *and* the impersonated user must have</w:t>
      </w:r>
    </w:p>
    <w:p>
      <w:r>
        <w:t xml:space="preserve">  privilege to read audit logs. Add the scope and re-consent.</w:t>
      </w:r>
    </w:p>
    <w:p>
      <w:pPr>
        <w:pStyle w:val="Heading2"/>
      </w:pPr>
      <w:r>
        <w:t>Throttling / rate limits</w:t>
      </w:r>
    </w:p>
    <w:p>
      <w:r>
        <w:rPr>
          <w:b/>
        </w:rPr>
        <w:t>Symptom: 429 / `rateLimitExceeded` / `userRateLimitExceeded` on large tenants.</w:t>
      </w:r>
    </w:p>
    <w:p>
      <w:pPr>
        <w:pStyle w:val="ListBullet"/>
      </w:pPr>
      <w:r>
        <w:t>The Admin SDK enforces per-project and per-user quotas. For large boundary OUs, run during off-peak,</w:t>
      </w:r>
    </w:p>
    <w:p>
      <w:r>
        <w:t xml:space="preserve">  and page results (the tools already use </w:t>
      </w:r>
      <w:r>
        <w:rPr>
          <w:rFonts w:ascii="Consolas" w:hAnsi="Consolas"/>
          <w:sz w:val="19"/>
        </w:rPr>
        <w:t>maxResults</w:t>
      </w:r>
      <w:r>
        <w:t>); extend them with exponential backoff on 429 if   you add deeper enumeration.</w:t>
      </w:r>
    </w:p>
    <w:p>
      <w:pPr>
        <w:pStyle w:val="ListBullet"/>
      </w:pPr>
      <w:r>
        <w:t>Split very large evidence collections by application (</w:t>
      </w:r>
      <w:r>
        <w:rPr>
          <w:rFonts w:ascii="Consolas" w:hAnsi="Consolas"/>
          <w:sz w:val="19"/>
        </w:rPr>
        <w:t>collect-evidence.py</w:t>
      </w:r>
      <w:r>
        <w:t xml:space="preserve"> already writes per-app</w:t>
      </w:r>
    </w:p>
    <w:p>
      <w:r>
        <w:t xml:space="preserve">  files) or by time window (</w:t>
      </w:r>
      <w:r>
        <w:rPr>
          <w:rFonts w:ascii="Consolas" w:hAnsi="Consolas"/>
          <w:sz w:val="19"/>
        </w:rPr>
        <w:t>--days</w:t>
      </w:r>
      <w:r>
        <w:t>) to stay under quota.</w:t>
      </w:r>
    </w:p>
    <w:p>
      <w:pPr>
        <w:pStyle w:val="ListBullet"/>
      </w:pPr>
      <w:r>
        <w:t>Request a quota increase for the Cloud project if sustained collection needs it.</w:t>
      </w:r>
    </w:p>
    <w:p>
      <w:pPr>
        <w:pStyle w:val="Heading2"/>
      </w:pPr>
      <w:r>
        <w:t>Evidence gaps</w:t>
      </w:r>
    </w:p>
    <w:p>
      <w:r>
        <w:rPr>
          <w:b/>
        </w:rPr>
        <w:t>Symptom: T9 fails — a `configured` control has no evidence in the package.</w:t>
      </w:r>
    </w:p>
    <w:p>
      <w:pPr>
        <w:pStyle w:val="ListBullet"/>
      </w:pPr>
      <w:r>
        <w:t xml:space="preserve">Re-run </w:t>
      </w:r>
      <w:r>
        <w:rPr>
          <w:rFonts w:ascii="Consolas" w:hAnsi="Consolas"/>
          <w:sz w:val="19"/>
        </w:rPr>
        <w:t>collect-evidence.py --live</w:t>
      </w:r>
      <w:r>
        <w:t>; confirm the audit source that carries that control is included in</w:t>
      </w:r>
    </w:p>
    <w:p>
      <w:r>
        <w:t xml:space="preserve">  </w:t>
      </w:r>
      <w:r>
        <w:rPr>
          <w:rFonts w:ascii="Consolas" w:hAnsi="Consolas"/>
          <w:sz w:val="19"/>
        </w:rPr>
        <w:t>AUDIT_SOURCES</w:t>
      </w:r>
      <w:r>
        <w:t xml:space="preserve"> and that the events actually occurred in the lookback window (perform the action, then   re-collect).</w:t>
      </w:r>
    </w:p>
    <w:p>
      <w:pPr>
        <w:pStyle w:val="ListBullet"/>
      </w:pPr>
      <w:r>
        <w:t xml:space="preserve">If a control is genuinely manual (AT/PS/PE/IR), its evidence is a </w:t>
      </w:r>
      <w:r>
        <w:rPr>
          <w:b/>
        </w:rPr>
        <w:t>documented procedure/attestation</w:t>
      </w:r>
      <w:r>
        <w:t>,</w:t>
      </w:r>
    </w:p>
    <w:p>
      <w:r>
        <w:t xml:space="preserve">  not an API export — attach it to the package by hand and index it.</w:t>
      </w:r>
    </w:p>
    <w:p>
      <w:r>
        <w:rPr>
          <w:b/>
        </w:rPr>
        <w:t>Symptom: audit-log evidence is empty for an application.</w:t>
      </w:r>
    </w:p>
    <w:p>
      <w:pPr>
        <w:pStyle w:val="ListBullet"/>
      </w:pPr>
      <w:r>
        <w:t>Log availability and latency vary by application and edition; some events surface with delay. Widen</w:t>
      </w:r>
    </w:p>
    <w:p>
      <w:r>
        <w:t xml:space="preserve">  the window and re-collect. If an application's logging is edition-gated, record it as a </w:t>
      </w:r>
      <w:r>
        <w:rPr>
          <w:b/>
        </w:rPr>
        <w:t>POA&amp;M</w:t>
      </w:r>
      <w:r>
        <w:t xml:space="preserve"> item   ("verify-edition") rather than asserting the control.</w:t>
      </w:r>
    </w:p>
    <w:p>
      <w:pPr>
        <w:pStyle w:val="Heading2"/>
      </w:pPr>
      <w:r>
        <w:t>DLP behaves unexpectedly</w:t>
      </w:r>
    </w:p>
    <w:p>
      <w:r>
        <w:rPr>
          <w:b/>
        </w:rPr>
        <w:t>Symptom: DLP blocks legitimate work (false positives) in the pilot.</w:t>
      </w:r>
    </w:p>
    <w:p>
      <w:pPr>
        <w:pStyle w:val="ListBullet"/>
      </w:pPr>
      <w:r>
        <w:t xml:space="preserve">Keep the rule as </w:t>
      </w:r>
      <w:r>
        <w:rPr>
          <w:rFonts w:ascii="Consolas" w:hAnsi="Consolas"/>
          <w:sz w:val="19"/>
        </w:rPr>
        <w:t>DLP – CUI – Monitor</w:t>
      </w:r>
      <w:r>
        <w:t xml:space="preserve"> while tuning; review the hits, refine the detector</w:t>
      </w:r>
    </w:p>
    <w:p>
      <w:r>
        <w:t xml:space="preserve">  (thresholds, dictionaries, context), and only then promote to </w:t>
      </w:r>
      <w:r>
        <w:rPr>
          <w:rFonts w:ascii="Consolas" w:hAnsi="Consolas"/>
          <w:sz w:val="19"/>
        </w:rPr>
        <w:t>DLP – CUI – Enforce</w:t>
      </w:r>
      <w:r>
        <w:t xml:space="preserve">. </w:t>
      </w:r>
      <w:r>
        <w:rPr>
          <w:b/>
        </w:rPr>
        <w:t>Do not</w:t>
      </w:r>
      <w:r>
        <w:t xml:space="preserve">   promote to enforce fleet-wide on a failing pilot (Gate 3).</w:t>
      </w:r>
    </w:p>
    <w:p>
      <w:r>
        <w:rPr>
          <w:b/>
        </w:rPr>
        <w:t>Symptom: DLP misses CUI-shaped content (false negatives).</w:t>
      </w:r>
    </w:p>
    <w:p>
      <w:pPr>
        <w:pStyle w:val="ListBullet"/>
      </w:pPr>
      <w:r>
        <w:t>Broaden/adjust the detector against sample CUI; validate with T5 before evidencing. Detector accuracy</w:t>
      </w:r>
    </w:p>
    <w:p>
      <w:r>
        <w:t xml:space="preserve">  is a tuning exercise — budget pilot iterations for it.</w:t>
      </w:r>
    </w:p>
    <w:p>
      <w:pPr>
        <w:pStyle w:val="Heading2"/>
      </w:pPr>
      <w:r>
        <w:t>Boundary drift &amp; scope errors</w:t>
      </w:r>
    </w:p>
    <w:p>
      <w:r>
        <w:rPr>
          <w:b/>
        </w:rPr>
        <w:t>Symptom: `cui-boundary-check.py` reports external or out-of-OU members.</w:t>
      </w:r>
    </w:p>
    <w:p>
      <w:pPr>
        <w:pStyle w:val="ListBullet"/>
      </w:pPr>
      <w:r>
        <w:t xml:space="preserve">High-severity </w:t>
      </w:r>
      <w:r>
        <w:rPr>
          <w:b/>
        </w:rPr>
        <w:t>external-group-member</w:t>
      </w:r>
      <w:r>
        <w:t xml:space="preserve"> findings mean CUI groups admit external domains — remove them</w:t>
      </w:r>
    </w:p>
    <w:p>
      <w:r>
        <w:t xml:space="preserve">  or, if intentional and approved, document the exception with your compliance owner (acceptability is   *their* call).</w:t>
      </w:r>
    </w:p>
    <w:p>
      <w:pPr>
        <w:pStyle w:val="ListBullet"/>
      </w:pPr>
      <w:r>
        <w:rPr>
          <w:b/>
        </w:rPr>
        <w:t>member-outside-boundary-ou</w:t>
      </w:r>
      <w:r>
        <w:t xml:space="preserve"> means a CUI-group member's account lives outside the boundary OU, so it</w:t>
      </w:r>
    </w:p>
    <w:p>
      <w:r>
        <w:t xml:space="preserve">  misses the boundary controls — move the account into </w:t>
      </w:r>
      <w:r>
        <w:rPr>
          <w:rFonts w:ascii="Consolas" w:hAnsi="Consolas"/>
          <w:sz w:val="19"/>
        </w:rPr>
        <w:t>CUI – Boundary – Org</w:t>
      </w:r>
      <w:r>
        <w:t>.</w:t>
      </w:r>
    </w:p>
    <w:p>
      <w:pPr>
        <w:pStyle w:val="ListBullet"/>
      </w:pPr>
      <w:r>
        <w:t>Re-run after every joiner/mover/leaver; tie membership to the identity source to prevent recurrence.</w:t>
      </w:r>
    </w:p>
    <w:p>
      <w:r>
        <w:rPr>
          <w:b/>
        </w:rPr>
        <w:t>Symptom: Drive external-sharing exposure suspected but not fully enumerated.</w:t>
      </w:r>
    </w:p>
    <w:p>
      <w:pPr>
        <w:pStyle w:val="ListBullet"/>
      </w:pPr>
      <w:r>
        <w:t xml:space="preserve">The boundary checker flags Drive sharing as a follow-up: run a </w:t>
      </w:r>
      <w:r>
        <w:rPr>
          <w:rFonts w:ascii="Consolas" w:hAnsi="Consolas"/>
          <w:sz w:val="19"/>
        </w:rPr>
        <w:t>Drive files.list</w:t>
      </w:r>
      <w:r>
        <w:t xml:space="preserve"> external-sharing scan</w:t>
      </w:r>
    </w:p>
    <w:p>
      <w:r>
        <w:t xml:space="preserve">  against your </w:t>
      </w:r>
      <w:r>
        <w:rPr>
          <w:b/>
        </w:rPr>
        <w:t>shared-drive inventory</w:t>
      </w:r>
      <w:r>
        <w:t xml:space="preserve"> (read-only) to enumerate per-file exposure. The tool does not   fabricate a private API for this — extend it against the documented Drive API.</w:t>
      </w:r>
    </w:p>
    <w:p>
      <w:pPr>
        <w:pStyle w:val="Heading2"/>
      </w:pPr>
      <w:r>
        <w:t>Edition-gated features</w:t>
      </w:r>
    </w:p>
    <w:p>
      <w:r>
        <w:rPr>
          <w:b/>
        </w:rPr>
        <w:t>Symptom: Assured Controls / data-region / client-side encryption not present in the console.</w:t>
      </w:r>
    </w:p>
    <w:p>
      <w:pPr>
        <w:pStyle w:val="ListBullet"/>
      </w:pPr>
      <w:r>
        <w:t xml:space="preserve">These are </w:t>
      </w:r>
      <w:r>
        <w:rPr>
          <w:b/>
        </w:rPr>
        <w:t>edition/contract/rollout dependent</w:t>
      </w:r>
      <w:r>
        <w:t>. Confirm your edition and add-ons under **Billing →</w:t>
      </w:r>
    </w:p>
    <w:p>
      <w:r>
        <w:t xml:space="preserve">  Subscriptions</w:t>
      </w:r>
      <w:r>
        <w:rPr>
          <w:b/>
        </w:rPr>
        <w:t xml:space="preserve">; if unavailable, this is </w:t>
      </w:r>
      <w:r>
        <w:t>not a hard test failure</w:t>
      </w:r>
      <w:r>
        <w:rPr>
          <w:b/>
        </w:rPr>
        <w:t xml:space="preserve"> — record a </w:t>
      </w:r>
      <w:r>
        <w:t>POA&amp;M</w:t>
      </w:r>
      <w:r>
        <w:rPr>
          <w:b/>
        </w:rPr>
        <w:t xml:space="preserve"> item   (`verify-edition`) and pursue the edition/add-on or a documented compensating control. </w:t>
      </w:r>
      <w:r>
        <w:t>Never assert   a control is met on a feature you cannot confirm exists in your tenant.**</w:t>
      </w:r>
    </w:p>
    <w:p>
      <w:pPr>
        <w:pStyle w:val="Heading2"/>
      </w:pPr>
      <w:r>
        <w:t>SSP / POA&amp;M generation</w:t>
      </w:r>
    </w:p>
    <w:p>
      <w:r>
        <w:rPr>
          <w:b/>
        </w:rPr>
        <w:t>Symptom: `generate-ssp-poam.py` errors "control map not found / empty".</w:t>
      </w:r>
    </w:p>
    <w:p>
      <w:pPr>
        <w:pStyle w:val="ListBullet"/>
      </w:pPr>
      <w:r>
        <w:t xml:space="preserve">Run </w:t>
      </w:r>
      <w:r>
        <w:rPr>
          <w:rFonts w:ascii="Consolas" w:hAnsi="Consolas"/>
          <w:sz w:val="19"/>
        </w:rPr>
        <w:t>assess-nist-controls.py</w:t>
      </w:r>
      <w:r>
        <w:t xml:space="preserve"> first to produce the control-map CSV, then point </w:t>
      </w:r>
      <w:r>
        <w:rPr>
          <w:rFonts w:ascii="Consolas" w:hAnsi="Consolas"/>
          <w:sz w:val="19"/>
        </w:rPr>
        <w:t>--control-map</w:t>
      </w:r>
      <w:r>
        <w:t xml:space="preserve"> at it.</w:t>
      </w:r>
    </w:p>
    <w:p>
      <w:r>
        <w:rPr>
          <w:b/>
        </w:rPr>
        <w:t>Symptom: POA&amp;M shows zero open items but you know gaps exist.</w:t>
      </w:r>
    </w:p>
    <w:p>
      <w:pPr>
        <w:pStyle w:val="ListBullet"/>
      </w:pPr>
      <w:r>
        <w:t xml:space="preserve">The POA&amp;M is generated from </w:t>
      </w:r>
      <w:r>
        <w:rPr>
          <w:b/>
        </w:rPr>
        <w:t>status</w:t>
      </w:r>
      <w:r>
        <w:t xml:space="preserve">. Zero open items means every row is marked </w:t>
      </w:r>
      <w:r>
        <w:rPr>
          <w:rFonts w:ascii="Consolas" w:hAnsi="Consolas"/>
          <w:sz w:val="19"/>
        </w:rPr>
        <w:t>configured</w:t>
      </w:r>
      <w:r>
        <w:t xml:space="preserve"> — check</w:t>
      </w:r>
    </w:p>
    <w:p>
      <w:r>
        <w:t xml:space="preserve">  for </w:t>
      </w:r>
      <w:r>
        <w:rPr>
          <w:b/>
        </w:rPr>
        <w:t>over-stated</w:t>
      </w:r>
      <w:r>
        <w:t xml:space="preserve"> statuses in the control map. Honest </w:t>
      </w:r>
      <w:r>
        <w:rPr>
          <w:rFonts w:ascii="Consolas" w:hAnsi="Consolas"/>
          <w:sz w:val="19"/>
        </w:rPr>
        <w:t>partial</w:t>
      </w:r>
      <w:r>
        <w:t>/</w:t>
      </w:r>
      <w:r>
        <w:rPr>
          <w:rFonts w:ascii="Consolas" w:hAnsi="Consolas"/>
          <w:sz w:val="19"/>
        </w:rPr>
        <w:t>verify-edition</w:t>
      </w:r>
      <w:r>
        <w:t xml:space="preserve"> statuses are safer   than an optimistic </w:t>
      </w:r>
      <w:r>
        <w:rPr>
          <w:rFonts w:ascii="Consolas" w:hAnsi="Consolas"/>
          <w:sz w:val="19"/>
        </w:rPr>
        <w:t>configured</w:t>
      </w:r>
      <w:r>
        <w:t xml:space="preserve"> that becomes an assessment finding.</w:t>
      </w:r>
    </w:p>
    <w:p>
      <w:pPr>
        <w:pStyle w:val="Heading2"/>
      </w:pPr>
      <w:r>
        <w:t>Rollback</w:t>
      </w:r>
    </w:p>
    <w:p>
      <w:r>
        <w:rPr>
          <w:b/>
        </w:rPr>
        <w:t>Symptom: an enforcing control blocked users after expansion.</w:t>
      </w:r>
    </w:p>
    <w:p>
      <w:pPr>
        <w:pStyle w:val="ListBullet"/>
      </w:pPr>
      <w:r>
        <w:t>Every high-impact control has a documented prior value in the control map. Restore it (set DLP to</w:t>
      </w:r>
    </w:p>
    <w:p>
      <w:r>
        <w:t xml:space="preserve">  monitor/off, unassign the CAA level, revert the sharing policy, disable the export sink) — the change   is scoped to the boundary OU/pilot group, so rollback never affects the wider tenant. Re-pilot before   re-expanding.</w:t>
      </w:r>
    </w:p>
    <w:p>
      <w:pPr>
        <w:pStyle w:val="Heading1"/>
      </w:pPr>
      <w:r>
        <w:t>Best Practices</w:t>
      </w:r>
    </w:p>
    <w:p>
      <w:r>
        <w:t xml:space="preserve">Durable practices for keeping a Google Workspace tenant CMMC Level 2 </w:t>
      </w:r>
      <w:r>
        <w:rPr>
          <w:b/>
        </w:rPr>
        <w:t>assessment-ready</w:t>
      </w:r>
      <w:r>
        <w:t xml:space="preserve"> on NIST SP 800-171. These sustain the posture between the readiness engagement and the assessment — and after.</w:t>
      </w:r>
    </w:p>
    <w:p>
      <w:pPr>
        <w:pStyle w:val="Heading2"/>
      </w:pPr>
      <w:r>
        <w:t>Boundary discipline</w:t>
      </w:r>
    </w:p>
    <w:p>
      <w:pPr>
        <w:pStyle w:val="ListBullet"/>
      </w:pPr>
      <w:r>
        <w:rPr>
          <w:b/>
        </w:rPr>
        <w:t>Keep the CUI boundary small and explicit.</w:t>
      </w:r>
      <w:r>
        <w:t xml:space="preserve"> The narrower and better-defined **`CUI – Boundary –</w:t>
      </w:r>
    </w:p>
    <w:p>
      <w:r>
        <w:t xml:space="preserve">  Org`** OU is, the smaller and more stable your assessment scope. Resist letting CUI drift into   general-population OUs or personal Drives.</w:t>
      </w:r>
    </w:p>
    <w:p>
      <w:pPr>
        <w:pStyle w:val="ListBullet"/>
      </w:pPr>
      <w:r>
        <w:rPr>
          <w:b/>
        </w:rPr>
        <w:t>One way in, one way out.</w:t>
      </w:r>
      <w:r>
        <w:t xml:space="preserve"> Route CUI ingress/egress through controlled paths (approved Shared</w:t>
      </w:r>
    </w:p>
    <w:p>
      <w:r>
        <w:t xml:space="preserve">  Drives, allow-listed external domains) so the data-flow map stays true and the boundary checker stays   meaningful.</w:t>
      </w:r>
    </w:p>
    <w:p>
      <w:pPr>
        <w:pStyle w:val="ListBullet"/>
      </w:pPr>
      <w:r>
        <w:rPr>
          <w:b/>
        </w:rPr>
        <w:t>Re-validate membership on every joiner/mover/leaver.</w:t>
      </w:r>
      <w:r>
        <w:t xml:space="preserve"> Tie boundary-OU membership to the identity</w:t>
      </w:r>
    </w:p>
    <w:p>
      <w:r>
        <w:t xml:space="preserve">  source so personnel changes update scope automatically (PS family).</w:t>
      </w:r>
    </w:p>
    <w:p>
      <w:pPr>
        <w:pStyle w:val="Heading2"/>
      </w:pPr>
      <w:r>
        <w:t>Evidence hygiene</w:t>
      </w:r>
    </w:p>
    <w:p>
      <w:pPr>
        <w:pStyle w:val="ListBullet"/>
      </w:pPr>
      <w:r>
        <w:rPr>
          <w:b/>
        </w:rPr>
        <w:t>Evidence is a product, not an afterthought.</w:t>
      </w:r>
      <w:r>
        <w:t xml:space="preserve"> For every control, capture *both* the configuration</w:t>
      </w:r>
    </w:p>
    <w:p>
      <w:r>
        <w:t xml:space="preserve">  state and operational proof (audit-log extract) — an assessor asks "show me it's on" *and* "show me   it's working."</w:t>
      </w:r>
    </w:p>
    <w:p>
      <w:pPr>
        <w:pStyle w:val="ListBullet"/>
      </w:pPr>
      <w:r>
        <w:rPr>
          <w:b/>
        </w:rPr>
        <w:t>Timestamp and index every package.</w:t>
      </w:r>
      <w:r>
        <w:t xml:space="preserve"> Use the </w:t>
      </w:r>
      <w:r>
        <w:rPr>
          <w:rFonts w:ascii="Consolas" w:hAnsi="Consolas"/>
          <w:sz w:val="19"/>
        </w:rPr>
        <w:t>Evidence – CUI Boundary – &lt;date&gt;</w:t>
      </w:r>
      <w:r>
        <w:t xml:space="preserve"> convention and</w:t>
      </w:r>
    </w:p>
    <w:p>
      <w:r>
        <w:t xml:space="preserve">  index each artifact to its NIST control ID, so the assessor can trace requirement → evidence in one   step.</w:t>
      </w:r>
    </w:p>
    <w:p>
      <w:pPr>
        <w:pStyle w:val="ListBullet"/>
      </w:pPr>
      <w:r>
        <w:rPr>
          <w:b/>
        </w:rPr>
        <w:t>Refresh evidence close to the assessment.</w:t>
      </w:r>
      <w:r>
        <w:t xml:space="preserve"> Audit-log evidence ages; regenerate the package within</w:t>
      </w:r>
    </w:p>
    <w:p>
      <w:r>
        <w:t xml:space="preserve">  your assessor's expected freshness window.</w:t>
      </w:r>
    </w:p>
    <w:p>
      <w:pPr>
        <w:pStyle w:val="ListBullet"/>
      </w:pPr>
      <w:r>
        <w:rPr>
          <w:b/>
        </w:rPr>
        <w:t>Never let evidence collection require write access.</w:t>
      </w:r>
      <w:r>
        <w:t xml:space="preserve"> Keep the evidence tooling strictly read-only</w:t>
      </w:r>
    </w:p>
    <w:p>
      <w:r>
        <w:t xml:space="preserve">  so running it can never change the posture it is measuring.</w:t>
      </w:r>
    </w:p>
    <w:p>
      <w:pPr>
        <w:pStyle w:val="Heading2"/>
      </w:pPr>
      <w:r>
        <w:t>Control-map as single source of truth</w:t>
      </w:r>
    </w:p>
    <w:p>
      <w:pPr>
        <w:pStyle w:val="ListBullet"/>
      </w:pPr>
      <w:r>
        <w:rPr>
          <w:b/>
        </w:rPr>
        <w:t>Drive everything from `NIST 800-171 – Control Map – Org`.</w:t>
      </w:r>
      <w:r>
        <w:t xml:space="preserve"> Control status, planned setting,</w:t>
      </w:r>
    </w:p>
    <w:p>
      <w:r>
        <w:t xml:space="preserve">  configured value, evidence pointer, and POA&amp;M linkage all live in one matrix; the SSP and POA&amp;M are   generated *from* it, not maintained separately.</w:t>
      </w:r>
    </w:p>
    <w:p>
      <w:pPr>
        <w:pStyle w:val="ListBullet"/>
      </w:pPr>
      <w:r>
        <w:rPr>
          <w:b/>
        </w:rPr>
        <w:t>Status honestly.</w:t>
      </w:r>
      <w:r>
        <w:t xml:space="preserve"> Use </w:t>
      </w:r>
      <w:r>
        <w:rPr>
          <w:rFonts w:ascii="Consolas" w:hAnsi="Consolas"/>
          <w:sz w:val="19"/>
        </w:rPr>
        <w:t>partial</w:t>
      </w:r>
      <w:r>
        <w:t xml:space="preserve"> and </w:t>
      </w:r>
      <w:r>
        <w:rPr>
          <w:rFonts w:ascii="Consolas" w:hAnsi="Consolas"/>
          <w:sz w:val="19"/>
        </w:rPr>
        <w:t>verify-edition</w:t>
      </w:r>
      <w:r>
        <w:t xml:space="preserve"> truthfully; an over-stated </w:t>
      </w:r>
      <w:r>
        <w:rPr>
          <w:rFonts w:ascii="Consolas" w:hAnsi="Consolas"/>
          <w:sz w:val="19"/>
        </w:rPr>
        <w:t>configured</w:t>
      </w:r>
    </w:p>
    <w:p>
      <w:r>
        <w:t xml:space="preserve">  becomes an assessment finding. It is safer to carry an honest POA&amp;M item than to assert a control you   cannot evidence.</w:t>
      </w:r>
    </w:p>
    <w:p>
      <w:pPr>
        <w:pStyle w:val="Heading2"/>
      </w:pPr>
      <w:r>
        <w:t>Change safety</w:t>
      </w:r>
    </w:p>
    <w:p>
      <w:pPr>
        <w:pStyle w:val="ListBullet"/>
      </w:pPr>
      <w:r>
        <w:rPr>
          <w:b/>
        </w:rPr>
        <w:t>Pilot every enforcing control.</w:t>
      </w:r>
      <w:r>
        <w:t xml:space="preserve"> DLP, context-aware access, sharing restriction, and 2SV can block</w:t>
      </w:r>
    </w:p>
    <w:p>
      <w:r>
        <w:t xml:space="preserve">  legitimate work; prove them on </w:t>
      </w:r>
      <w:r>
        <w:rPr>
          <w:rFonts w:ascii="Consolas" w:hAnsi="Consolas"/>
          <w:sz w:val="19"/>
        </w:rPr>
        <w:t>CUI – Pilot – Org</w:t>
      </w:r>
      <w:r>
        <w:t xml:space="preserve"> with a rollback before fleet enforcement.</w:t>
      </w:r>
    </w:p>
    <w:p>
      <w:pPr>
        <w:pStyle w:val="ListBullet"/>
      </w:pPr>
      <w:r>
        <w:rPr>
          <w:b/>
        </w:rPr>
        <w:t>Monitor before you block.</w:t>
      </w:r>
      <w:r>
        <w:t xml:space="preserve"> Ship DLP as </w:t>
      </w:r>
      <w:r>
        <w:rPr>
          <w:rFonts w:ascii="Consolas" w:hAnsi="Consolas"/>
          <w:sz w:val="19"/>
        </w:rPr>
        <w:t>DLP – CUI – Monitor</w:t>
      </w:r>
      <w:r>
        <w:t xml:space="preserve"> first, read the hits, then promote</w:t>
      </w:r>
    </w:p>
    <w:p>
      <w:r>
        <w:t xml:space="preserve">  to </w:t>
      </w:r>
      <w:r>
        <w:rPr>
          <w:rFonts w:ascii="Consolas" w:hAnsi="Consolas"/>
          <w:sz w:val="19"/>
        </w:rPr>
        <w:t>DLP – CUI – Enforce</w:t>
      </w:r>
      <w:r>
        <w:t>.</w:t>
      </w:r>
    </w:p>
    <w:p>
      <w:pPr>
        <w:pStyle w:val="ListBullet"/>
      </w:pPr>
      <w:r>
        <w:rPr>
          <w:b/>
        </w:rPr>
        <w:t>Document the rollback with the change.</w:t>
      </w:r>
      <w:r>
        <w:t xml:space="preserve"> Record the prior value in the control map at the moment you</w:t>
      </w:r>
    </w:p>
    <w:p>
      <w:r>
        <w:t xml:space="preserve">  change it, so rollback is a lookup, not an investigation.</w:t>
      </w:r>
    </w:p>
    <w:p>
      <w:pPr>
        <w:pStyle w:val="Heading2"/>
      </w:pPr>
      <w:r>
        <w:t>Least privilege &amp; credential safety</w:t>
      </w:r>
    </w:p>
    <w:p>
      <w:pPr>
        <w:pStyle w:val="ListBullet"/>
      </w:pPr>
      <w:r>
        <w:rPr>
          <w:b/>
        </w:rPr>
        <w:t>Read-only, least-scope credentials for tooling.</w:t>
      </w:r>
      <w:r>
        <w:t xml:space="preserve"> The five tools need only </w:t>
      </w:r>
      <w:r>
        <w:rPr>
          <w:rFonts w:ascii="Consolas" w:hAnsi="Consolas"/>
          <w:sz w:val="19"/>
        </w:rPr>
        <w:t>*.readonly</w:t>
      </w:r>
      <w:r>
        <w:t xml:space="preserve"> admin</w:t>
      </w:r>
    </w:p>
    <w:p>
      <w:r>
        <w:t xml:space="preserve">  scopes; never grant them write scopes.</w:t>
      </w:r>
    </w:p>
    <w:p>
      <w:pPr>
        <w:pStyle w:val="ListBullet"/>
      </w:pPr>
      <w:r>
        <w:rPr>
          <w:b/>
        </w:rPr>
        <w:t>No secrets in the repo, ever.</w:t>
      </w:r>
      <w:r>
        <w:t xml:space="preserve"> Use OAuth user consent, ADC, or a secured secret store; never commit</w:t>
      </w:r>
    </w:p>
    <w:p>
      <w:r>
        <w:t xml:space="preserve">  a key, service-account JSON, or exported credential. Rotate the tooling credential on a schedule.</w:t>
      </w:r>
    </w:p>
    <w:p>
      <w:pPr>
        <w:pStyle w:val="ListBullet"/>
      </w:pPr>
      <w:r>
        <w:rPr>
          <w:b/>
        </w:rPr>
        <w:t>Separate admin duties.</w:t>
      </w:r>
      <w:r>
        <w:t xml:space="preserve"> Split super-admin, user-management, and compliance/eDiscovery roles (AC/MA</w:t>
      </w:r>
    </w:p>
    <w:p>
      <w:r>
        <w:t xml:space="preserve">  families); log and review admin actions.</w:t>
      </w:r>
    </w:p>
    <w:p>
      <w:pPr>
        <w:pStyle w:val="Heading2"/>
      </w:pPr>
      <w:r>
        <w:t>Keep the assessment boundary where it belongs</w:t>
      </w:r>
    </w:p>
    <w:p>
      <w:pPr>
        <w:pStyle w:val="ListBullet"/>
      </w:pPr>
      <w:r>
        <w:rPr>
          <w:b/>
        </w:rPr>
        <w:t>Configure and evidence; let the assessor determine.</w:t>
      </w:r>
      <w:r>
        <w:t xml:space="preserve"> Treat every "meets control X" statement as</w:t>
      </w:r>
    </w:p>
    <w:p>
      <w:r>
        <w:t xml:space="preserve">  "*configured to support control X, pending assessor determination*." Do not self-certify, and do not   interpret ITAR/DFARS applicability in the SSP — cite the framework and reference the compliance/legal   team's determinations.</w:t>
      </w:r>
    </w:p>
    <w:p>
      <w:pPr>
        <w:pStyle w:val="ListBullet"/>
      </w:pPr>
      <w:r>
        <w:rPr>
          <w:b/>
        </w:rPr>
        <w:t>Verify edition-dependent features, don't assume them.</w:t>
      </w:r>
      <w:r>
        <w:t xml:space="preserve"> Assured Controls, data regions, and</w:t>
      </w:r>
    </w:p>
    <w:p>
      <w:r>
        <w:t xml:space="preserve">  client-side encryption vary by edition/rollout — confirm each in your tenant and POA&amp;M anything you   cannot confirm.</w:t>
      </w:r>
    </w:p>
    <w:p>
      <w:pPr>
        <w:pStyle w:val="Heading2"/>
      </w:pPr>
      <w:r>
        <w:t>Continuous monitoring</w:t>
      </w:r>
    </w:p>
    <w:p>
      <w:pPr>
        <w:pStyle w:val="ListBullet"/>
      </w:pPr>
      <w:r>
        <w:rPr>
          <w:b/>
        </w:rPr>
        <w:t>Schedule re-assessment.</w:t>
      </w:r>
      <w:r>
        <w:t xml:space="preserve"> Re-run </w:t>
      </w:r>
      <w:r>
        <w:rPr>
          <w:rFonts w:ascii="Consolas" w:hAnsi="Consolas"/>
          <w:sz w:val="19"/>
        </w:rPr>
        <w:t>assess-nist-controls.py</w:t>
      </w:r>
      <w:r>
        <w:t xml:space="preserve"> and </w:t>
      </w:r>
      <w:r>
        <w:rPr>
          <w:rFonts w:ascii="Consolas" w:hAnsi="Consolas"/>
          <w:sz w:val="19"/>
        </w:rPr>
        <w:t>cui-boundary-check.py</w:t>
      </w:r>
      <w:r>
        <w:t xml:space="preserve"> on a regular</w:t>
      </w:r>
    </w:p>
    <w:p>
      <w:r>
        <w:t xml:space="preserve">  cadence; treat new </w:t>
      </w:r>
      <w:r>
        <w:rPr>
          <w:rFonts w:ascii="Consolas" w:hAnsi="Consolas"/>
          <w:sz w:val="19"/>
        </w:rPr>
        <w:t>partial</w:t>
      </w:r>
      <w:r>
        <w:t>/</w:t>
      </w:r>
      <w:r>
        <w:rPr>
          <w:rFonts w:ascii="Consolas" w:hAnsi="Consolas"/>
          <w:sz w:val="19"/>
        </w:rPr>
        <w:t>not-configured</w:t>
      </w:r>
      <w:r>
        <w:t xml:space="preserve"> results as POA&amp;M items immediately.</w:t>
      </w:r>
    </w:p>
    <w:p>
      <w:pPr>
        <w:pStyle w:val="ListBullet"/>
      </w:pPr>
      <w:r>
        <w:rPr>
          <w:b/>
        </w:rPr>
        <w:t>Keep the POA&amp;M live.</w:t>
      </w:r>
      <w:r>
        <w:t xml:space="preserve"> A current POA&amp;M with real owners and dates is itself evidence of a functioning</w:t>
      </w:r>
    </w:p>
    <w:p>
      <w:r>
        <w:t xml:space="preserve">  security-assessment (CA) process.</w:t>
      </w:r>
    </w:p>
    <w:p>
      <w:pPr>
        <w:pStyle w:val="Heading1"/>
      </w:pPr>
      <w:r>
        <w:t>Deliverables Summary</w:t>
      </w:r>
    </w:p>
    <w:p>
      <w:r>
        <w:t xml:space="preserve">Everything included in this CMMC Level 2 readiness solution for Google Workspace, on one page. The solution delivers </w:t>
      </w:r>
      <w:r>
        <w:rPr>
          <w:b/>
        </w:rPr>
        <w:t>readiness</w:t>
      </w:r>
      <w:r>
        <w:t xml:space="preserve"> — control mapping, configuration method, and evidence, plus the SSP and POA&amp;M. It does </w:t>
      </w:r>
      <w:r>
        <w:rPr>
          <w:b/>
        </w:rPr>
        <w:t>not</w:t>
      </w:r>
      <w:r>
        <w:t xml:space="preserve"> produce a CMMC assessment result or certification; those remain with your assessor and compliance/legal team.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covers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CMMC L2 / NIST 800-171 (14 families), the CUI boundary on Workspace, the reference model, benefits, limitations, and the deployment model.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 Guide</w:t>
            </w:r>
          </w:p>
        </w:tc>
        <w:tc>
          <w:tcPr>
            <w:tcW w:type="dxa" w:w="4320"/>
          </w:tcPr>
          <w:p>
            <w:r>
              <w:t>Solution-specific prerequisites (edition/add-on for regulated controls, CUI-boundary input, assessor/compliance engagement, Assured Controls baseline, read-only API access, CUI-scoped change control) — each with verify/implement steps, on top of the shared Google requirements.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 Guide</w:t>
            </w:r>
          </w:p>
        </w:tc>
        <w:tc>
          <w:tcPr>
            <w:tcW w:type="dxa" w:w="4320"/>
          </w:tcPr>
          <w:p>
            <w:r>
              <w:t>Assess → Design → Configure → Pilot → Validate → Expand: define the CUI boundary, map every family to a Workspace mechanism, configure + pilot + evidence, and generate the SSP/POA&amp;M — with named artifacts, pass/fail gates, and rollbacks.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 &amp; Validation</w:t>
            </w:r>
          </w:p>
        </w:tc>
        <w:tc>
          <w:tcPr>
            <w:tcW w:type="dxa" w:w="4320"/>
          </w:tcPr>
          <w:p>
            <w:r>
              <w:t>Ten tests (T1–T10) with expected pass/fail: boundary membership, sharing, context-aware access, 2SV, DLP, audit logging/export, data-region/encryption, app control, evidence completeness, SSP/POA&amp;M completeness.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</w:p>
        </w:tc>
        <w:tc>
          <w:tcPr>
            <w:tcW w:type="dxa" w:w="4320"/>
          </w:tcPr>
          <w:p>
            <w:r>
              <w:t>Common failure modes — API throttling/scope errors, incomplete evidence, DLP false positives, edition-gated features, boundary drift — with resolutions.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Boundary discipline, evidence hygiene, control-map-as-source-of-truth, change safety, least-privilege credentials, and holding the assessment boundary.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Outcome, approach, and why the engagement is low-risk.</w:t>
            </w:r>
          </w:p>
        </w:tc>
      </w:tr>
    </w:tbl>
    <w:p>
      <w:pPr>
        <w:pStyle w:val="Heading2"/>
      </w:pPr>
      <w:r>
        <w:t>The 5 Python tools</w:t>
      </w:r>
    </w:p>
    <w:p>
      <w:r>
        <w:t xml:space="preserve">All are </w:t>
      </w:r>
      <w:r>
        <w:rPr>
          <w:b/>
        </w:rPr>
        <w:t>safe-by-default</w:t>
      </w:r>
      <w:r>
        <w:t xml:space="preserve"> (read-only or dry-run), use the Google Workspace </w:t>
      </w:r>
      <w:r>
        <w:rPr>
          <w:b/>
        </w:rPr>
        <w:t>Admin SDK / Reports / Drive / Groups</w:t>
      </w:r>
      <w:r>
        <w:t xml:space="preserve"> APIs, take least-privilege scopes, and hold </w:t>
      </w:r>
      <w:r>
        <w:rPr>
          <w:b/>
        </w:rPr>
        <w:t>no credentials or keys in code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assess-nist-controls.py</w:t>
            </w:r>
          </w:p>
        </w:tc>
        <w:tc>
          <w:tcPr>
            <w:tcW w:type="dxa" w:w="4320"/>
          </w:tcPr>
          <w:p>
            <w:r>
              <w:t xml:space="preserve">READ-ONLY. Maps the 14 NIST 800-171 families to Workspace settings and emits the </w:t>
            </w:r>
            <w:r>
              <w:rPr>
                <w:rFonts w:ascii="Consolas" w:hAnsi="Consolas"/>
                <w:sz w:val="19"/>
              </w:rPr>
              <w:t>NIST 800-171 – Control Map – Org</w:t>
            </w:r>
            <w:r>
              <w:t xml:space="preserve"> matrix with a status per control (configured / partial / not-configured / manual / verify-edition). </w:t>
            </w:r>
            <w:r>
              <w:rPr>
                <w:rFonts w:ascii="Consolas" w:hAnsi="Consolas"/>
                <w:sz w:val="19"/>
              </w:rPr>
              <w:t>--check-auth</w:t>
            </w:r>
            <w:r>
              <w:t xml:space="preserve"> verifies the credential.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collect-evidence.py</w:t>
            </w:r>
          </w:p>
        </w:tc>
        <w:tc>
          <w:tcPr>
            <w:tcW w:type="dxa" w:w="4320"/>
          </w:tcPr>
          <w:p>
            <w:r>
              <w:t xml:space="preserve">READ-ONLY. Exports configuration state (OU/user/group settings) and operational evidence (audit-log extracts) into a timestamped </w:t>
            </w:r>
            <w:r>
              <w:rPr>
                <w:rFonts w:ascii="Consolas" w:hAnsi="Consolas"/>
                <w:sz w:val="19"/>
              </w:rPr>
              <w:t>Evidence – CUI Boundary – &lt;date&gt;</w:t>
            </w:r>
            <w:r>
              <w:t xml:space="preserve"> package, indexed to the control map.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cui-boundary-check.py</w:t>
            </w:r>
          </w:p>
        </w:tc>
        <w:tc>
          <w:tcPr>
            <w:tcW w:type="dxa" w:w="4320"/>
          </w:tcPr>
          <w:p>
            <w:r>
              <w:t>READ-ONLY. Scans the CUI boundary OU/groups for exposure — external Drive sharing, external/out-of-OU group members — and reports findings by severity (drives boundary tests T1/T2).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generate-ssp-poam.py</w:t>
            </w:r>
          </w:p>
        </w:tc>
        <w:tc>
          <w:tcPr>
            <w:tcW w:type="dxa" w:w="4320"/>
          </w:tcPr>
          <w:p>
            <w:r>
              <w:t xml:space="preserve">Local-only. Drafts the </w:t>
            </w:r>
            <w:r>
              <w:rPr>
                <w:rFonts w:ascii="Consolas" w:hAnsi="Consolas"/>
                <w:sz w:val="19"/>
              </w:rPr>
              <w:t>SSP – CUI Boundary – Org</w:t>
            </w:r>
            <w:r>
              <w:t xml:space="preserve"> (statement per requirement) and </w:t>
            </w:r>
            <w:r>
              <w:rPr>
                <w:rFonts w:ascii="Consolas" w:hAnsi="Consolas"/>
                <w:sz w:val="19"/>
              </w:rPr>
              <w:t>POA&amp;M – CUI Boundary – Org</w:t>
            </w:r>
            <w:r>
              <w:t xml:space="preserve"> (row per open requirement) from the control map, for the compliance owner to review and own.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cui-scope-helper.py</w:t>
            </w:r>
          </w:p>
        </w:tc>
        <w:tc>
          <w:tcPr>
            <w:tcW w:type="dxa" w:w="4320"/>
          </w:tcPr>
          <w:p>
            <w:r>
              <w:t xml:space="preserve">DRY-RUN by default. Plans the named artifacts (boundary OU, pilot group, DLP/sharing/CAA/retention/export names) and the user→OU move list; with </w:t>
            </w:r>
            <w:r>
              <w:rPr>
                <w:rFonts w:ascii="Consolas" w:hAnsi="Consolas"/>
                <w:sz w:val="19"/>
              </w:rPr>
              <w:t>--apply</w:t>
            </w:r>
            <w:r>
              <w:t xml:space="preserve"> performs only the low-risk, reversible scaffolding (create OU + pilot group, move users) — enforcing controls stay piloted/manual.</w:t>
            </w:r>
          </w:p>
        </w:tc>
      </w:tr>
    </w:tbl>
    <w:p>
      <w:pPr>
        <w:pStyle w:val="Heading2"/>
      </w:pPr>
      <w:r>
        <w:t>Outputs you finish with</w:t>
      </w:r>
    </w:p>
    <w:p>
      <w:pPr>
        <w:pStyle w:val="ListBullet"/>
      </w:pPr>
      <w:r>
        <w:t xml:space="preserve">A completed </w:t>
      </w:r>
      <w:r>
        <w:rPr>
          <w:rFonts w:ascii="Consolas" w:hAnsi="Consolas"/>
          <w:sz w:val="19"/>
        </w:rPr>
        <w:t>NIST 800-171 – Control Map – Org</w:t>
      </w:r>
      <w:r>
        <w:t xml:space="preserve"> matrix (control → setting → status → evidence).</w:t>
      </w:r>
    </w:p>
    <w:p>
      <w:pPr>
        <w:pStyle w:val="ListBullet"/>
      </w:pPr>
      <w:r>
        <w:t xml:space="preserve">An indexed </w:t>
      </w:r>
      <w:r>
        <w:rPr>
          <w:rFonts w:ascii="Consolas" w:hAnsi="Consolas"/>
          <w:sz w:val="19"/>
        </w:rPr>
        <w:t>Evidence – CUI Boundary – &lt;date&gt;</w:t>
      </w:r>
      <w:r>
        <w:t xml:space="preserve"> package (configuration + audit-log evidence).</w:t>
      </w:r>
    </w:p>
    <w:p>
      <w:pPr>
        <w:pStyle w:val="ListBullet"/>
      </w:pPr>
      <w:r>
        <w:t xml:space="preserve">A clean </w:t>
      </w:r>
      <w:r>
        <w:rPr>
          <w:b/>
        </w:rPr>
        <w:t>boundary-exposure</w:t>
      </w:r>
      <w:r>
        <w:t xml:space="preserve"> finding set.</w:t>
      </w:r>
    </w:p>
    <w:p>
      <w:pPr>
        <w:pStyle w:val="ListBullet"/>
      </w:pPr>
      <w:r>
        <w:t xml:space="preserve">Reviewed </w:t>
      </w:r>
      <w:r>
        <w:rPr>
          <w:rFonts w:ascii="Consolas" w:hAnsi="Consolas"/>
          <w:sz w:val="19"/>
        </w:rPr>
        <w:t>SSP – CUI Boundary – Org</w:t>
      </w:r>
      <w:r>
        <w:t xml:space="preserve"> and </w:t>
      </w:r>
      <w:r>
        <w:rPr>
          <w:rFonts w:ascii="Consolas" w:hAnsi="Consolas"/>
          <w:sz w:val="19"/>
        </w:rPr>
        <w:t>POA&amp;M – CUI Boundary – Org</w:t>
      </w:r>
      <w:r>
        <w:t xml:space="preserve"> documents.</w:t>
      </w:r>
    </w:p>
    <w:p>
      <w:pPr>
        <w:pStyle w:val="ListBullet"/>
      </w:pPr>
      <w:r>
        <w:t xml:space="preserve">An </w:t>
      </w:r>
      <w:r>
        <w:rPr>
          <w:b/>
        </w:rPr>
        <w:t>assessment-ready</w:t>
      </w:r>
      <w:r>
        <w:t xml:space="preserve"> tenant — configured, evidenced, and handed to your C3PAO/compliance team for</w:t>
      </w:r>
    </w:p>
    <w:p>
      <w:r>
        <w:t xml:space="preserve">  the determination.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assess-nist-controls.py</w:t>
      </w:r>
    </w:p>
    <w:p>
      <w:pPr>
        <w:pStyle w:val="Heading2"/>
      </w:pPr>
      <w:r>
        <w:t>collect-evidence.py</w:t>
      </w:r>
    </w:p>
    <w:p>
      <w:pPr>
        <w:pStyle w:val="Heading2"/>
      </w:pPr>
      <w:r>
        <w:t>cui-boundary-check.py</w:t>
      </w:r>
    </w:p>
    <w:p>
      <w:pPr>
        <w:pStyle w:val="Heading2"/>
      </w:pPr>
      <w:r>
        <w:t>cui-scope-helper.py</w:t>
      </w:r>
    </w:p>
    <w:p>
      <w:pPr>
        <w:pStyle w:val="Heading2"/>
      </w:pPr>
      <w:r>
        <w:t>generate-ssp-poam.py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