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Privacy-Conscious Synthetic Test Environments — De-Identification &amp; Re-ID Risk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AI and QA teams need realistic clinical test data — but test environments built from clinical data must be </w:t>
      </w:r>
      <w:r>
        <w:rPr>
          <w:b/>
        </w:rPr>
        <w:t>privacy-safe</w:t>
      </w:r>
      <w:r>
        <w:t>, and the organization must be able to *prove* it on review. Assertions are not enough; governance needs evidence.</w:t>
      </w:r>
    </w:p>
    <w:p>
      <w:r>
        <w:rPr>
          <w:b/>
        </w:rPr>
        <w:t>Outcome.</w:t>
      </w:r>
      <w:r>
        <w:t xml:space="preserve"> This solution establishes </w:t>
      </w:r>
      <w:r>
        <w:rPr>
          <w:b/>
        </w:rPr>
        <w:t>privacy-conscious test environments</w:t>
      </w:r>
      <w:r>
        <w:t xml:space="preserve"> where the data is </w:t>
      </w:r>
      <w:r>
        <w:rPr>
          <w:b/>
        </w:rPr>
        <w:t>safe by design and defensible on review</w:t>
      </w:r>
      <w:r>
        <w:t xml:space="preserve"> — either de-identified from a governed source or fully synthetic, with </w:t>
      </w:r>
      <w:r>
        <w:rPr>
          <w:b/>
        </w:rPr>
        <w:t>re-identification risk assessed under an agreed threshold</w:t>
      </w:r>
      <w:r>
        <w:t xml:space="preserve"> and the supporting </w:t>
      </w:r>
      <w:r>
        <w:rPr>
          <w:b/>
        </w:rPr>
        <w:t>privacy evidence captured</w:t>
      </w:r>
      <w:r>
        <w:t xml:space="preserve">. AI teams evaluate models and QA exercises systems </w:t>
      </w:r>
      <w:r>
        <w:rPr>
          <w:b/>
        </w:rPr>
        <w:t>without carrying real-PHI exposure into a shared environment</w:t>
      </w:r>
      <w:r>
        <w:t>.</w:t>
      </w:r>
    </w:p>
    <w:p>
      <w:r>
        <w:rPr>
          <w:b/>
        </w:rPr>
        <w:t>Approach.</w:t>
      </w:r>
      <w:r>
        <w:t xml:space="preserve"> A pilot-first method — </w:t>
      </w:r>
      <w:r>
        <w:rPr>
          <w:b/>
        </w:rPr>
        <w:t>Assess → Design → Generate/Build → Validate → Expand</w:t>
      </w:r>
      <w:r>
        <w:t xml:space="preserve"> — with explicit pass/fail gates. It classifies every field (direct identifier / quasi-identifier / sensitive / non-identifying), applies a configurable de-identification or synthesis pipeline, and then measures re-identification risk with </w:t>
      </w:r>
      <w:r>
        <w:rPr>
          <w:b/>
        </w:rPr>
        <w:t>k-anonymity, l-diversity, disclosure-risk, and membership/attribute- inference</w:t>
      </w:r>
      <w:r>
        <w:t xml:space="preserve"> signals against a threshold agreed with privacy. The result is packaged into a structured </w:t>
      </w:r>
      <w:r>
        <w:rPr>
          <w:b/>
        </w:rPr>
        <w:t>evidence record</w:t>
      </w:r>
      <w:r>
        <w:t xml:space="preserve"> — classification → transformation → metric → threshold → result — the artifact governance signs against. Five Python tools automate the work: a PHI-field scanner, a de-identification pipeline, a fidelity/coverage report, a re-ID-risk assessor, and a config/evidence helper — all </w:t>
      </w:r>
      <w:r>
        <w:rPr>
          <w:b/>
        </w:rPr>
        <w:t>safe by default</w:t>
      </w:r>
      <w:r>
        <w:t xml:space="preserve"> (no real PHI written to shared locations; dry-run where they write).</w:t>
      </w:r>
    </w:p>
    <w:p>
      <w:r>
        <w:rPr>
          <w:b/>
        </w:rPr>
        <w:t>Why it is safe.</w:t>
      </w:r>
      <w:r>
        <w:t xml:space="preserve"> Real source data stays read-only and minimized in the privacy-controlled zone; only *released* datasets enter the isolated test environment; any re-identification key is held outside it. Disclosure risk is </w:t>
      </w:r>
      <w:r>
        <w:rPr>
          <w:b/>
        </w:rPr>
        <w:t>measured, not assumed</w:t>
      </w:r>
      <w:r>
        <w:t xml:space="preserve">, and a candidate that fails a gate is rolled back, not released. Critically, the solution keeps a clean separation of duties: engineering produces the </w:t>
      </w:r>
      <w:r>
        <w:rPr>
          <w:b/>
        </w:rPr>
        <w:t>method and evidence</w:t>
      </w:r>
      <w:r>
        <w:t xml:space="preserve">, while the </w:t>
      </w:r>
      <w:r>
        <w:rPr>
          <w:b/>
        </w:rPr>
        <w:t>regulatory determination</w:t>
      </w:r>
      <w:r>
        <w:t xml:space="preserve"> — HIPAA Safe Harbor / Expert Determination, IRB/privacy sign-off, residual-risk acceptance — is </w:t>
      </w:r>
      <w:r>
        <w:rPr>
          <w:b/>
        </w:rPr>
        <w:t>deferred to the organization's privacy, compliance, and legal functions</w:t>
      </w:r>
      <w:r>
        <w:t>. A technical PASS is a signal for that decision, not a substitute for it.</w:t>
      </w:r>
    </w:p>
    <w:p>
      <w:r>
        <w:rPr>
          <w:b/>
        </w:rPr>
        <w:t>Bottom line.</w:t>
      </w:r>
      <w:r>
        <w:t xml:space="preserve"> Test data that is safe by design and defensible on review — de-identified or synthetic, re-ID risk assessed under threshold, evidence captured — so AI teams can evaluate without privacy exposure, and governance can approve with confidence.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solution is</w:t>
      </w:r>
    </w:p>
    <w:p>
      <w:r>
        <w:t xml:space="preserve">Test environments built from clinical data must be </w:t>
      </w:r>
      <w:r>
        <w:rPr>
          <w:b/>
        </w:rPr>
        <w:t>privacy-safe</w:t>
      </w:r>
      <w:r>
        <w:t xml:space="preserve"> — and the organization must be able to *demonstrate* that they are. This solution establishes </w:t>
      </w:r>
      <w:r>
        <w:rPr>
          <w:b/>
        </w:rPr>
        <w:t>privacy-conscious test environments</w:t>
      </w:r>
      <w:r>
        <w:t xml:space="preserve"> for AI and QA teams by combining three things: a </w:t>
      </w:r>
      <w:r>
        <w:rPr>
          <w:b/>
        </w:rPr>
        <w:t>de-identification (and/or synthesis) pipeline</w:t>
      </w:r>
      <w:r>
        <w:t xml:space="preserve">, a </w:t>
      </w:r>
      <w:r>
        <w:rPr>
          <w:b/>
        </w:rPr>
        <w:t>re-identification-risk assessment</w:t>
      </w:r>
      <w:r>
        <w:t xml:space="preserve"> against a documented threshold, and the </w:t>
      </w:r>
      <w:r>
        <w:rPr>
          <w:b/>
        </w:rPr>
        <w:t>privacy evidence</w:t>
      </w:r>
      <w:r>
        <w:t xml:space="preserve"> that governance needs to review and approve the release of the data.</w:t>
      </w:r>
    </w:p>
    <w:p>
      <w:r>
        <w:t xml:space="preserve">The result is test data that is </w:t>
      </w:r>
      <w:r>
        <w:rPr>
          <w:b/>
        </w:rPr>
        <w:t>safe by design and defensible on review</w:t>
      </w:r>
      <w:r>
        <w:t xml:space="preserve"> — either de-identified from a governed source or fully synthetic, with disclosure risk assessed under an agreed threshold and the supporting evidence captured — so AI teams can evaluate models and QA can exercise systems </w:t>
      </w:r>
      <w:r>
        <w:rPr>
          <w:b/>
        </w:rPr>
        <w:t>without carrying real-PHI exposure into a shared test environment</w:t>
      </w:r>
      <w:r>
        <w:t>.</w:t>
      </w:r>
    </w:p>
    <w:p>
      <w:pPr>
        <w:ind w:left="432"/>
      </w:pPr>
      <w:r>
        <w:rPr>
          <w:i/>
          <w:color w:val="2E86C1"/>
        </w:rPr>
        <w:t>Boundary — read this first. This solution provides the technical method and the evidence. It does not make the regulatory or legal determination. Whether a dataset qualifies as de-identified under a given regime (e.g. HIPAA Safe Harbor or Expert Determination), whether the residual disclosure risk is *acceptable*, and whether an IRB/privacy-office sign-off is required — those are decisions for the organization's privacy, compliance, and legal functions. The tools here compute k-anonymity, l-diversity, disclosure-risk and inference signals and package them into an evidence record; a qualified determiner reads that evidence and makes the call. Nothing in this solution should be read as a de-identification certification or legal advice.</w:t>
      </w:r>
    </w:p>
    <w:p>
      <w:pPr>
        <w:pStyle w:val="Heading2"/>
      </w:pPr>
      <w:r>
        <w:t>How it works</w:t>
      </w:r>
    </w:p>
    <w:p>
      <w:r>
        <w:t>The solution treats "privacy-safe test data" as two complementary routes, chosen per dataset with the privacy stakeholders:</w:t>
      </w:r>
    </w:p>
    <w:p>
      <w:pPr>
        <w:pStyle w:val="ListNumber"/>
      </w:pPr>
      <w:r>
        <w:rPr>
          <w:b/>
        </w:rPr>
        <w:t>De-identification route</w:t>
      </w:r>
      <w:r>
        <w:t xml:space="preserve"> — start from a </w:t>
      </w:r>
      <w:r>
        <w:rPr>
          <w:b/>
        </w:rPr>
        <w:t>governed, read-only, minimized</w:t>
      </w:r>
      <w:r>
        <w:t xml:space="preserve"> source extract and</w:t>
      </w:r>
    </w:p>
    <w:p>
      <w:r>
        <w:t xml:space="preserve">   transform it (suppress direct identifiers, generalize quasi-identifiers, and reduce disclosure    risk) until the re-identification-risk assessment passes the agreed threshold. Real source data is    handled only under the organization's privacy controls and is </w:t>
      </w:r>
      <w:r>
        <w:rPr>
          <w:b/>
        </w:rPr>
        <w:t>never</w:t>
      </w:r>
      <w:r>
        <w:t xml:space="preserve"> written into the shared    test environment in identifiable form.</w:t>
      </w:r>
    </w:p>
    <w:p>
      <w:pPr>
        <w:pStyle w:val="ListNumber"/>
      </w:pPr>
      <w:r>
        <w:rPr>
          <w:b/>
        </w:rPr>
        <w:t>Synthesis route</w:t>
      </w:r>
      <w:r>
        <w:t xml:space="preserve"> — generate </w:t>
      </w:r>
      <w:r>
        <w:rPr>
          <w:b/>
        </w:rPr>
        <w:t>fully artificial</w:t>
      </w:r>
      <w:r>
        <w:t xml:space="preserve"> records against a target clinical data model</w:t>
      </w:r>
    </w:p>
    <w:p>
      <w:r>
        <w:t xml:space="preserve">   (e.g. FHIR / OMOP CDM / the source schema) so no real individual's record is present at all. The    same risk assessment is still run to check for memorization/leakage (e.g. membership or attribute    inference) before release.</w:t>
      </w:r>
    </w:p>
    <w:p>
      <w:r>
        <w:t xml:space="preserve">Both routes converge on the same </w:t>
      </w:r>
      <w:r>
        <w:rPr>
          <w:b/>
        </w:rPr>
        <w:t>evidence record</w:t>
      </w:r>
      <w:r>
        <w:t>: the classification of every field, the transformations applied, the risk metrics computed, the threshold they were measured against, and the pass/fail result — the artifact governance signs against.</w:t>
      </w:r>
    </w:p>
    <w:p>
      <w:pPr>
        <w:pStyle w:val="Heading3"/>
      </w:pPr>
      <w:r>
        <w:t>Target model</w:t>
      </w:r>
    </w:p>
    <w:p>
      <w:r>
        <w:t xml:space="preserve">Where the solution touches a schema, it works against whatever </w:t>
      </w:r>
      <w:r>
        <w:rPr>
          <w:b/>
        </w:rPr>
        <w:t>clinical data model / standard</w:t>
      </w:r>
      <w:r>
        <w:t xml:space="preserve"> the AI/QA teams have selected as in scope —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native schema. The scripts are model-agnostic (they operate on tabular exports / column classifications), so the same pipeline serves whichever target the organization documents in requirements.</w:t>
      </w:r>
    </w:p>
    <w:p>
      <w:pPr>
        <w:pStyle w:val="Heading2"/>
      </w:pPr>
      <w:r>
        <w:t>The deployment model — Assess → Design → Generate/Build → Validate → Expand</w:t>
      </w:r>
    </w:p>
    <w:p>
      <w:r>
        <w:t>Every solution in this category follows the same pilot-first model with explicit pass/fail gates and a documented rollback:</w:t>
      </w:r>
    </w:p>
    <w:p>
      <w:pPr>
        <w:pStyle w:val="ListBullet"/>
      </w:pPr>
      <w:r>
        <w:rPr>
          <w:b/>
        </w:rPr>
        <w:t>Assess</w:t>
      </w:r>
      <w:r>
        <w:t xml:space="preserve"> — profile a governed sample; classify each field (direct identifier / quasi-identifier /</w:t>
      </w:r>
    </w:p>
    <w:p>
      <w:r>
        <w:t xml:space="preserve">  sensitive attribute / non-identifying); agree the </w:t>
      </w:r>
      <w:r>
        <w:rPr>
          <w:b/>
        </w:rPr>
        <w:t>disclosure-risk threshold</w:t>
      </w:r>
      <w:r>
        <w:t xml:space="preserve"> and route   (de-identify vs. synthesize) with the privacy stakeholders.</w:t>
      </w:r>
    </w:p>
    <w:p>
      <w:pPr>
        <w:pStyle w:val="ListBullet"/>
      </w:pPr>
      <w:r>
        <w:rPr>
          <w:b/>
        </w:rPr>
        <w:t>Design</w:t>
      </w:r>
      <w:r>
        <w:t xml:space="preserve"> — define the </w:t>
      </w:r>
      <w:r>
        <w:rPr>
          <w:b/>
        </w:rPr>
        <w:t>De-Identification Pipeline – Pilot – v1</w:t>
      </w:r>
      <w:r>
        <w:t>: the per-field transformation</w:t>
      </w:r>
    </w:p>
    <w:p>
      <w:r>
        <w:t xml:space="preserve">  policy (suppression, generalization, date shifting, pseudonymization) and the risk metrics + target   threshold that will gate release.</w:t>
      </w:r>
    </w:p>
    <w:p>
      <w:pPr>
        <w:pStyle w:val="ListBullet"/>
      </w:pPr>
      <w:r>
        <w:rPr>
          <w:b/>
        </w:rPr>
        <w:t>Generate / Build</w:t>
      </w:r>
      <w:r>
        <w:t xml:space="preserve"> — run the pipeline (or the synthesizer) against the pilot scope to produce the</w:t>
      </w:r>
    </w:p>
    <w:p>
      <w:r>
        <w:t xml:space="preserve">  candidate test dataset in the isolated environment.</w:t>
      </w:r>
    </w:p>
    <w:p>
      <w:pPr>
        <w:pStyle w:val="ListBullet"/>
      </w:pPr>
      <w:r>
        <w:rPr>
          <w:b/>
        </w:rPr>
        <w:t>Validate</w:t>
      </w:r>
      <w:r>
        <w:t xml:space="preserve"> — run the </w:t>
      </w:r>
      <w:r>
        <w:rPr>
          <w:b/>
        </w:rPr>
        <w:t>Re-ID Risk Assessment</w:t>
      </w:r>
      <w:r>
        <w:t xml:space="preserve"> and the </w:t>
      </w:r>
      <w:r>
        <w:rPr>
          <w:b/>
        </w:rPr>
        <w:t>fidelity/coverage</w:t>
      </w:r>
      <w:r>
        <w:t xml:space="preserve"> checks; compare to</w:t>
      </w:r>
    </w:p>
    <w:p>
      <w:r>
        <w:t xml:space="preserve">  the pass/fail gates; capture the </w:t>
      </w:r>
      <w:r>
        <w:rPr>
          <w:b/>
        </w:rPr>
        <w:t>Privacy Evidence Record</w:t>
      </w:r>
      <w:r>
        <w:t xml:space="preserve">. If a gate fails, </w:t>
      </w:r>
      <w:r>
        <w:rPr>
          <w:b/>
        </w:rPr>
        <w:t>roll back</w:t>
      </w:r>
      <w:r>
        <w:t xml:space="preserve"> (do not   release) and tighten the policy.</w:t>
      </w:r>
    </w:p>
    <w:p>
      <w:pPr>
        <w:pStyle w:val="ListBullet"/>
      </w:pPr>
      <w:r>
        <w:rPr>
          <w:b/>
        </w:rPr>
        <w:t>Expand</w:t>
      </w:r>
      <w:r>
        <w:t xml:space="preserve"> — only after the pilot passes and privacy/governance signs the evidence, widen scope to</w:t>
      </w:r>
    </w:p>
    <w:p>
      <w:r>
        <w:t xml:space="preserve">  further domains or service lines, re-running the same gates each time.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Defensible on review</w:t>
      </w:r>
      <w:r>
        <w:t xml:space="preserve"> — governance receives a structured evidence record (classification →</w:t>
      </w:r>
    </w:p>
    <w:p>
      <w:r>
        <w:t xml:space="preserve">  transformation → risk metric → threshold → result), not an assertion.</w:t>
      </w:r>
    </w:p>
    <w:p>
      <w:pPr>
        <w:pStyle w:val="ListBullet"/>
      </w:pPr>
      <w:r>
        <w:rPr>
          <w:b/>
        </w:rPr>
        <w:t>Safe by design</w:t>
      </w:r>
      <w:r>
        <w:t xml:space="preserve"> — the isolated environment never receives identifiable real PHI; disclosure risk</w:t>
      </w:r>
    </w:p>
    <w:p>
      <w:r>
        <w:t xml:space="preserve">  is measured, not assumed.</w:t>
      </w:r>
    </w:p>
    <w:p>
      <w:pPr>
        <w:pStyle w:val="ListBullet"/>
      </w:pPr>
      <w:r>
        <w:rPr>
          <w:b/>
        </w:rPr>
        <w:t>Repeatable</w:t>
      </w:r>
      <w:r>
        <w:t xml:space="preserve"> — the pipeline and thresholds are captured as config, so the same discipline applies</w:t>
      </w:r>
    </w:p>
    <w:p>
      <w:r>
        <w:t xml:space="preserve">  every time scope expands.</w:t>
      </w:r>
    </w:p>
    <w:p>
      <w:pPr>
        <w:pStyle w:val="ListBullet"/>
      </w:pPr>
      <w:r>
        <w:rPr>
          <w:b/>
        </w:rPr>
        <w:t>Separation of duties</w:t>
      </w:r>
      <w:r>
        <w:t xml:space="preserve"> — engineering produces method + evidence; the privacy/legal function owns</w:t>
      </w:r>
    </w:p>
    <w:p>
      <w:r>
        <w:t xml:space="preserve">  the determination. The two are cleanly decoupled.</w:t>
      </w:r>
    </w:p>
    <w:p>
      <w:pPr>
        <w:pStyle w:val="Heading2"/>
      </w:pPr>
      <w:r>
        <w:t>Limitations (read honestly)</w:t>
      </w:r>
    </w:p>
    <w:p>
      <w:pPr>
        <w:pStyle w:val="ListBullet"/>
      </w:pPr>
      <w:r>
        <w:rPr>
          <w:b/>
        </w:rPr>
        <w:t>Not a legal determination.</w:t>
      </w:r>
      <w:r>
        <w:t xml:space="preserve"> Passing the threshold is a *technical* signal; the regulatory call</w:t>
      </w:r>
    </w:p>
    <w:p>
      <w:r>
        <w:t xml:space="preserve">  belongs to privacy/compliance/legal.</w:t>
      </w:r>
    </w:p>
    <w:p>
      <w:pPr>
        <w:pStyle w:val="ListBullet"/>
      </w:pPr>
      <w:r>
        <w:rPr>
          <w:b/>
        </w:rPr>
        <w:t>Risk is never zero.</w:t>
      </w:r>
      <w:r>
        <w:t xml:space="preserve"> k-anonymity, l-diversity and disclosure-risk metrics reduce and *quantify*</w:t>
      </w:r>
    </w:p>
    <w:p>
      <w:r>
        <w:t xml:space="preserve">  risk; they do not eliminate it. Residual-risk acceptance is a governance decision.</w:t>
      </w:r>
    </w:p>
    <w:p>
      <w:pPr>
        <w:pStyle w:val="ListBullet"/>
      </w:pPr>
      <w:r>
        <w:rPr>
          <w:b/>
        </w:rPr>
        <w:t>Metrics depend on correct classification.</w:t>
      </w:r>
      <w:r>
        <w:t xml:space="preserve"> If a quasi-identifier is misclassified as</w:t>
      </w:r>
    </w:p>
    <w:p>
      <w:r>
        <w:t xml:space="preserve">  non-identifying, the risk assessment understates exposure — classification review is part of the   method.</w:t>
      </w:r>
    </w:p>
    <w:p>
      <w:pPr>
        <w:pStyle w:val="ListBullet"/>
      </w:pPr>
      <w:r>
        <w:rPr>
          <w:b/>
        </w:rPr>
        <w:t>Fidelity vs. privacy is a trade-off.</w:t>
      </w:r>
      <w:r>
        <w:t xml:space="preserve"> Stronger generalization lowers re-ID risk but reduces</w:t>
      </w:r>
    </w:p>
    <w:p>
      <w:r>
        <w:t xml:space="preserve">  analytic utility; the pilot exists to find an acceptable point on that curve.</w:t>
      </w:r>
    </w:p>
    <w:p>
      <w:pPr>
        <w:pStyle w:val="ListBullet"/>
      </w:pPr>
      <w:r>
        <w:rPr>
          <w:b/>
        </w:rPr>
        <w:t>Vendor specifics are deferred.</w:t>
      </w:r>
      <w:r>
        <w:t xml:space="preserve"> Where a commercial synthesizer or de-identification platform is</w:t>
      </w:r>
    </w:p>
    <w:p>
      <w:r>
        <w:t xml:space="preserve">  used, verify version-specific behavior against the vendor's documentation; this solution integrates   such tools at the pattern level.</w:t>
      </w:r>
    </w:p>
    <w:p>
      <w:pPr>
        <w:pStyle w:val="Heading1"/>
      </w:pPr>
      <w:r>
        <w:t>Requirements</w:t>
      </w:r>
    </w:p>
    <w:p>
      <w:r>
        <w:t xml:space="preserve">This solution builds on the six </w:t>
      </w:r>
      <w:r>
        <w:rPr>
          <w:b/>
        </w:rPr>
        <w:t>category-wide</w:t>
      </w:r>
      <w:r>
        <w:t xml:space="preserve"> prerequisites in </w:t>
      </w:r>
      <w:r>
        <w:rPr>
          <w:rFonts w:ascii="Consolas" w:hAnsi="Consolas"/>
          <w:sz w:val="19"/>
        </w:rPr>
        <w:t>global-requirements-synthetic.md</w:t>
      </w:r>
      <w:r>
        <w:t xml:space="preserve"> (a Python data environment, a target clinical data model, an isolated non-production environment, privacy/governance stakeholders and policy, AI/QA use cases and a pilot scope, and read-only/minimized reference access for fidelity). </w:t>
      </w:r>
      <w:r>
        <w:rPr>
          <w:b/>
        </w:rPr>
        <w:t>Verify those six first</w:t>
      </w:r>
      <w:r>
        <w:t xml:space="preserve"> — they are not repeated here.</w:t>
      </w:r>
    </w:p>
    <w:p>
      <w:r>
        <w:t xml:space="preserve">Below are the prerequisites </w:t>
      </w:r>
      <w:r>
        <w:rPr>
          <w:b/>
        </w:rPr>
        <w:t>specific to privacy-conscious de-identification and re-ID-risk work</w:t>
      </w:r>
      <w:r>
        <w:t>. Confirm each before running the implementation steps.</w:t>
      </w:r>
    </w:p>
    <w:p>
      <w:r>
        <w:t>__________________________________________________</w:t>
      </w:r>
    </w:p>
    <w:p>
      <w:pPr>
        <w:pStyle w:val="Heading2"/>
      </w:pPr>
      <w:r>
        <w:t>S1. A documented field classification for the in-scope dataset</w:t>
      </w:r>
    </w:p>
    <w:p>
      <w:pPr>
        <w:pStyle w:val="ListBullet"/>
      </w:pPr>
      <w:r>
        <w:rPr>
          <w:b/>
        </w:rPr>
        <w:t>Description:</w:t>
      </w:r>
      <w:r>
        <w:t xml:space="preserve"> A per-field classification of the in-scope dataset into </w:t>
      </w:r>
      <w:r>
        <w:rPr>
          <w:b/>
        </w:rPr>
        <w:t>direct identifiers</w:t>
      </w:r>
    </w:p>
    <w:p>
      <w:r>
        <w:t xml:space="preserve">  (name, MRN, SSN, contact details), </w:t>
      </w:r>
      <w:r>
        <w:rPr>
          <w:b/>
        </w:rPr>
        <w:t>quasi-identifiers</w:t>
      </w:r>
      <w:r>
        <w:t xml:space="preserve"> (dates, ZIP/geography, age, sex, admission   dates — the fields that combine to re-identify), </w:t>
      </w:r>
      <w:r>
        <w:rPr>
          <w:b/>
        </w:rPr>
        <w:t>sensitive attributes</w:t>
      </w:r>
      <w:r>
        <w:t xml:space="preserve"> (diagnoses, procedures,   results the disclosure of which is the harm), and </w:t>
      </w:r>
      <w:r>
        <w:rPr>
          <w:b/>
        </w:rPr>
        <w:t>non-identifying</w:t>
      </w:r>
      <w:r>
        <w:t xml:space="preserve"> fields. This becomes the   artifact </w:t>
      </w:r>
      <w:r>
        <w:rPr>
          <w:b/>
        </w:rPr>
        <w:t>Field Classification – Pilot – v1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Every downstream metric depends on it — quasi-identifiers drive k-anonymity,</w:t>
      </w:r>
    </w:p>
    <w:p>
      <w:r>
        <w:t xml:space="preserve">  sensitive attributes drive l-diversity, direct identifiers drive suppression. A misclassified field   silently invalidates the risk assessment.</w:t>
      </w:r>
    </w:p>
    <w:p>
      <w:pPr>
        <w:pStyle w:val="ListBullet"/>
      </w:pPr>
      <w:r>
        <w:rPr>
          <w:b/>
        </w:rPr>
        <w:t>How to verify:</w:t>
      </w:r>
      <w:r>
        <w:t xml:space="preserve"> Confirm every column in the pilot extract has exactly one classification and that</w:t>
      </w:r>
    </w:p>
    <w:p>
      <w:r>
        <w:t xml:space="preserve">  the privacy stakeholder has reviewed the quasi-identifier list (the highest-leverage call).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Run the profiling/classification tool (</w:t>
      </w:r>
      <w:r>
        <w:rPr>
          <w:rFonts w:ascii="Consolas" w:hAnsi="Consolas"/>
          <w:sz w:val="19"/>
        </w:rPr>
        <w:t>phi_field_scanner.py</w:t>
      </w:r>
      <w:r>
        <w:t>) to</w:t>
      </w:r>
    </w:p>
    <w:p>
      <w:r>
        <w:t xml:space="preserve">  produce a </w:t>
      </w:r>
      <w:r>
        <w:rPr>
          <w:b/>
        </w:rPr>
        <w:t>draft</w:t>
      </w:r>
      <w:r>
        <w:t xml:space="preserve"> classification, then have the privacy stakeholder review and correct it. The   scanner *suggests*; the human decides.</w:t>
      </w:r>
    </w:p>
    <w:p>
      <w:pPr>
        <w:pStyle w:val="Heading2"/>
      </w:pPr>
      <w:r>
        <w:t>S2. An agreed disclosure-risk threshold (the release gate)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quantitative threshold</w:t>
      </w:r>
      <w:r>
        <w:t xml:space="preserve"> the dataset must meet to be releasable into the test</w:t>
      </w:r>
    </w:p>
    <w:p>
      <w:r>
        <w:t xml:space="preserve">  environment — e.g. a minimum </w:t>
      </w:r>
      <w:r>
        <w:rPr>
          <w:b/>
        </w:rPr>
        <w:t>k</w:t>
      </w:r>
      <w:r>
        <w:t xml:space="preserve"> (equivalence-class size), a minimum </w:t>
      </w:r>
      <w:r>
        <w:rPr>
          <w:b/>
        </w:rPr>
        <w:t>l</w:t>
      </w:r>
      <w:r>
        <w:t xml:space="preserve"> (distinct sensitive   values per class), and/or a maximum acceptable </w:t>
      </w:r>
      <w:r>
        <w:rPr>
          <w:b/>
        </w:rPr>
        <w:t>disclosure-risk</w:t>
      </w:r>
      <w:r>
        <w:t xml:space="preserve"> proportion — agreed with privacy   and recorded as </w:t>
      </w:r>
      <w:r>
        <w:rPr>
          <w:b/>
        </w:rPr>
        <w:t>Risk Threshold – Pilot – v1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"Safe" must be defined as a number *before* generating, or the validation gate is</w:t>
      </w:r>
    </w:p>
    <w:p>
      <w:r>
        <w:t xml:space="preserve">  subjective. The threshold is a governance decision the method measures against.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threshold values and their owner are written down and approved.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Facilitate the threshold decision with privacy/compliance (the</w:t>
      </w:r>
    </w:p>
    <w:p>
      <w:r>
        <w:t xml:space="preserve">  solution provides the method to measure against it; it does </w:t>
      </w:r>
      <w:r>
        <w:rPr>
          <w:b/>
        </w:rPr>
        <w:t>not</w:t>
      </w:r>
      <w:r>
        <w:t xml:space="preserve"> set the number).</w:t>
      </w:r>
    </w:p>
    <w:p>
      <w:pPr>
        <w:pStyle w:val="Heading2"/>
      </w:pPr>
      <w:r>
        <w:t>S3. A governed, read-only, minimized source extract (de-identification route only)</w:t>
      </w:r>
    </w:p>
    <w:p>
      <w:pPr>
        <w:pStyle w:val="ListBullet"/>
      </w:pPr>
      <w:r>
        <w:rPr>
          <w:b/>
        </w:rPr>
        <w:t>Description:</w:t>
      </w:r>
      <w:r>
        <w:t xml:space="preserve"> Where the route is </w:t>
      </w:r>
      <w:r>
        <w:rPr>
          <w:b/>
        </w:rPr>
        <w:t>de-identification</w:t>
      </w:r>
      <w:r>
        <w:t xml:space="preserve"> (not pure synthesis), a **minimized,</w:t>
      </w:r>
    </w:p>
    <w:p>
      <w:r>
        <w:t xml:space="preserve">  read-only</w:t>
      </w:r>
      <w:r>
        <w:rPr>
          <w:b/>
        </w:rPr>
        <w:t xml:space="preserve"> extract of the real source — only the in-scope fields, only the pilot cohort — obtained   and handled under the organization's privacy controls, staged </w:t>
      </w:r>
      <w:r>
        <w:t>outside** the shared test   environment.</w:t>
      </w:r>
    </w:p>
    <w:p>
      <w:pPr>
        <w:pStyle w:val="ListBullet"/>
      </w:pPr>
      <w:r>
        <w:rPr>
          <w:b/>
        </w:rPr>
        <w:t>Why required:</w:t>
      </w:r>
      <w:r>
        <w:t xml:space="preserve"> You cannot de-identify data you cannot read; but real data must never enter the</w:t>
      </w:r>
    </w:p>
    <w:p>
      <w:r>
        <w:t xml:space="preserve">  shared harness in identifiable form. The extract is the *input* to the pipeline, not a test artifact.</w:t>
      </w:r>
    </w:p>
    <w:p>
      <w:pPr>
        <w:pStyle w:val="ListBullet"/>
      </w:pPr>
      <w:r>
        <w:rPr>
          <w:b/>
        </w:rPr>
        <w:t>How to verify:</w:t>
      </w:r>
      <w:r>
        <w:t xml:space="preserve"> Confirm the extract is minimized, read-only, access-logged, and staged in the</w:t>
      </w:r>
    </w:p>
    <w:p>
      <w:r>
        <w:t xml:space="preserve">  privacy-controlled zone — not the AI/QA test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Request the minimized extract through the governed data-access</w:t>
      </w:r>
    </w:p>
    <w:p>
      <w:r>
        <w:t xml:space="preserve">  process; if it cannot be obtained, use the </w:t>
      </w:r>
      <w:r>
        <w:rPr>
          <w:b/>
        </w:rPr>
        <w:t>synthesis route</w:t>
      </w:r>
      <w:r>
        <w:t xml:space="preserve"> instead.</w:t>
      </w:r>
    </w:p>
    <w:p>
      <w:pPr>
        <w:pStyle w:val="Heading2"/>
      </w:pPr>
      <w:r>
        <w:t>S4. A pseudonymization / key-management decision</w:t>
      </w:r>
    </w:p>
    <w:p>
      <w:pPr>
        <w:pStyle w:val="ListBullet"/>
      </w:pPr>
      <w:r>
        <w:rPr>
          <w:b/>
        </w:rPr>
        <w:t>Description:</w:t>
      </w:r>
      <w:r>
        <w:t xml:space="preserve"> A decision on how direct identifiers are handled — </w:t>
      </w:r>
      <w:r>
        <w:rPr>
          <w:b/>
        </w:rPr>
        <w:t>suppressed/dropped</w:t>
      </w:r>
      <w:r>
        <w:t xml:space="preserve"> vs.</w:t>
      </w:r>
    </w:p>
    <w:p>
      <w:r>
        <w:t xml:space="preserve">  </w:t>
      </w:r>
      <w:r>
        <w:rPr>
          <w:b/>
        </w:rPr>
        <w:t>pseudonymized</w:t>
      </w:r>
      <w:r>
        <w:t xml:space="preserve"> with a mapping key — and, if a key exists, </w:t>
      </w:r>
      <w:r>
        <w:rPr>
          <w:b/>
        </w:rPr>
        <w:t>where it is held, who controls it,   and that it never enters the test environment</w:t>
      </w:r>
      <w:r>
        <w:t xml:space="preserve">. Recorded as part of </w:t>
      </w:r>
      <w:r>
        <w:rPr>
          <w:b/>
        </w:rPr>
        <w:t>De-Identification Pipeline –   Pilot – v1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A re-identification key stored alongside "de-identified" data defeats the entire</w:t>
      </w:r>
    </w:p>
    <w:p>
      <w:r>
        <w:t xml:space="preserve">  exercise; this must be an explicit, governed decision, not a default.</w:t>
      </w:r>
    </w:p>
    <w:p>
      <w:pPr>
        <w:pStyle w:val="ListBullet"/>
      </w:pPr>
      <w:r>
        <w:rPr>
          <w:b/>
        </w:rPr>
        <w:t>How to verify:</w:t>
      </w:r>
      <w:r>
        <w:t xml:space="preserve"> Confirm the handling choice per direct identifier and, if pseudonymized, that the</w:t>
      </w:r>
    </w:p>
    <w:p>
      <w:r>
        <w:t xml:space="preserve">  key custody is documented and segregated from the test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Default to </w:t>
      </w:r>
      <w:r>
        <w:rPr>
          <w:b/>
        </w:rPr>
        <w:t>suppression</w:t>
      </w:r>
      <w:r>
        <w:t xml:space="preserve"> unless a governed re-linkage need is</w:t>
      </w:r>
    </w:p>
    <w:p>
      <w:r>
        <w:t xml:space="preserve">  documented; if pseudonymized, place the key under the privacy function's custody.</w:t>
      </w:r>
    </w:p>
    <w:p>
      <w:pPr>
        <w:pStyle w:val="Heading2"/>
      </w:pPr>
      <w:r>
        <w:t>S5. An evidence destination and retention decision</w:t>
      </w:r>
    </w:p>
    <w:p>
      <w:pPr>
        <w:pStyle w:val="ListBullet"/>
      </w:pPr>
      <w:r>
        <w:rPr>
          <w:b/>
        </w:rPr>
        <w:t>Description:</w:t>
      </w:r>
      <w:r>
        <w:t xml:space="preserve"> Where the </w:t>
      </w:r>
      <w:r>
        <w:rPr>
          <w:b/>
        </w:rPr>
        <w:t>Privacy Evidence Record</w:t>
      </w:r>
      <w:r>
        <w:t xml:space="preserve"> is stored, who can read it, and how long it is</w:t>
      </w:r>
    </w:p>
    <w:p>
      <w:r>
        <w:t xml:space="preserve">  retained — the audit trail governance will consult on review and on any future challenge.</w:t>
      </w:r>
    </w:p>
    <w:p>
      <w:pPr>
        <w:pStyle w:val="ListBullet"/>
      </w:pPr>
      <w:r>
        <w:rPr>
          <w:b/>
        </w:rPr>
        <w:t>Why required:</w:t>
      </w:r>
      <w:r>
        <w:t xml:space="preserve"> The evidence is the deliverable governance signs against; it must be durable,</w:t>
      </w:r>
    </w:p>
    <w:p>
      <w:r>
        <w:t xml:space="preserve">  attributable, and findable — not a transient file in the test environment.</w:t>
      </w:r>
    </w:p>
    <w:p>
      <w:pPr>
        <w:pStyle w:val="ListBullet"/>
      </w:pPr>
      <w:r>
        <w:rPr>
          <w:b/>
        </w:rPr>
        <w:t>How to verify:</w:t>
      </w:r>
      <w:r>
        <w:t xml:space="preserve"> Confirm the evidence store, its access controls, and the retention period.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a governed evidence location (the reporting tool writes the</w:t>
      </w:r>
    </w:p>
    <w:p>
      <w:r>
        <w:t xml:space="preserve">  record; the organization owns where it lands).</w:t>
      </w:r>
    </w:p>
    <w:p>
      <w:pPr>
        <w:pStyle w:val="Heading1"/>
      </w:pPr>
      <w:r>
        <w:t>Global Requirements — Synthetic Data &amp; AI Test-Enablement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Synthetic</w:t>
      </w:r>
      <w:r>
        <w:t xml:space="preserve"> category (synthetic clinical data, hospital-twin simulation, and safe AI test enablement). Verify each before starting a solution's steps.</w:t>
      </w:r>
    </w:p>
    <w:p>
      <w:pPr>
        <w:ind w:left="432"/>
      </w:pPr>
      <w:r>
        <w:rPr>
          <w:i/>
          <w:color w:val="2E86C1"/>
        </w:rPr>
        <w:t>Safety, vendor &amp; regulatory boundary (applies to every Synthetic solution). These solutions generate and validate synthetic (artificial) data and run in isolated non-production test environments. Never place real Protected Health Information (PHI) into a shared synthetic harness, twin, or AI test environment — where real data is touched at all it is read-only, minimized, and handled under the governing privacy controls. Synthetic-data and digital-twin tools (e.g. Synthea, and commercial platforms) and AI/model frameworks are integrated at the pattern/architectural level; specific vendor console internals are cited or deferred to that vendor's documentation, never invented. Regulatory and legal interpretation (HIPAA/HITRUST de-identification determinations, IRB/privacy-office sign-off, disclosure risk acceptance, and any ITAR/NERC/NRC or contract constraints) is deferred to the organization's privacy, compliance, and legal functions — the solutions provide the technical method and evidence, not legal determinations.</w:t>
      </w:r>
    </w:p>
    <w:p>
      <w:pPr>
        <w:pStyle w:val="Heading2"/>
      </w:pPr>
      <w:r>
        <w:t>1. A Python data/engineering environment</w:t>
      </w:r>
    </w:p>
    <w:p>
      <w:pPr>
        <w:pStyle w:val="ListBullet"/>
      </w:pPr>
      <w:r>
        <w:rPr>
          <w:b/>
        </w:rPr>
        <w:t>Description:</w:t>
      </w:r>
      <w:r>
        <w:t xml:space="preserve"> A supported </w:t>
      </w:r>
      <w:r>
        <w:rPr>
          <w:b/>
        </w:rPr>
        <w:t>Python</w:t>
      </w:r>
      <w:r>
        <w:t xml:space="preserve"> environment (e.g. 3.10+) with the standard data toolchain</w:t>
      </w:r>
    </w:p>
    <w:p>
      <w:r>
        <w:t xml:space="preserve">  (data frames, statistics, and the synthetic-data / validation libraries the solution uses).</w:t>
      </w:r>
    </w:p>
    <w:p>
      <w:pPr>
        <w:pStyle w:val="ListBullet"/>
      </w:pPr>
      <w:r>
        <w:rPr>
          <w:b/>
        </w:rPr>
        <w:t>Why required:</w:t>
      </w:r>
      <w:r>
        <w:t xml:space="preserve"> The automation and reusable assets are authored in Python (generation,</w:t>
      </w:r>
    </w:p>
    <w:p>
      <w:r>
        <w:t xml:space="preserve">  de-identification, fidelity/utility metrics, scenario runners).</w:t>
      </w:r>
    </w:p>
    <w:p>
      <w:pPr>
        <w:pStyle w:val="ListBullet"/>
      </w:pPr>
      <w:r>
        <w:rPr>
          <w:b/>
        </w:rPr>
        <w:t>How to verify:</w:t>
      </w:r>
      <w:r>
        <w:t xml:space="preserve"> Confirm Python + the required packages install and run in the target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environment and install dependencies before starting.</w:t>
      </w:r>
    </w:p>
    <w:p>
      <w:pPr>
        <w:pStyle w:val="Heading2"/>
      </w:pPr>
      <w:r>
        <w:t>2. A target clinical data model / standard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clinical data model or interoperability standard</w:t>
      </w:r>
      <w:r>
        <w:t xml:space="preserve"> to generate against —</w:t>
      </w:r>
    </w:p>
    <w:p>
      <w:r>
        <w:t xml:space="preserve">  e.g.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own schema — plus the fields/domains in scope   (patients, encounters, conditions, medications, labs, vitals, notes, etc.).</w:t>
      </w:r>
    </w:p>
    <w:p>
      <w:pPr>
        <w:pStyle w:val="ListBullet"/>
      </w:pPr>
      <w:r>
        <w:rPr>
          <w:b/>
        </w:rPr>
        <w:t>Why required:</w:t>
      </w:r>
      <w:r>
        <w:t xml:space="preserve"> Realistic synthetic data and a credible hospital twin require a target schema and</w:t>
      </w:r>
    </w:p>
    <w:p>
      <w:r>
        <w:t xml:space="preserve">  clinically plausible relationships; validation is measured against it.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model/standard and the in-scope domains with the AI/QA teams.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Select and document the target model before generating.</w:t>
      </w:r>
    </w:p>
    <w:p>
      <w:pPr>
        <w:pStyle w:val="Heading2"/>
      </w:pPr>
      <w:r>
        <w:t>3. An isolated non-production test environment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segregated, non-production</w:t>
      </w:r>
      <w:r>
        <w:t xml:space="preserve"> environment (compute + storage) for the synthetic</w:t>
      </w:r>
    </w:p>
    <w:p>
      <w:r>
        <w:t xml:space="preserve">  harness, hospital twin, and AI test runs — separate from production and from real-PHI systems.</w:t>
      </w:r>
    </w:p>
    <w:p>
      <w:pPr>
        <w:pStyle w:val="ListBullet"/>
      </w:pPr>
      <w:r>
        <w:rPr>
          <w:b/>
        </w:rPr>
        <w:t>Why required:</w:t>
      </w:r>
      <w:r>
        <w:t xml:space="preserve"> Safe evaluation of AI solutions before broader adoption depends on isolation; it</w:t>
      </w:r>
    </w:p>
    <w:p>
      <w:r>
        <w:t xml:space="preserve">  also bounds any residual disclosure risk.</w:t>
      </w:r>
    </w:p>
    <w:p>
      <w:pPr>
        <w:pStyle w:val="ListBullet"/>
      </w:pPr>
      <w:r>
        <w:rPr>
          <w:b/>
        </w:rPr>
        <w:t>How to verify:</w:t>
      </w:r>
      <w:r>
        <w:t xml:space="preserve"> Confirm the environment is isolated, access-controlled, and not connected to</w:t>
      </w:r>
    </w:p>
    <w:p>
      <w:r>
        <w:t xml:space="preserve">  production PHI stores.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the isolated environment before running.</w:t>
      </w:r>
    </w:p>
    <w:p>
      <w:pPr>
        <w:pStyle w:val="Heading2"/>
      </w:pPr>
      <w:r>
        <w:t>4. Privacy, governance &amp; compliance stakeholders and policy</w:t>
      </w:r>
    </w:p>
    <w:p>
      <w:pPr>
        <w:pStyle w:val="ListBullet"/>
      </w:pPr>
      <w:r>
        <w:rPr>
          <w:b/>
        </w:rPr>
        <w:t>Description:</w:t>
      </w:r>
      <w:r>
        <w:t xml:space="preserve"> The governing </w:t>
      </w:r>
      <w:r>
        <w:rPr>
          <w:b/>
        </w:rPr>
        <w:t>privacy, data-governance, and compliance</w:t>
      </w:r>
      <w:r>
        <w:t xml:space="preserve"> policies and the named</w:t>
      </w:r>
    </w:p>
    <w:p>
      <w:r>
        <w:t xml:space="preserve">  stakeholders (privacy officer, security, and — where real source data or de-identification claims are   involved — IRB/legal) whose requirements the work must satisfy.</w:t>
      </w:r>
    </w:p>
    <w:p>
      <w:pPr>
        <w:pStyle w:val="ListBullet"/>
      </w:pPr>
      <w:r>
        <w:rPr>
          <w:b/>
        </w:rPr>
        <w:t>Why required:</w:t>
      </w:r>
      <w:r>
        <w:t xml:space="preserve"> Regulated healthcare data constraints, de-identification acceptance, and enterprise</w:t>
      </w:r>
    </w:p>
    <w:p>
      <w:r>
        <w:t xml:space="preserve">  data governance are policy decisions the technical method must align to, not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disclosure-risk threshold, and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policies and stakeholders before generating or</w:t>
      </w:r>
    </w:p>
    <w:p>
      <w:r>
        <w:t xml:space="preserve">  releasing test data.</w:t>
      </w:r>
    </w:p>
    <w:p>
      <w:pPr>
        <w:pStyle w:val="Heading2"/>
      </w:pPr>
      <w:r>
        <w:t>5. AI/QA use cases and a pilot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AI use cases and QA scenarios</w:t>
      </w:r>
      <w:r>
        <w:t xml:space="preserve"> the synthetic data / twin must support, and a</w:t>
      </w:r>
    </w:p>
    <w:p>
      <w:r>
        <w:t xml:space="preserve">  </w:t>
      </w:r>
      <w:r>
        <w:rPr>
          <w:b/>
        </w:rPr>
        <w:t>pilot scope</w:t>
      </w:r>
      <w:r>
        <w:t xml:space="preserve"> to validate on before broader rollout.</w:t>
      </w:r>
    </w:p>
    <w:p>
      <w:pPr>
        <w:pStyle w:val="ListBullet"/>
      </w:pPr>
      <w:r>
        <w:rPr>
          <w:b/>
        </w:rPr>
        <w:t>Why required:</w:t>
      </w:r>
      <w:r>
        <w:t xml:space="preserve"> Fidelity, coverage, and scenario design are driven by the AI use cases; every</w:t>
      </w:r>
    </w:p>
    <w:p>
      <w:r>
        <w:t xml:space="preserve">  solution follows an </w:t>
      </w:r>
      <w:r>
        <w:rPr>
          <w:b/>
        </w:rPr>
        <w:t>Assess → Design → Generate/Build → Validate → Expand</w:t>
      </w:r>
      <w:r>
        <w:t xml:space="preserve"> model proven on a pilot.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AI use cases, evaluation goals, and a named pilot.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Elicit the use cases and define the pilot before building the harness.</w:t>
      </w:r>
    </w:p>
    <w:p>
      <w:pPr>
        <w:pStyle w:val="Heading2"/>
      </w:pPr>
      <w:r>
        <w:t>6. Reference/real-data access for fidelity (read-only, minimized)</w:t>
      </w:r>
    </w:p>
    <w:p>
      <w:pPr>
        <w:pStyle w:val="ListBullet"/>
      </w:pPr>
      <w:r>
        <w:rPr>
          <w:b/>
        </w:rPr>
        <w:t>Description:</w:t>
      </w:r>
      <w:r>
        <w:t xml:space="preserve"> Where synthetic </w:t>
      </w:r>
      <w:r>
        <w:rPr>
          <w:b/>
        </w:rPr>
        <w:t>fidelity/utility</w:t>
      </w:r>
      <w:r>
        <w:t xml:space="preserve"> must be measured against reality, **read-only,</w:t>
      </w:r>
    </w:p>
    <w:p>
      <w:r>
        <w:t xml:space="preserve">  minimized** access to reference statistics or a governed real dataset (under the privacy controls in   §4) — or agreed reference distributions where real data cannot be used.</w:t>
      </w:r>
    </w:p>
    <w:p>
      <w:pPr>
        <w:pStyle w:val="ListBullet"/>
      </w:pPr>
      <w:r>
        <w:rPr>
          <w:b/>
        </w:rPr>
        <w:t>Why required:</w:t>
      </w:r>
      <w:r>
        <w:t xml:space="preserve"> Fidelity and validation assets compare synthetic output to real-world distributions</w:t>
      </w:r>
    </w:p>
    <w:p>
      <w:r>
        <w:t xml:space="preserve">  and relationships; without a reference the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 and its access/governance terms.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(governed real stats vs. published</w:t>
      </w:r>
    </w:p>
    <w:p>
      <w:r>
        <w:t xml:space="preserve">  reference distributions) before validating.</w:t>
      </w:r>
    </w:p>
    <w:p>
      <w:r>
        <w:t xml:space="preserve">*The deployment model across every Synthetic solution is the same: </w:t>
      </w:r>
      <w:r>
        <w:rPr>
          <w:b/>
        </w:rPr>
        <w:t>Assess → Design → Generate/Build → Validate → Expand</w:t>
      </w:r>
      <w:r>
        <w:t xml:space="preserve">, with explicit pass/fail (fidelity/privacy) gates and a documented rollback. Automation and reusable assets are delivered as </w:t>
      </w:r>
      <w:r>
        <w:rPr>
          <w:b/>
        </w:rPr>
        <w:t>Python</w:t>
      </w:r>
      <w:r>
        <w:t xml:space="preserve"> — never real PHI is written to a shared harness, twin, or AI test environment.*</w:t>
      </w:r>
    </w:p>
    <w:p>
      <w:pPr>
        <w:pStyle w:val="Heading1"/>
      </w:pPr>
      <w:r>
        <w:t>Implementation</w:t>
      </w:r>
    </w:p>
    <w:p>
      <w:r>
        <w:t xml:space="preserve">Follow these ordered steps to stand up a privacy-conscious test environment on a </w:t>
      </w:r>
      <w:r>
        <w:rPr>
          <w:b/>
        </w:rPr>
        <w:t>pilot</w:t>
      </w:r>
      <w:r>
        <w:t xml:space="preserve"> scope, with explicit pass/fail gates and a documented rollback. The steps follow the house model </w:t>
      </w:r>
      <w:r>
        <w:rPr>
          <w:b/>
        </w:rPr>
        <w:t>Assess → Design → Generate/Build → Validate → Expand</w:t>
      </w:r>
      <w:r>
        <w:t xml:space="preserve">. Every artifact is </w:t>
      </w:r>
      <w:r>
        <w:rPr>
          <w:b/>
        </w:rPr>
        <w:t>named</w:t>
      </w:r>
      <w:r>
        <w:t xml:space="preserve"> with the convention </w:t>
      </w:r>
      <w:r>
        <w:rPr>
          <w:rFonts w:ascii="Consolas" w:hAnsi="Consolas"/>
          <w:sz w:val="19"/>
        </w:rPr>
        <w:t>&lt;Purpose&gt; – &lt;Scope&gt; – &lt;Stage&gt;</w:t>
      </w:r>
      <w:r>
        <w:t>; reuse those exact names in testing, troubleshooting, and scripts.</w:t>
      </w:r>
    </w:p>
    <w:p>
      <w:pPr>
        <w:ind w:left="432"/>
      </w:pPr>
      <w:r>
        <w:rPr>
          <w:i/>
          <w:color w:val="2E86C1"/>
        </w:rPr>
        <w:t>Boundary reminder. These steps produce method and evidence. The determination that the result is "de-identified" / the residual risk is acceptable belongs to privacy/compliance/legal. Do not release on a green metric alone — release on a green metric plus the recorded sign-off.</w:t>
      </w:r>
    </w:p>
    <w:p>
      <w:r>
        <w:t>__________________________________________________</w:t>
      </w:r>
    </w:p>
    <w:p>
      <w:pPr>
        <w:pStyle w:val="Heading2"/>
      </w:pPr>
      <w:r>
        <w:t>Stage 0 — Preconditions</w:t>
      </w:r>
    </w:p>
    <w:p>
      <w:pPr>
        <w:pStyle w:val="ListNumber"/>
      </w:pPr>
      <w:r>
        <w:t xml:space="preserve">Confirm the six global requirements and the solution-specific prerequisites </w:t>
      </w:r>
      <w:r>
        <w:rPr>
          <w:b/>
        </w:rPr>
        <w:t>S1–S5</w:t>
      </w:r>
      <w:r>
        <w:t xml:space="preserve"> in</w:t>
      </w:r>
    </w:p>
    <w:p>
      <w:r>
        <w:t xml:space="preserve">   </w:t>
      </w:r>
      <w:r>
        <w:rPr>
          <w:rFonts w:ascii="Consolas" w:hAnsi="Consolas"/>
          <w:sz w:val="19"/>
        </w:rPr>
        <w:t>02-requirements.md</w:t>
      </w:r>
      <w:r>
        <w:t xml:space="preserve"> are met. Do not start until </w:t>
      </w:r>
      <w:r>
        <w:rPr>
          <w:b/>
        </w:rPr>
        <w:t>Risk Threshold – Pilot – v1</w:t>
      </w:r>
      <w:r>
        <w:t xml:space="preserve"> (S2) exists — the    gate must be defined before you generate.</w:t>
      </w:r>
    </w:p>
    <w:p>
      <w:pPr>
        <w:pStyle w:val="ListNumber"/>
      </w:pPr>
      <w:r>
        <w:t xml:space="preserve">Confirm the </w:t>
      </w:r>
      <w:r>
        <w:rPr>
          <w:b/>
        </w:rPr>
        <w:t>isolated non-production environment</w:t>
      </w:r>
      <w:r>
        <w:t xml:space="preserve"> is ready and is </w:t>
      </w:r>
      <w:r>
        <w:rPr>
          <w:b/>
        </w:rPr>
        <w:t>not</w:t>
      </w:r>
      <w:r>
        <w:t xml:space="preserve"> connected to production</w:t>
      </w:r>
    </w:p>
    <w:p>
      <w:r>
        <w:t xml:space="preserve">   PHI stores. This environment receives only synthetic or de-identified output — never the raw    extract.</w:t>
      </w:r>
    </w:p>
    <w:p>
      <w:pPr>
        <w:pStyle w:val="ListNumber"/>
      </w:pPr>
      <w:r>
        <w:t>Confirm the Python environment is available (</w:t>
      </w:r>
      <w:r>
        <w:rPr>
          <w:rFonts w:ascii="Consolas" w:hAnsi="Consolas"/>
          <w:sz w:val="19"/>
        </w:rPr>
        <w:t>python --version</w:t>
      </w:r>
      <w:r>
        <w:t xml:space="preserve"> ≥ 3.10). Install </w:t>
      </w:r>
      <w:r>
        <w:rPr>
          <w:rFonts w:ascii="Consolas" w:hAnsi="Consolas"/>
          <w:sz w:val="19"/>
        </w:rPr>
        <w:t>pandas</w:t>
      </w:r>
      <w:r>
        <w:t>/</w:t>
      </w:r>
      <w:r>
        <w:rPr>
          <w:rFonts w:ascii="Consolas" w:hAnsi="Consolas"/>
          <w:sz w:val="19"/>
        </w:rPr>
        <w:t>numpy</w:t>
      </w:r>
    </w:p>
    <w:p>
      <w:r>
        <w:t xml:space="preserve">   if the scripts will use them (</w:t>
      </w:r>
      <w:r>
        <w:rPr>
          <w:rFonts w:ascii="Consolas" w:hAnsi="Consolas"/>
          <w:sz w:val="19"/>
        </w:rPr>
        <w:t>pip install pandas numpy</w:t>
      </w:r>
      <w:r>
        <w:t>).</w:t>
      </w:r>
    </w:p>
    <w:p>
      <w:pPr>
        <w:pStyle w:val="Heading2"/>
      </w:pPr>
      <w:r>
        <w:t>Stage 1 — Assess</w:t>
      </w:r>
    </w:p>
    <w:p>
      <w:pPr>
        <w:pStyle w:val="ListNumber"/>
      </w:pPr>
      <w:r>
        <w:t xml:space="preserve">Obtain the governed input: either the </w:t>
      </w:r>
      <w:r>
        <w:rPr>
          <w:b/>
        </w:rPr>
        <w:t>minimized, read-only source extract</w:t>
      </w:r>
      <w:r>
        <w:t xml:space="preserve"> (S3, de-ID route,</w:t>
      </w:r>
    </w:p>
    <w:p>
      <w:r>
        <w:t xml:space="preserve">   staged in the privacy-controlled zone) </w:t>
      </w:r>
      <w:r>
        <w:rPr>
          <w:b/>
        </w:rPr>
        <w:t>or</w:t>
      </w:r>
      <w:r>
        <w:t xml:space="preserve"> confirm the </w:t>
      </w:r>
      <w:r>
        <w:rPr>
          <w:b/>
        </w:rPr>
        <w:t>synthesis route</w:t>
      </w:r>
      <w:r>
        <w:t xml:space="preserve"> and its target model.</w:t>
      </w:r>
    </w:p>
    <w:p>
      <w:pPr>
        <w:pStyle w:val="ListNumber"/>
      </w:pPr>
      <w:r>
        <w:t xml:space="preserve">Produce a </w:t>
      </w:r>
      <w:r>
        <w:rPr>
          <w:b/>
        </w:rPr>
        <w:t>draft classification</w:t>
      </w:r>
      <w:r>
        <w:t>: run</w:t>
      </w:r>
    </w:p>
    <w:p>
      <w:r>
        <w:t xml:space="preserve">   </w:t>
      </w:r>
      <w:r>
        <w:rPr>
          <w:rFonts w:ascii="Consolas" w:hAnsi="Consolas"/>
          <w:sz w:val="19"/>
        </w:rPr>
        <w:t>python phi_field_scanner.py --input &lt;extract.csv&gt; --out field-classification-draft.json</w:t>
      </w:r>
      <w:r>
        <w:t>.    This *suggests* direct-identifier / quasi-identifier / sensitive / non-identifying per column.</w:t>
      </w:r>
    </w:p>
    <w:p>
      <w:pPr>
        <w:pStyle w:val="ListNumber"/>
      </w:pPr>
      <w:r>
        <w:t xml:space="preserve">Have the </w:t>
      </w:r>
      <w:r>
        <w:rPr>
          <w:b/>
        </w:rPr>
        <w:t>privacy stakeholder review and correct</w:t>
      </w:r>
      <w:r>
        <w:t xml:space="preserve"> the draft, especially the quasi-identifier</w:t>
      </w:r>
    </w:p>
    <w:p>
      <w:r>
        <w:t xml:space="preserve">   list. Save the reviewed result as the artifact </w:t>
      </w:r>
      <w:r>
        <w:rPr>
          <w:b/>
        </w:rPr>
        <w:t>Field Classification – Pilot – v1</w:t>
      </w:r>
      <w:r>
        <w:t xml:space="preserve">    (</w:t>
      </w:r>
      <w:r>
        <w:rPr>
          <w:rFonts w:ascii="Consolas" w:hAnsi="Consolas"/>
          <w:sz w:val="19"/>
        </w:rPr>
        <w:t>field-classification-pilot-v1.json</w:t>
      </w:r>
      <w:r>
        <w:t>).</w:t>
      </w:r>
    </w:p>
    <w:p>
      <w:pPr>
        <w:pStyle w:val="ListNumber"/>
      </w:pPr>
      <w:r>
        <w:t xml:space="preserve">Confirm </w:t>
      </w:r>
      <w:r>
        <w:rPr>
          <w:b/>
        </w:rPr>
        <w:t>Risk Threshold – Pilot – v1</w:t>
      </w:r>
      <w:r>
        <w:t xml:space="preserve"> (S2): the minimum </w:t>
      </w:r>
      <w:r>
        <w:rPr>
          <w:b/>
        </w:rPr>
        <w:t>k</w:t>
      </w:r>
      <w:r>
        <w:t xml:space="preserve">, minimum </w:t>
      </w:r>
      <w:r>
        <w:rPr>
          <w:b/>
        </w:rPr>
        <w:t>l</w:t>
      </w:r>
      <w:r>
        <w:t>, and/or maximum</w:t>
      </w:r>
    </w:p>
    <w:p>
      <w:r>
        <w:t xml:space="preserve">   disclosure-risk the dataset must meet to be releasable.</w:t>
      </w:r>
    </w:p>
    <w:p>
      <w:pPr>
        <w:ind w:left="432"/>
      </w:pPr>
      <w:r>
        <w:rPr>
          <w:i/>
          <w:color w:val="2E86C1"/>
        </w:rPr>
        <w:t>Gate A (scope gate): every in-scope column is classified and reviewed, and the threshold is recorded. If not, stop here.</w:t>
      </w:r>
    </w:p>
    <w:p>
      <w:pPr>
        <w:pStyle w:val="Heading2"/>
      </w:pPr>
      <w:r>
        <w:t>Stage 2 — Design</w:t>
      </w:r>
    </w:p>
    <w:p>
      <w:pPr>
        <w:pStyle w:val="ListNumber"/>
      </w:pPr>
      <w:r>
        <w:t>Build the pipeline configuration with the config helper:</w:t>
      </w:r>
    </w:p>
    <w:p>
      <w:r>
        <w:t xml:space="preserve">   </w:t>
      </w:r>
      <w:r>
        <w:rPr>
          <w:rFonts w:ascii="Consolas" w:hAnsi="Consolas"/>
          <w:sz w:val="19"/>
        </w:rPr>
        <w:t>python deid_config_helper.py --classification field-classification-pilot-v1.json --k 5 --l 2 --out deid-pipeline-pilot-v1.json</w:t>
      </w:r>
      <w:r>
        <w:t xml:space="preserve">.    This generates a starting </w:t>
      </w:r>
      <w:r>
        <w:rPr>
          <w:b/>
        </w:rPr>
        <w:t>De-Identification Pipeline – Pilot – v1</w:t>
      </w:r>
      <w:r>
        <w:t xml:space="preserve"> config: per-field policy —    </w:t>
      </w:r>
      <w:r>
        <w:rPr>
          <w:b/>
        </w:rPr>
        <w:t>suppress</w:t>
      </w:r>
      <w:r>
        <w:t xml:space="preserve"> direct identifiers, </w:t>
      </w:r>
      <w:r>
        <w:rPr>
          <w:b/>
        </w:rPr>
        <w:t>generalize</w:t>
      </w:r>
      <w:r>
        <w:t xml:space="preserve"> quasi-identifiers (age→age band, ZIP→3-digit,    dates→shifted/coarsened), pass through non-identifying fields.</w:t>
      </w:r>
    </w:p>
    <w:p>
      <w:pPr>
        <w:pStyle w:val="ListNumber"/>
      </w:pPr>
      <w:r>
        <w:t xml:space="preserve">Apply the </w:t>
      </w:r>
      <w:r>
        <w:rPr>
          <w:b/>
        </w:rPr>
        <w:t>S4 pseudonymization/key decision</w:t>
      </w:r>
      <w:r>
        <w:t xml:space="preserve"> into the config: default direct identifiers to</w:t>
      </w:r>
    </w:p>
    <w:p>
      <w:r>
        <w:t xml:space="preserve">   </w:t>
      </w:r>
      <w:r>
        <w:rPr>
          <w:rFonts w:ascii="Consolas" w:hAnsi="Consolas"/>
          <w:sz w:val="19"/>
        </w:rPr>
        <w:t>suppress</w:t>
      </w:r>
      <w:r>
        <w:t xml:space="preserve">; only set </w:t>
      </w:r>
      <w:r>
        <w:rPr>
          <w:rFonts w:ascii="Consolas" w:hAnsi="Consolas"/>
          <w:sz w:val="19"/>
        </w:rPr>
        <w:t>pseudonymize</w:t>
      </w:r>
      <w:r>
        <w:t xml:space="preserve"> where a governed re-linkage need is documented and the key is    held outside the test environment.</w:t>
      </w:r>
    </w:p>
    <w:p>
      <w:pPr>
        <w:pStyle w:val="ListNumber"/>
      </w:pPr>
      <w:r>
        <w:t>Review the generalization policy for utility: confirm the AI/QA use cases can still be exercised</w:t>
      </w:r>
    </w:p>
    <w:p>
      <w:r>
        <w:t xml:space="preserve">    after generalization (this is the fidelity-vs-privacy trade-off). Record the reviewed config.</w:t>
      </w:r>
    </w:p>
    <w:p>
      <w:pPr>
        <w:ind w:left="432"/>
      </w:pPr>
      <w:r>
        <w:rPr>
          <w:i/>
          <w:color w:val="2E86C1"/>
        </w:rPr>
        <w:t>Gate B (design gate): the pipeline config exists, the direct-identifier handling matches the S4 decision, and no re-identification key is destined for the test environment.</w:t>
      </w:r>
    </w:p>
    <w:p>
      <w:pPr>
        <w:pStyle w:val="Heading2"/>
      </w:pPr>
      <w:r>
        <w:t>Stage 3 — Generate / Build</w:t>
      </w:r>
    </w:p>
    <w:p>
      <w:pPr>
        <w:pStyle w:val="ListNumber"/>
      </w:pPr>
      <w:r>
        <w:t>Produce the candidate dataset in the isolated environment:</w:t>
      </w:r>
    </w:p>
    <w:p>
      <w:pPr>
        <w:pStyle w:val="ListBullet"/>
      </w:pPr>
      <w:r>
        <w:rPr>
          <w:b/>
        </w:rPr>
        <w:t>De-ID route:</w:t>
      </w:r>
      <w:r>
        <w:t xml:space="preserve"> </w:t>
      </w:r>
      <w:r>
        <w:rPr>
          <w:rFonts w:ascii="Consolas" w:hAnsi="Consolas"/>
          <w:sz w:val="19"/>
        </w:rPr>
        <w:t>python deid_pipeline.py --input &lt;extract.csv&gt; --config deid-pipeline-pilot-v1.json --out deidentified-pilot-v1.csv</w:t>
      </w:r>
      <w:r>
        <w:t xml:space="preserve"> (writes only under </w:t>
      </w:r>
      <w:r>
        <w:rPr>
          <w:rFonts w:ascii="Consolas" w:hAnsi="Consolas"/>
          <w:sz w:val="19"/>
        </w:rPr>
        <w:t>--apply</w:t>
      </w:r>
      <w:r>
        <w:t>; dry-run by default).</w:t>
      </w:r>
    </w:p>
    <w:p>
      <w:pPr>
        <w:pStyle w:val="ListBullet"/>
      </w:pPr>
      <w:r>
        <w:rPr>
          <w:b/>
        </w:rPr>
        <w:t>Synthesis route:</w:t>
      </w:r>
      <w:r>
        <w:t xml:space="preserve"> generate fully artificial records against the target model (via the</w:t>
      </w:r>
    </w:p>
    <w:p>
      <w:r>
        <w:t xml:space="preserve">      selected synthesizer at the pattern level — see the vendor's documentation for platform       specifics), landing </w:t>
      </w:r>
      <w:r>
        <w:rPr>
          <w:rFonts w:ascii="Consolas" w:hAnsi="Consolas"/>
          <w:sz w:val="19"/>
        </w:rPr>
        <w:t>synthetic-pilot-v1.csv</w:t>
      </w:r>
      <w:r>
        <w:t>.</w:t>
      </w:r>
    </w:p>
    <w:p>
      <w:pPr>
        <w:pStyle w:val="ListNumber"/>
      </w:pPr>
      <w:r>
        <w:t xml:space="preserve">Name the output </w:t>
      </w:r>
      <w:r>
        <w:rPr>
          <w:b/>
        </w:rPr>
        <w:t>De-Identified Dataset – Pilot – v1</w:t>
      </w:r>
      <w:r>
        <w:t xml:space="preserve"> (or </w:t>
      </w:r>
      <w:r>
        <w:rPr>
          <w:b/>
        </w:rPr>
        <w:t>Synthetic Dataset – Pilot – v1</w:t>
      </w:r>
      <w:r>
        <w:t>).</w:t>
      </w:r>
    </w:p>
    <w:p>
      <w:r>
        <w:t xml:space="preserve">    This candidate is </w:t>
      </w:r>
      <w:r>
        <w:rPr>
          <w:b/>
        </w:rPr>
        <w:t>not yet releasable</w:t>
      </w:r>
      <w:r>
        <w:t xml:space="preserve"> — it must pass Stage 4 first.</w:t>
      </w:r>
    </w:p>
    <w:p>
      <w:pPr>
        <w:pStyle w:val="Heading2"/>
      </w:pPr>
      <w:r>
        <w:t>Stage 4 — Validate (the release gates)</w:t>
      </w:r>
    </w:p>
    <w:p>
      <w:pPr>
        <w:pStyle w:val="ListNumber"/>
      </w:pPr>
      <w:r>
        <w:t>Run the re-identification-risk assessment against the threshold:</w:t>
      </w:r>
    </w:p>
    <w:p>
      <w:r>
        <w:t xml:space="preserve">    </w:t>
      </w:r>
      <w:r>
        <w:rPr>
          <w:rFonts w:ascii="Consolas" w:hAnsi="Consolas"/>
          <w:sz w:val="19"/>
        </w:rPr>
        <w:t>python reid_risk_assessor.py --input deidentified-pilot-v1.csv --classification field-classification-pilot-v1.json --k 5 --l 2 --out reid-risk-pilot-v1.json</w:t>
      </w:r>
      <w:r>
        <w:t xml:space="preserve">.     It reports </w:t>
      </w:r>
      <w:r>
        <w:rPr>
          <w:b/>
        </w:rPr>
        <w:t>k-anonymity</w:t>
      </w:r>
      <w:r>
        <w:t xml:space="preserve"> (smallest equivalence class), </w:t>
      </w:r>
      <w:r>
        <w:rPr>
          <w:b/>
        </w:rPr>
        <w:t>l-diversity</w:t>
      </w:r>
      <w:r>
        <w:t xml:space="preserve">, the </w:t>
      </w:r>
      <w:r>
        <w:rPr>
          <w:b/>
        </w:rPr>
        <w:t>disclosure-risk</w:t>
      </w:r>
      <w:r>
        <w:t xml:space="preserve">     proportion (share of records in classes smaller than k), and simple </w:t>
      </w:r>
      <w:r>
        <w:rPr>
          <w:b/>
        </w:rPr>
        <w:t>membership/attribute-     inference</w:t>
      </w:r>
      <w:r>
        <w:t xml:space="preserve"> signals, each with a </w:t>
      </w:r>
      <w:r>
        <w:rPr>
          <w:b/>
        </w:rPr>
        <w:t>PASS/FAIL</w:t>
      </w:r>
      <w:r>
        <w:t xml:space="preserve"> against </w:t>
      </w:r>
      <w:r>
        <w:rPr>
          <w:b/>
        </w:rPr>
        <w:t>Risk Threshold – Pilot – v1</w:t>
      </w:r>
      <w:r>
        <w:t>.</w:t>
      </w:r>
    </w:p>
    <w:p>
      <w:pPr>
        <w:pStyle w:val="ListNumber"/>
      </w:pPr>
      <w:r>
        <w:t>Run the fidelity/coverage check (utility must survive de-identification):</w:t>
      </w:r>
    </w:p>
    <w:p>
      <w:r>
        <w:t xml:space="preserve">    </w:t>
      </w:r>
      <w:r>
        <w:rPr>
          <w:rFonts w:ascii="Consolas" w:hAnsi="Consolas"/>
          <w:sz w:val="19"/>
        </w:rPr>
        <w:t>python fidelity_coverage_report.py --synthetic deidentified-pilot-v1.csv --reference &lt;ref-stats.json&gt; --out fidelity-pilot-v1.json</w:t>
      </w:r>
      <w:r>
        <w:t>.</w:t>
      </w:r>
    </w:p>
    <w:p>
      <w:pPr>
        <w:pStyle w:val="ListNumber"/>
      </w:pPr>
      <w:r>
        <w:t xml:space="preserve">Assemble the </w:t>
      </w:r>
      <w:r>
        <w:rPr>
          <w:b/>
        </w:rPr>
        <w:t>Privacy Evidence Record – Pilot – v1</w:t>
      </w:r>
      <w:r>
        <w:t>:</w:t>
      </w:r>
    </w:p>
    <w:p>
      <w:r>
        <w:t xml:space="preserve">    </w:t>
      </w:r>
      <w:r>
        <w:rPr>
          <w:rFonts w:ascii="Consolas" w:hAnsi="Consolas"/>
          <w:sz w:val="19"/>
        </w:rPr>
        <w:t>python deid_config_helper.py --assemble-evidence --classification field-classification-pilot-v1.json --pipeline deid-pipeline-pilot-v1.json --risk reid-risk-pilot-v1.json --fidelity fidelity-pilot-v1.json --out privacy-evidence-pilot-v1.md</w:t>
      </w:r>
      <w:r>
        <w:t>.     Store it at the S5 evidence destination.</w:t>
      </w:r>
    </w:p>
    <w:p>
      <w:pPr>
        <w:ind w:left="432"/>
      </w:pPr>
      <w:r>
        <w:rPr>
          <w:i/>
          <w:color w:val="2E86C1"/>
        </w:rPr>
        <w:t>Gate C (privacy release gate): the re-ID assessment is PASS against every threshold and the evidence record is captured. If any metric FAILs, roll back — do not release the dataset. Return to Stage 2, tighten the generalization/suppression policy, and re-run Stages 3–4.</w:t>
      </w:r>
    </w:p>
    <w:p>
      <w:pPr>
        <w:pStyle w:val="ListNumber"/>
      </w:pPr>
      <w:r>
        <w:rPr>
          <w:b/>
        </w:rPr>
        <w:t>Route the evidence to privacy/compliance/legal for the determination and sign-off.</w:t>
      </w:r>
      <w:r>
        <w:t xml:space="preserve"> Only after</w:t>
      </w:r>
    </w:p>
    <w:p>
      <w:r>
        <w:t xml:space="preserve">    the recorded sign-off is the dataset releasable into the shared test environment. (Technical PASS     ≠ regulatory determination.)</w:t>
      </w:r>
    </w:p>
    <w:p>
      <w:pPr>
        <w:pStyle w:val="Heading2"/>
      </w:pPr>
      <w:r>
        <w:t>Stage 5 — Expand</w:t>
      </w:r>
    </w:p>
    <w:p>
      <w:pPr>
        <w:pStyle w:val="ListNumber"/>
      </w:pPr>
      <w:r>
        <w:t>With the pilot passed and signed, widen scope one increment at a time (a further domain, service</w:t>
      </w:r>
    </w:p>
    <w:p>
      <w:r>
        <w:t xml:space="preserve">    line, or larger cohort). For each increment, </w:t>
      </w:r>
      <w:r>
        <w:rPr>
          <w:b/>
        </w:rPr>
        <w:t>re-run Stages 1–4</w:t>
      </w:r>
      <w:r>
        <w:t xml:space="preserve"> and capture a new evidence     record — expansion never inherits the pilot's PASS.</w:t>
      </w:r>
    </w:p>
    <w:p>
      <w:pPr>
        <w:pStyle w:val="ListNumber"/>
      </w:pPr>
      <w:r>
        <w:t>Keep the pipeline config, thresholds, and evidence records under version control so every released</w:t>
      </w:r>
    </w:p>
    <w:p>
      <w:r>
        <w:t xml:space="preserve">    test dataset is traceable to the classification, transformations, and metrics that justified it.</w:t>
      </w:r>
    </w:p>
    <w:p>
      <w:pPr>
        <w:pStyle w:val="Heading2"/>
      </w:pPr>
      <w:r>
        <w:t>Rollback</w:t>
      </w:r>
    </w:p>
    <w:p>
      <w:r>
        <w:t xml:space="preserve">At any gate failure: </w:t>
      </w:r>
      <w:r>
        <w:rPr>
          <w:b/>
        </w:rPr>
        <w:t>do not release</w:t>
      </w:r>
      <w:r>
        <w:t xml:space="preserve"> the candidate dataset; retain the failing evidence record (it documents *why* it was held); tighten the pipeline policy and repeat. Because the isolated environment only ever receives *released* datasets, a held candidate has zero exposure.</w:t>
      </w:r>
    </w:p>
    <w:p>
      <w:pPr>
        <w:pStyle w:val="Heading1"/>
      </w:pPr>
      <w:r>
        <w:t>Testing &amp; Validation</w:t>
      </w:r>
    </w:p>
    <w:p>
      <w:r>
        <w:t xml:space="preserve">These validation procedures gate the release of a candidate dataset into the isolated test environment. Each has an explicit </w:t>
      </w:r>
      <w:r>
        <w:rPr>
          <w:b/>
        </w:rPr>
        <w:t>expected result</w:t>
      </w:r>
      <w:r>
        <w:t xml:space="preserve"> and a </w:t>
      </w:r>
      <w:r>
        <w:rPr>
          <w:b/>
        </w:rPr>
        <w:t>PASS/FAIL</w:t>
      </w:r>
      <w:r>
        <w:t xml:space="preserve"> meaning. The candidate is </w:t>
      </w:r>
      <w:r>
        <w:rPr>
          <w:b/>
        </w:rPr>
        <w:t>not releasable</w:t>
      </w:r>
      <w:r>
        <w:t xml:space="preserve"> until the privacy gates pass </w:t>
      </w:r>
      <w:r>
        <w:rPr>
          <w:b/>
        </w:rPr>
        <w:t>and</w:t>
      </w:r>
      <w:r>
        <w:t xml:space="preserve"> privacy/compliance/legal records a sign-off (technical PASS ≠ regulatory determination).</w:t>
      </w:r>
    </w:p>
    <w:p>
      <w:r>
        <w:t xml:space="preserve">Run these against the named artifacts from </w:t>
      </w:r>
      <w:r>
        <w:rPr>
          <w:rFonts w:ascii="Consolas" w:hAnsi="Consolas"/>
          <w:sz w:val="19"/>
        </w:rPr>
        <w:t>03-implementation.md</w:t>
      </w:r>
      <w:r>
        <w:t xml:space="preserve">: </w:t>
      </w:r>
      <w:r>
        <w:rPr>
          <w:b/>
        </w:rPr>
        <w:t>De-Identified Dataset – Pilot – v1</w:t>
      </w:r>
      <w:r>
        <w:t xml:space="preserve"> (or </w:t>
      </w:r>
      <w:r>
        <w:rPr>
          <w:b/>
        </w:rPr>
        <w:t>Synthetic Dataset – Pilot – v1</w:t>
      </w:r>
      <w:r>
        <w:t xml:space="preserve">), </w:t>
      </w:r>
      <w:r>
        <w:rPr>
          <w:b/>
        </w:rPr>
        <w:t>Field Classification – Pilot – v1</w:t>
      </w:r>
      <w:r>
        <w:t xml:space="preserve">, and </w:t>
      </w:r>
      <w:r>
        <w:rPr>
          <w:b/>
        </w:rPr>
        <w:t>Risk Threshold – Pilot – v1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T1. Field classification completeness</w:t>
      </w:r>
    </w:p>
    <w:p>
      <w:pPr>
        <w:pStyle w:val="ListBullet"/>
      </w:pPr>
      <w:r>
        <w:rPr>
          <w:b/>
        </w:rPr>
        <w:t>Procedure:</w:t>
      </w:r>
      <w:r>
        <w:t xml:space="preserve"> Confirm every in-scope column in the candidate has exactly one classification in</w:t>
      </w:r>
    </w:p>
    <w:p>
      <w:r>
        <w:t xml:space="preserve">  </w:t>
      </w:r>
      <w:r>
        <w:rPr>
          <w:b/>
        </w:rPr>
        <w:t>Field Classification – Pilot – v1</w:t>
      </w:r>
      <w:r>
        <w:t xml:space="preserve">, and that direct identifiers listed there are </w:t>
      </w:r>
      <w:r>
        <w:rPr>
          <w:b/>
        </w:rPr>
        <w:t>absent or   transformed</w:t>
      </w:r>
      <w:r>
        <w:t xml:space="preserve"> in the output.</w:t>
      </w:r>
    </w:p>
    <w:p>
      <w:pPr>
        <w:pStyle w:val="ListBullet"/>
      </w:pPr>
      <w:r>
        <w:rPr>
          <w:b/>
        </w:rPr>
        <w:t>Expected / PASS:</w:t>
      </w:r>
      <w:r>
        <w:t xml:space="preserve"> No unclassified columns; no direct-identifier column survives in identifiable</w:t>
      </w:r>
    </w:p>
    <w:p>
      <w:r>
        <w:t xml:space="preserve">  form.</w:t>
      </w:r>
    </w:p>
    <w:p>
      <w:pPr>
        <w:pStyle w:val="ListBullet"/>
      </w:pPr>
      <w:r>
        <w:rPr>
          <w:b/>
        </w:rPr>
        <w:t>FAIL:</w:t>
      </w:r>
      <w:r>
        <w:t xml:space="preserve"> Any unclassified column, or any direct identifier present in cleartext — stop, fix the</w:t>
      </w:r>
    </w:p>
    <w:p>
      <w:r>
        <w:t xml:space="preserve">  classification/pipeline, do not proceed.</w:t>
      </w:r>
    </w:p>
    <w:p>
      <w:pPr>
        <w:pStyle w:val="Heading2"/>
      </w:pPr>
      <w:r>
        <w:t>T2. Direct-identifier suppression check</w:t>
      </w:r>
    </w:p>
    <w:p>
      <w:pPr>
        <w:pStyle w:val="ListBullet"/>
      </w:pPr>
      <w:r>
        <w:rPr>
          <w:b/>
        </w:rPr>
        <w:t>Procedure:</w:t>
      </w:r>
      <w:r>
        <w:t xml:space="preserve"> Scan the candidate output with </w:t>
      </w:r>
      <w:r>
        <w:rPr>
          <w:rFonts w:ascii="Consolas" w:hAnsi="Consolas"/>
          <w:sz w:val="19"/>
        </w:rPr>
        <w:t>phi_field_scanner.py</w:t>
      </w:r>
      <w:r>
        <w:t xml:space="preserve"> (</w:t>
      </w:r>
      <w:r>
        <w:rPr>
          <w:rFonts w:ascii="Consolas" w:hAnsi="Consolas"/>
          <w:sz w:val="19"/>
        </w:rPr>
        <w:t>--mode audit</w:t>
      </w:r>
      <w:r>
        <w:t>) to confirm no</w:t>
      </w:r>
    </w:p>
    <w:p>
      <w:r>
        <w:t xml:space="preserve">  values matching direct-identifier patterns (SSN, MRN, email, phone) remain.</w:t>
      </w:r>
    </w:p>
    <w:p>
      <w:pPr>
        <w:pStyle w:val="ListBullet"/>
      </w:pPr>
      <w:r>
        <w:rPr>
          <w:b/>
        </w:rPr>
        <w:t>Expected / PASS:</w:t>
      </w:r>
      <w:r>
        <w:t xml:space="preserve"> Zero direct-identifier matches in the released columns.</w:t>
      </w:r>
    </w:p>
    <w:p>
      <w:pPr>
        <w:pStyle w:val="ListBullet"/>
      </w:pPr>
      <w:r>
        <w:rPr>
          <w:b/>
        </w:rPr>
        <w:t>FAIL:</w:t>
      </w:r>
      <w:r>
        <w:t xml:space="preserve"> Any match → a suppression rule was missed; roll back to Stage 2.</w:t>
      </w:r>
    </w:p>
    <w:p>
      <w:pPr>
        <w:pStyle w:val="Heading2"/>
      </w:pPr>
      <w:r>
        <w:t>T3. k-anonymity gate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python reid_risk_assessor.py --input &lt;candidate.csv&gt; --classification field-classification-pilot-v1.json --k &lt;threshold-k&gt;</w:t>
      </w:r>
      <w:r>
        <w:t>.</w:t>
      </w:r>
    </w:p>
    <w:p>
      <w:r>
        <w:t xml:space="preserve">  It computes the smallest equivalence class over the quasi-identifiers.</w:t>
      </w:r>
    </w:p>
    <w:p>
      <w:pPr>
        <w:pStyle w:val="ListBullet"/>
      </w:pPr>
      <w:r>
        <w:rPr>
          <w:b/>
        </w:rPr>
        <w:t>Expected / PASS:</w:t>
      </w:r>
      <w:r>
        <w:t xml:space="preserve"> Smallest equivalence-class size </w:t>
      </w:r>
      <w:r>
        <w:rPr>
          <w:b/>
        </w:rPr>
        <w:t>≥ k</w:t>
      </w:r>
      <w:r>
        <w:t xml:space="preserve"> from </w:t>
      </w:r>
      <w:r>
        <w:rPr>
          <w:b/>
        </w:rPr>
        <w:t>Risk Threshold – Pilot – v1</w:t>
      </w:r>
    </w:p>
    <w:p>
      <w:r>
        <w:t xml:space="preserve">  (i.e. every record is indistinguishable from at least k−1 others on the quasi-identifiers).</w:t>
      </w:r>
    </w:p>
    <w:p>
      <w:pPr>
        <w:pStyle w:val="ListBullet"/>
      </w:pPr>
      <w:r>
        <w:rPr>
          <w:b/>
        </w:rPr>
        <w:t>FAIL:</w:t>
      </w:r>
      <w:r>
        <w:t xml:space="preserve"> Any class smaller than k → generalize/suppress further; do not release.</w:t>
      </w:r>
    </w:p>
    <w:p>
      <w:pPr>
        <w:pStyle w:val="Heading2"/>
      </w:pPr>
      <w:r>
        <w:t>T4. l-diversity gate (sensitive-attribute protection)</w:t>
      </w:r>
    </w:p>
    <w:p>
      <w:pPr>
        <w:pStyle w:val="ListBullet"/>
      </w:pPr>
      <w:r>
        <w:rPr>
          <w:b/>
        </w:rPr>
        <w:t>Procedure:</w:t>
      </w:r>
      <w:r>
        <w:t xml:space="preserve"> Same tool, </w:t>
      </w:r>
      <w:r>
        <w:rPr>
          <w:rFonts w:ascii="Consolas" w:hAnsi="Consolas"/>
          <w:sz w:val="19"/>
        </w:rPr>
        <w:t>--l &lt;threshold-l&gt;</w:t>
      </w:r>
      <w:r>
        <w:t xml:space="preserve">; checks each equivalence class contains at least </w:t>
      </w:r>
      <w:r>
        <w:rPr>
          <w:b/>
        </w:rPr>
        <w:t>l</w:t>
      </w:r>
    </w:p>
    <w:p>
      <w:r>
        <w:t xml:space="preserve">  distinct sensitive-attribute values.</w:t>
      </w:r>
    </w:p>
    <w:p>
      <w:pPr>
        <w:pStyle w:val="ListBullet"/>
      </w:pPr>
      <w:r>
        <w:rPr>
          <w:b/>
        </w:rPr>
        <w:t>Expected / PASS:</w:t>
      </w:r>
      <w:r>
        <w:t xml:space="preserve"> Every class has </w:t>
      </w:r>
      <w:r>
        <w:rPr>
          <w:b/>
        </w:rPr>
        <w:t>≥ l</w:t>
      </w:r>
      <w:r>
        <w:t xml:space="preserve"> distinct sensitive values (attribute disclosure is</w:t>
      </w:r>
    </w:p>
    <w:p>
      <w:r>
        <w:t xml:space="preserve">  bounded).</w:t>
      </w:r>
    </w:p>
    <w:p>
      <w:pPr>
        <w:pStyle w:val="ListBullet"/>
      </w:pPr>
      <w:r>
        <w:rPr>
          <w:b/>
        </w:rPr>
        <w:t>FAIL:</w:t>
      </w:r>
      <w:r>
        <w:t xml:space="preserve"> Any class below l → the class leaks the sensitive attribute; tighten and re-run.</w:t>
      </w:r>
    </w:p>
    <w:p>
      <w:pPr>
        <w:pStyle w:val="Heading2"/>
      </w:pPr>
      <w:r>
        <w:t>T5. Disclosure-risk / inference gate</w:t>
      </w:r>
    </w:p>
    <w:p>
      <w:pPr>
        <w:pStyle w:val="ListBullet"/>
      </w:pPr>
      <w:r>
        <w:rPr>
          <w:b/>
        </w:rPr>
        <w:t>Procedure:</w:t>
      </w:r>
      <w:r>
        <w:t xml:space="preserve"> Same tool reports the </w:t>
      </w:r>
      <w:r>
        <w:rPr>
          <w:b/>
        </w:rPr>
        <w:t>disclosure-risk proportion</w:t>
      </w:r>
      <w:r>
        <w:t xml:space="preserve"> (share of records in classes</w:t>
      </w:r>
    </w:p>
    <w:p>
      <w:r>
        <w:t xml:space="preserve">  below k) and simple </w:t>
      </w:r>
      <w:r>
        <w:rPr>
          <w:b/>
        </w:rPr>
        <w:t>membership/attribute-inference</w:t>
      </w:r>
      <w:r>
        <w:t xml:space="preserve"> signals (e.g. unique-record share, exact   quasi-identifier matches to the reference).</w:t>
      </w:r>
    </w:p>
    <w:p>
      <w:pPr>
        <w:pStyle w:val="ListBullet"/>
      </w:pPr>
      <w:r>
        <w:rPr>
          <w:b/>
        </w:rPr>
        <w:t>Expected / PASS:</w:t>
      </w:r>
      <w:r>
        <w:t xml:space="preserve"> Disclosure-risk proportion </w:t>
      </w:r>
      <w:r>
        <w:rPr>
          <w:b/>
        </w:rPr>
        <w:t>≤</w:t>
      </w:r>
      <w:r>
        <w:t xml:space="preserve"> the maximum in </w:t>
      </w:r>
      <w:r>
        <w:rPr>
          <w:b/>
        </w:rPr>
        <w:t>Risk Threshold – Pilot – v1</w:t>
      </w:r>
      <w:r>
        <w:t>;</w:t>
      </w:r>
    </w:p>
    <w:p>
      <w:r>
        <w:t xml:space="preserve">  inference signals within tolerance.</w:t>
      </w:r>
    </w:p>
    <w:p>
      <w:pPr>
        <w:pStyle w:val="ListBullet"/>
      </w:pPr>
      <w:r>
        <w:rPr>
          <w:b/>
        </w:rPr>
        <w:t>FAIL:</w:t>
      </w:r>
      <w:r>
        <w:t xml:space="preserve"> Over threshold → roll back. (For the </w:t>
      </w:r>
      <w:r>
        <w:rPr>
          <w:b/>
        </w:rPr>
        <w:t>synthesis route</w:t>
      </w:r>
      <w:r>
        <w:t>, a high membership-inference</w:t>
      </w:r>
    </w:p>
    <w:p>
      <w:r>
        <w:t xml:space="preserve">  signal indicates the synthesizer memorized real records — regenerate.)</w:t>
      </w:r>
    </w:p>
    <w:p>
      <w:pPr>
        <w:pStyle w:val="Heading2"/>
      </w:pPr>
      <w:r>
        <w:t>T6. Fidelity / coverage (utility survived de-identification)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python fidelity_coverage_report.py --synthetic &lt;candidate.csv&gt; --reference &lt;ref-stats.json&gt;</w:t>
      </w:r>
      <w:r>
        <w:t>.</w:t>
      </w:r>
    </w:p>
    <w:p>
      <w:r>
        <w:t xml:space="preserve">  Compares marginal distributions and category coverage of the candidate to the agreed reference.</w:t>
      </w:r>
    </w:p>
    <w:p>
      <w:pPr>
        <w:pStyle w:val="ListBullet"/>
      </w:pPr>
      <w:r>
        <w:rPr>
          <w:b/>
        </w:rPr>
        <w:t>Expected / PASS:</w:t>
      </w:r>
      <w:r>
        <w:t xml:space="preserve"> Distributions and coverage within the documented fidelity tolerance — the AI/QA</w:t>
      </w:r>
    </w:p>
    <w:p>
      <w:r>
        <w:t xml:space="preserve">  use cases can still be exercised.</w:t>
      </w:r>
    </w:p>
    <w:p>
      <w:pPr>
        <w:pStyle w:val="ListBullet"/>
      </w:pPr>
      <w:r>
        <w:rPr>
          <w:b/>
        </w:rPr>
        <w:t>FAIL:</w:t>
      </w:r>
      <w:r>
        <w:t xml:space="preserve"> Utility collapsed (over-generalized) → find a better point on the privacy/utility curve;</w:t>
      </w:r>
    </w:p>
    <w:p>
      <w:r>
        <w:t xml:space="preserve">  this is a design decision, not necessarily a privacy failure.</w:t>
      </w:r>
    </w:p>
    <w:p>
      <w:pPr>
        <w:pStyle w:val="Heading2"/>
      </w:pPr>
      <w:r>
        <w:t>T7. Evidence-record completeness</w:t>
      </w:r>
    </w:p>
    <w:p>
      <w:pPr>
        <w:pStyle w:val="ListBullet"/>
      </w:pPr>
      <w:r>
        <w:rPr>
          <w:b/>
        </w:rPr>
        <w:t>Procedure:</w:t>
      </w:r>
      <w:r>
        <w:t xml:space="preserve"> Confirm </w:t>
      </w:r>
      <w:r>
        <w:rPr>
          <w:rFonts w:ascii="Consolas" w:hAnsi="Consolas"/>
          <w:sz w:val="19"/>
        </w:rPr>
        <w:t>privacy_evidence_report.py</w:t>
      </w:r>
      <w:r>
        <w:t xml:space="preserve"> produced </w:t>
      </w:r>
      <w:r>
        <w:rPr>
          <w:b/>
        </w:rPr>
        <w:t>Privacy Evidence Record – Pilot – v1</w:t>
      </w:r>
    </w:p>
    <w:p>
      <w:r>
        <w:t xml:space="preserve">  containing: the field classification, the transformations applied, the k/l/disclosure-risk metrics,   the thresholds they were measured against, PASS/FAIL per gate, and the fidelity result.</w:t>
      </w:r>
    </w:p>
    <w:p>
      <w:pPr>
        <w:pStyle w:val="ListBullet"/>
      </w:pPr>
      <w:r>
        <w:rPr>
          <w:b/>
        </w:rPr>
        <w:t>Expected / PASS:</w:t>
      </w:r>
      <w:r>
        <w:t xml:space="preserve"> All sections present and stored at the S5 evidence destination.</w:t>
      </w:r>
    </w:p>
    <w:p>
      <w:pPr>
        <w:pStyle w:val="ListBullet"/>
      </w:pPr>
      <w:r>
        <w:rPr>
          <w:b/>
        </w:rPr>
        <w:t>FAIL:</w:t>
      </w:r>
      <w:r>
        <w:t xml:space="preserve"> Any missing section → regenerate; governance cannot review an incomplete record.</w:t>
      </w:r>
    </w:p>
    <w:p>
      <w:pPr>
        <w:pStyle w:val="Heading2"/>
      </w:pPr>
      <w:r>
        <w:t>T8. Release-decision gate (human)</w:t>
      </w:r>
    </w:p>
    <w:p>
      <w:pPr>
        <w:pStyle w:val="ListBullet"/>
      </w:pPr>
      <w:r>
        <w:rPr>
          <w:b/>
        </w:rPr>
        <w:t>Procedure:</w:t>
      </w:r>
      <w:r>
        <w:t xml:space="preserve"> Route the evidence record to privacy/compliance/legal; confirm a </w:t>
      </w:r>
      <w:r>
        <w:rPr>
          <w:b/>
        </w:rPr>
        <w:t>recorded sign-off</w:t>
      </w:r>
    </w:p>
    <w:p>
      <w:r>
        <w:t xml:space="preserve">  exists before releasing to the shared environment.</w:t>
      </w:r>
    </w:p>
    <w:p>
      <w:pPr>
        <w:pStyle w:val="ListBullet"/>
      </w:pPr>
      <w:r>
        <w:rPr>
          <w:b/>
        </w:rPr>
        <w:t>Expected / PASS:</w:t>
      </w:r>
      <w:r>
        <w:t xml:space="preserve"> Signed determination on file → dataset may be released.</w:t>
      </w:r>
    </w:p>
    <w:p>
      <w:pPr>
        <w:pStyle w:val="ListBullet"/>
      </w:pPr>
      <w:r>
        <w:rPr>
          <w:b/>
        </w:rPr>
        <w:t>FAIL / absent:</w:t>
      </w:r>
      <w:r>
        <w:t xml:space="preserve"> No sign-off → </w:t>
      </w:r>
      <w:r>
        <w:rPr>
          <w:b/>
        </w:rPr>
        <w:t>not releasable</w:t>
      </w:r>
      <w:r>
        <w:t>, regardless of green metrics. The determination</w:t>
      </w:r>
    </w:p>
    <w:p>
      <w:r>
        <w:t xml:space="preserve">  is theirs, not the pipeline's.</w:t>
      </w:r>
    </w:p>
    <w:p>
      <w:pPr>
        <w:pStyle w:val="Heading1"/>
      </w:pPr>
      <w:r>
        <w:t>Troubleshooting</w:t>
      </w:r>
    </w:p>
    <w:p>
      <w:r>
        <w:t xml:space="preserve">Common failure modes when standing up a privacy-conscious test environment, and how to resolve them. Symptoms reference the named artifacts and tools from </w:t>
      </w:r>
      <w:r>
        <w:rPr>
          <w:rFonts w:ascii="Consolas" w:hAnsi="Consolas"/>
          <w:sz w:val="19"/>
        </w:rPr>
        <w:t>03-implementation.md</w:t>
      </w:r>
      <w:r>
        <w:t xml:space="preserve"> and </w:t>
      </w:r>
      <w:r>
        <w:rPr>
          <w:rFonts w:ascii="Consolas" w:hAnsi="Consolas"/>
          <w:sz w:val="19"/>
        </w:rPr>
        <w:t>05-testing.md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The re-ID risk assessment FAILs on k-anonymity (smallest class &lt; k)</w:t>
      </w:r>
    </w:p>
    <w:p>
      <w:pPr>
        <w:pStyle w:val="ListBullet"/>
      </w:pPr>
      <w:r>
        <w:rPr>
          <w:b/>
        </w:rPr>
        <w:t>Cause:</w:t>
      </w:r>
      <w:r>
        <w:t xml:space="preserve"> Quasi-identifiers are too granular — a rare combination (e.g. exact date + 5-digit ZIP +</w:t>
      </w:r>
    </w:p>
    <w:p>
      <w:r>
        <w:t xml:space="preserve">  age) isolates individuals.</w:t>
      </w:r>
    </w:p>
    <w:p>
      <w:pPr>
        <w:pStyle w:val="ListBullet"/>
      </w:pPr>
      <w:r>
        <w:rPr>
          <w:b/>
        </w:rPr>
        <w:t>Resolve:</w:t>
      </w:r>
      <w:r>
        <w:t xml:space="preserve"> In </w:t>
      </w:r>
      <w:r>
        <w:rPr>
          <w:b/>
        </w:rPr>
        <w:t>De-Identification Pipeline – Pilot – v1</w:t>
      </w:r>
      <w:r>
        <w:t>, strengthen generalization on the</w:t>
      </w:r>
    </w:p>
    <w:p>
      <w:r>
        <w:t xml:space="preserve">  offending quasi-identifiers (wider age bands, ZIP truncation to 3 digits, coarser dates), re-run   </w:t>
      </w:r>
      <w:r>
        <w:rPr>
          <w:rFonts w:ascii="Consolas" w:hAnsi="Consolas"/>
          <w:sz w:val="19"/>
        </w:rPr>
        <w:t>deid_pipeline.py</w:t>
      </w:r>
      <w:r>
        <w:t xml:space="preserve">, then </w:t>
      </w:r>
      <w:r>
        <w:rPr>
          <w:rFonts w:ascii="Consolas" w:hAnsi="Consolas"/>
          <w:sz w:val="19"/>
        </w:rPr>
        <w:t>reid_risk_assessor.py</w:t>
      </w:r>
      <w:r>
        <w:t xml:space="preserve">. Do </w:t>
      </w:r>
      <w:r>
        <w:rPr>
          <w:b/>
        </w:rPr>
        <w:t>not</w:t>
      </w:r>
      <w:r>
        <w:t xml:space="preserve"> release until k ≥ threshold.</w:t>
      </w:r>
    </w:p>
    <w:p>
      <w:pPr>
        <w:pStyle w:val="Heading2"/>
      </w:pPr>
      <w:r>
        <w:t>l-diversity FAILs even though k passes</w:t>
      </w:r>
    </w:p>
    <w:p>
      <w:pPr>
        <w:pStyle w:val="ListBullet"/>
      </w:pPr>
      <w:r>
        <w:rPr>
          <w:b/>
        </w:rPr>
        <w:t>Cause:</w:t>
      </w:r>
      <w:r>
        <w:t xml:space="preserve"> An equivalence class is large enough (k) but everyone in it shares the same sensitive</w:t>
      </w:r>
    </w:p>
    <w:p>
      <w:r>
        <w:t xml:space="preserve">  value — the attribute leaks despite anonymity.</w:t>
      </w:r>
    </w:p>
    <w:p>
      <w:pPr>
        <w:pStyle w:val="ListBullet"/>
      </w:pPr>
      <w:r>
        <w:rPr>
          <w:b/>
        </w:rPr>
        <w:t>Resolve:</w:t>
      </w:r>
      <w:r>
        <w:t xml:space="preserve"> Coarsen the quasi-identifiers so classes merge and gain sensitive-value diversity, or</w:t>
      </w:r>
    </w:p>
    <w:p>
      <w:r>
        <w:t xml:space="preserve">  reconsider whether that attribute should be released at this granularity. Re-run the assessor.</w:t>
      </w:r>
    </w:p>
    <w:p>
      <w:pPr>
        <w:pStyle w:val="Heading2"/>
      </w:pPr>
      <w:r>
        <w:t>Disclosure-risk proportion is over threshold but k looks fine</w:t>
      </w:r>
    </w:p>
    <w:p>
      <w:pPr>
        <w:pStyle w:val="ListBullet"/>
      </w:pPr>
      <w:r>
        <w:rPr>
          <w:b/>
        </w:rPr>
        <w:t>Cause:</w:t>
      </w:r>
      <w:r>
        <w:t xml:space="preserve"> Many *small* classes just above the FAIL line still push the share of at-risk records</w:t>
      </w:r>
    </w:p>
    <w:p>
      <w:r>
        <w:t xml:space="preserve">  over </w:t>
      </w:r>
      <w:r>
        <w:rPr>
          <w:rFonts w:ascii="Consolas" w:hAnsi="Consolas"/>
          <w:sz w:val="19"/>
        </w:rPr>
        <w:t>max_disclosure_risk</w:t>
      </w:r>
      <w:r>
        <w:t>. k is the minimum; disclosure-risk is a distribution.</w:t>
      </w:r>
    </w:p>
    <w:p>
      <w:pPr>
        <w:pStyle w:val="ListBullet"/>
      </w:pPr>
      <w:r>
        <w:rPr>
          <w:b/>
        </w:rPr>
        <w:t>Resolve:</w:t>
      </w:r>
      <w:r>
        <w:t xml:space="preserve"> Generalize the long tail of small classes; re-check both </w:t>
      </w:r>
      <w:r>
        <w:rPr>
          <w:rFonts w:ascii="Consolas" w:hAnsi="Consolas"/>
          <w:sz w:val="19"/>
        </w:rPr>
        <w:t>k_anonymity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disclosure_risk</w:t>
      </w:r>
      <w:r>
        <w:t xml:space="preserve"> in the report.</w:t>
      </w:r>
    </w:p>
    <w:p>
      <w:pPr>
        <w:pStyle w:val="Heading2"/>
      </w:pPr>
      <w:r>
        <w:t>High `unique_record_share` on the synthesis route</w:t>
      </w:r>
    </w:p>
    <w:p>
      <w:pPr>
        <w:pStyle w:val="ListBullet"/>
      </w:pPr>
      <w:r>
        <w:rPr>
          <w:b/>
        </w:rPr>
        <w:t>Cause:</w:t>
      </w:r>
      <w:r>
        <w:t xml:space="preserve"> The synthesizer memorized real records — a membership-inference signal, not just low</w:t>
      </w:r>
    </w:p>
    <w:p>
      <w:r>
        <w:t xml:space="preserve">  utility.</w:t>
      </w:r>
    </w:p>
    <w:p>
      <w:pPr>
        <w:pStyle w:val="ListBullet"/>
      </w:pPr>
      <w:r>
        <w:rPr>
          <w:b/>
        </w:rPr>
        <w:t>Resolve:</w:t>
      </w:r>
      <w:r>
        <w:t xml:space="preserve"> Regenerate with the synthesizer's privacy/regularization controls (see the vendor's</w:t>
      </w:r>
    </w:p>
    <w:p>
      <w:r>
        <w:t xml:space="preserve">  documentation for version-specific options). Treat this as a </w:t>
      </w:r>
      <w:r>
        <w:rPr>
          <w:b/>
        </w:rPr>
        <w:t>privacy</w:t>
      </w:r>
      <w:r>
        <w:t xml:space="preserve"> failure, not a fidelity   one.</w:t>
      </w:r>
    </w:p>
    <w:p>
      <w:pPr>
        <w:pStyle w:val="Heading2"/>
      </w:pPr>
      <w:r>
        <w:t>`phi_field_scanner.py` audit finds residual SSN/email/phone in the output</w:t>
      </w:r>
    </w:p>
    <w:p>
      <w:pPr>
        <w:pStyle w:val="ListBullet"/>
      </w:pPr>
      <w:r>
        <w:rPr>
          <w:b/>
        </w:rPr>
        <w:t>Cause:</w:t>
      </w:r>
      <w:r>
        <w:t xml:space="preserve"> A direct-identifier column was misclassified as non-identifying, so the pipeline kept it.</w:t>
      </w:r>
    </w:p>
    <w:p>
      <w:pPr>
        <w:pStyle w:val="ListBullet"/>
      </w:pPr>
      <w:r>
        <w:rPr>
          <w:b/>
        </w:rPr>
        <w:t>Resolve:</w:t>
      </w:r>
      <w:r>
        <w:t xml:space="preserve"> Correct </w:t>
      </w:r>
      <w:r>
        <w:rPr>
          <w:b/>
        </w:rPr>
        <w:t>Field Classification – Pilot – v1</w:t>
      </w:r>
      <w:r>
        <w:t>, regenerate the pipeline config with</w:t>
      </w:r>
    </w:p>
    <w:p>
      <w:r>
        <w:t xml:space="preserve">  </w:t>
      </w:r>
      <w:r>
        <w:rPr>
          <w:rFonts w:ascii="Consolas" w:hAnsi="Consolas"/>
          <w:sz w:val="19"/>
        </w:rPr>
        <w:t>deid_config_helper.py</w:t>
      </w:r>
      <w:r>
        <w:t xml:space="preserve">, re-run </w:t>
      </w:r>
      <w:r>
        <w:rPr>
          <w:rFonts w:ascii="Consolas" w:hAnsi="Consolas"/>
          <w:sz w:val="19"/>
        </w:rPr>
        <w:t>deid_pipeline.py</w:t>
      </w:r>
      <w:r>
        <w:t xml:space="preserve">, and re-audit. This is a </w:t>
      </w:r>
      <w:r>
        <w:rPr>
          <w:b/>
        </w:rPr>
        <w:t>Gate A</w:t>
      </w:r>
      <w:r>
        <w:t xml:space="preserve"> classification   miss — fix upstream, not by patching the output.</w:t>
      </w:r>
    </w:p>
    <w:p>
      <w:pPr>
        <w:pStyle w:val="Heading2"/>
      </w:pPr>
      <w:r>
        <w:t>`deid_pipeline.py` refuses to run ("key inside the test environment")</w:t>
      </w:r>
    </w:p>
    <w:p>
      <w:pPr>
        <w:pStyle w:val="ListBullet"/>
      </w:pPr>
      <w:r>
        <w:rPr>
          <w:b/>
        </w:rPr>
        <w:t>Cause:</w:t>
      </w:r>
      <w:r>
        <w:t xml:space="preserve"> The config sets a field to </w:t>
      </w:r>
      <w:r>
        <w:rPr>
          <w:rFonts w:ascii="Consolas" w:hAnsi="Consolas"/>
          <w:sz w:val="19"/>
        </w:rPr>
        <w:t>pseudonymize</w:t>
      </w:r>
      <w:r>
        <w:t xml:space="preserve"> with </w:t>
      </w:r>
      <w:r>
        <w:rPr>
          <w:rFonts w:ascii="Consolas" w:hAnsi="Consolas"/>
          <w:sz w:val="19"/>
        </w:rPr>
        <w:t>key_location</w:t>
      </w:r>
      <w:r>
        <w:t xml:space="preserve"> inside the test environment</w:t>
      </w:r>
    </w:p>
    <w:p>
      <w:r>
        <w:t xml:space="preserve">  — an S4 violation the pipeline blocks by design.</w:t>
      </w:r>
    </w:p>
    <w:p>
      <w:pPr>
        <w:pStyle w:val="ListBullet"/>
      </w:pPr>
      <w:r>
        <w:rPr>
          <w:b/>
        </w:rPr>
        <w:t>Resolve:</w:t>
      </w:r>
      <w:r>
        <w:t xml:space="preserve"> Move the re-identification key to the privacy-controlled zone (outside the test</w:t>
      </w:r>
    </w:p>
    <w:p>
      <w:r>
        <w:t xml:space="preserve">  environment) and record its custody, or change the field to </w:t>
      </w:r>
      <w:r>
        <w:rPr>
          <w:rFonts w:ascii="Consolas" w:hAnsi="Consolas"/>
          <w:sz w:val="19"/>
        </w:rPr>
        <w:t>suppress</w:t>
      </w:r>
      <w:r>
        <w:t>. Then re-run.</w:t>
      </w:r>
    </w:p>
    <w:p>
      <w:pPr>
        <w:pStyle w:val="Heading2"/>
      </w:pPr>
      <w:r>
        <w:t>Fidelity/coverage FAILs — distributions collapsed</w:t>
      </w:r>
    </w:p>
    <w:p>
      <w:pPr>
        <w:pStyle w:val="ListBullet"/>
      </w:pPr>
      <w:r>
        <w:rPr>
          <w:b/>
        </w:rPr>
        <w:t>Cause:</w:t>
      </w:r>
      <w:r>
        <w:t xml:space="preserve"> Over-generalization to pass the privacy gate destroyed analytic utility (the AI/QA use</w:t>
      </w:r>
    </w:p>
    <w:p>
      <w:r>
        <w:t xml:space="preserve">  cases can no longer be exercised).</w:t>
      </w:r>
    </w:p>
    <w:p>
      <w:pPr>
        <w:pStyle w:val="ListBullet"/>
      </w:pPr>
      <w:r>
        <w:rPr>
          <w:b/>
        </w:rPr>
        <w:t>Resolve:</w:t>
      </w:r>
      <w:r>
        <w:t xml:space="preserve"> This is a </w:t>
      </w:r>
      <w:r>
        <w:rPr>
          <w:b/>
        </w:rPr>
        <w:t>trade-off decision</w:t>
      </w:r>
      <w:r>
        <w:t>, not automatically a privacy failure. Find a milder</w:t>
      </w:r>
    </w:p>
    <w:p>
      <w:r>
        <w:t xml:space="preserve">  generalization that still passes </w:t>
      </w:r>
      <w:r>
        <w:rPr>
          <w:rFonts w:ascii="Consolas" w:hAnsi="Consolas"/>
          <w:sz w:val="19"/>
        </w:rPr>
        <w:t>reid_risk_assessor.py</w:t>
      </w:r>
      <w:r>
        <w:t>, or revise the reference tolerance with the   stakeholders. Record the chosen point on the privacy/utility curve.</w:t>
      </w:r>
    </w:p>
    <w:p>
      <w:pPr>
        <w:pStyle w:val="Heading2"/>
      </w:pPr>
      <w:r>
        <w:t>`reid_risk_assessor.py` errors: "classification lists no quasi-identifiers"</w:t>
      </w:r>
    </w:p>
    <w:p>
      <w:pPr>
        <w:pStyle w:val="ListBullet"/>
      </w:pPr>
      <w:r>
        <w:rPr>
          <w:b/>
        </w:rPr>
        <w:t>Cause:</w:t>
      </w:r>
      <w:r>
        <w:t xml:space="preserve"> The classification has no fields marked </w:t>
      </w:r>
      <w:r>
        <w:rPr>
          <w:rFonts w:ascii="Consolas" w:hAnsi="Consolas"/>
          <w:sz w:val="19"/>
        </w:rPr>
        <w:t>quasi_identifier</w:t>
      </w:r>
      <w:r>
        <w:t>, so k-anonymity is undefined.</w:t>
      </w:r>
    </w:p>
    <w:p>
      <w:pPr>
        <w:pStyle w:val="ListBullet"/>
      </w:pPr>
      <w:r>
        <w:rPr>
          <w:b/>
        </w:rPr>
        <w:t>Resolve:</w:t>
      </w:r>
      <w:r>
        <w:t xml:space="preserve"> Re-check </w:t>
      </w:r>
      <w:r>
        <w:rPr>
          <w:b/>
        </w:rPr>
        <w:t>Field Classification – Pilot – v1</w:t>
      </w:r>
      <w:r>
        <w:t xml:space="preserve"> — dates, geography, and demographics are</w:t>
      </w:r>
    </w:p>
    <w:p>
      <w:r>
        <w:t xml:space="preserve">  almost always quasi-identifiers. Have the privacy stakeholder confirm the list.</w:t>
      </w:r>
    </w:p>
    <w:p>
      <w:pPr>
        <w:pStyle w:val="Heading2"/>
      </w:pPr>
      <w:r>
        <w:t>The metrics all PASS — is the data releasable?</w:t>
      </w:r>
    </w:p>
    <w:p>
      <w:pPr>
        <w:pStyle w:val="ListBullet"/>
      </w:pPr>
      <w:r>
        <w:rPr>
          <w:b/>
        </w:rPr>
        <w:t>Cause:</w:t>
      </w:r>
      <w:r>
        <w:t xml:space="preserve"> A green report is a </w:t>
      </w:r>
      <w:r>
        <w:rPr>
          <w:b/>
        </w:rPr>
        <w:t>technical</w:t>
      </w:r>
      <w:r>
        <w:t xml:space="preserve"> signal only.</w:t>
      </w:r>
    </w:p>
    <w:p>
      <w:pPr>
        <w:pStyle w:val="ListBullet"/>
      </w:pPr>
      <w:r>
        <w:rPr>
          <w:b/>
        </w:rPr>
        <w:t>Resolve:</w:t>
      </w:r>
      <w:r>
        <w:t xml:space="preserve"> Route the </w:t>
      </w:r>
      <w:r>
        <w:rPr>
          <w:b/>
        </w:rPr>
        <w:t>Privacy Evidence Record</w:t>
      </w:r>
      <w:r>
        <w:t xml:space="preserve"> to privacy/compliance/legal and obtain the</w:t>
      </w:r>
    </w:p>
    <w:p>
      <w:r>
        <w:t xml:space="preserve">  recorded determination/sign-off (Testing </w:t>
      </w:r>
      <w:r>
        <w:rPr>
          <w:b/>
        </w:rPr>
        <w:t>T8</w:t>
      </w:r>
      <w:r>
        <w:t>). Release only after that. A technical PASS is never   the regulatory determination.</w:t>
      </w:r>
    </w:p>
    <w:p>
      <w:pPr>
        <w:pStyle w:val="Heading2"/>
      </w:pPr>
      <w:r>
        <w:t>Expansion dataset behaves differently from the pilot</w:t>
      </w:r>
    </w:p>
    <w:p>
      <w:pPr>
        <w:pStyle w:val="ListBullet"/>
      </w:pPr>
      <w:r>
        <w:rPr>
          <w:b/>
        </w:rPr>
        <w:t>Cause:</w:t>
      </w:r>
      <w:r>
        <w:t xml:space="preserve"> New scope has different cardinality/rarity, so the pilot's PASS does not carry over.</w:t>
      </w:r>
    </w:p>
    <w:p>
      <w:pPr>
        <w:pStyle w:val="ListBullet"/>
      </w:pPr>
      <w:r>
        <w:rPr>
          <w:b/>
        </w:rPr>
        <w:t>Resolve:</w:t>
      </w:r>
      <w:r>
        <w:t xml:space="preserve"> Re-run Stages 1–4 for the new increment and capture a fresh evidence record — expansion</w:t>
      </w:r>
    </w:p>
    <w:p>
      <w:r>
        <w:t xml:space="preserve">  never inherits the pilot's result.</w:t>
      </w:r>
    </w:p>
    <w:p>
      <w:pPr>
        <w:pStyle w:val="Heading1"/>
      </w:pPr>
      <w:r>
        <w:t>Best Practices</w:t>
      </w:r>
    </w:p>
    <w:p>
      <w:r>
        <w:t xml:space="preserve">Durable practices for running privacy-conscious test environments. These keep the work </w:t>
      </w:r>
      <w:r>
        <w:rPr>
          <w:b/>
        </w:rPr>
        <w:t>safe by design and defensible on review</w:t>
      </w:r>
      <w:r>
        <w:t xml:space="preserve"> as scope grows.</w:t>
      </w:r>
    </w:p>
    <w:p>
      <w:pPr>
        <w:pStyle w:val="Heading2"/>
      </w:pPr>
      <w:r>
        <w:t>Keep the determination separate from the method</w:t>
      </w:r>
    </w:p>
    <w:p>
      <w:pPr>
        <w:pStyle w:val="ListBullet"/>
      </w:pPr>
      <w:r>
        <w:t xml:space="preserve">Engineering produces </w:t>
      </w:r>
      <w:r>
        <w:rPr>
          <w:b/>
        </w:rPr>
        <w:t>metrics + evidence</w:t>
      </w:r>
      <w:r>
        <w:t xml:space="preserve">; privacy/compliance/legal makes the </w:t>
      </w:r>
      <w:r>
        <w:rPr>
          <w:b/>
        </w:rPr>
        <w:t>determination</w:t>
      </w:r>
      <w:r>
        <w:t>.</w:t>
      </w:r>
    </w:p>
    <w:p>
      <w:r>
        <w:t xml:space="preserve">  Never let a green k-anonymity number stand in for a regulatory sign-off. Wire the sign-off into the   release gate so the two cannot be conflated.</w:t>
      </w:r>
    </w:p>
    <w:p>
      <w:pPr>
        <w:pStyle w:val="Heading2"/>
      </w:pPr>
      <w:r>
        <w:t>Define "safe" as a number before you generate</w:t>
      </w:r>
    </w:p>
    <w:p>
      <w:pPr>
        <w:pStyle w:val="ListBullet"/>
      </w:pPr>
      <w:r>
        <w:t xml:space="preserve">Agree </w:t>
      </w:r>
      <w:r>
        <w:rPr>
          <w:b/>
        </w:rPr>
        <w:t>Risk Threshold – Pilot – v1</w:t>
      </w:r>
      <w:r>
        <w:t xml:space="preserve"> (minimum k, minimum l, max disclosure-risk) *before* building</w:t>
      </w:r>
    </w:p>
    <w:p>
      <w:r>
        <w:t xml:space="preserve">  the pipeline. A threshold set after seeing results is not a control.</w:t>
      </w:r>
    </w:p>
    <w:p>
      <w:pPr>
        <w:pStyle w:val="Heading2"/>
      </w:pPr>
      <w:r>
        <w:t>Classification is the highest-leverage decision</w:t>
      </w:r>
    </w:p>
    <w:p>
      <w:pPr>
        <w:pStyle w:val="ListBullet"/>
      </w:pPr>
      <w:r>
        <w:t xml:space="preserve">Most re-ID risk hides in </w:t>
      </w:r>
      <w:r>
        <w:rPr>
          <w:b/>
        </w:rPr>
        <w:t>misclassified quasi-identifiers</w:t>
      </w:r>
      <w:r>
        <w:t xml:space="preserve"> (dates, geography, rare categories).</w:t>
      </w:r>
    </w:p>
    <w:p>
      <w:r>
        <w:t xml:space="preserve">  Treat the classification as a reviewed artifact, not a script output — the scanner suggests, the   privacy stakeholder decides.</w:t>
      </w:r>
    </w:p>
    <w:p>
      <w:pPr>
        <w:pStyle w:val="Heading2"/>
      </w:pPr>
      <w:r>
        <w:t>Never let real PHI touch the shared environment</w:t>
      </w:r>
    </w:p>
    <w:p>
      <w:pPr>
        <w:pStyle w:val="ListBullet"/>
      </w:pPr>
      <w:r>
        <w:t xml:space="preserve">The minimized source extract stays in the </w:t>
      </w:r>
      <w:r>
        <w:rPr>
          <w:b/>
        </w:rPr>
        <w:t>privacy-controlled zone</w:t>
      </w:r>
      <w:r>
        <w:t>; only *released* de-identified</w:t>
      </w:r>
    </w:p>
    <w:p>
      <w:r>
        <w:t xml:space="preserve">  or synthetic datasets enter the isolated test environment. If a re-identification key exists, it is   held </w:t>
      </w:r>
      <w:r>
        <w:rPr>
          <w:b/>
        </w:rPr>
        <w:t>outside</w:t>
      </w:r>
      <w:r>
        <w:t xml:space="preserve"> that environment under the privacy function's custody.</w:t>
      </w:r>
    </w:p>
    <w:p>
      <w:pPr>
        <w:pStyle w:val="Heading2"/>
      </w:pPr>
      <w:r>
        <w:t>Default to suppression; pseudonymize only with a documented need</w:t>
      </w:r>
    </w:p>
    <w:p>
      <w:pPr>
        <w:pStyle w:val="ListBullet"/>
      </w:pPr>
      <w:r>
        <w:t>Suppress direct identifiers by default. Only pseudonymize where a governed re-linkage requirement is</w:t>
      </w:r>
    </w:p>
    <w:p>
      <w:r>
        <w:t xml:space="preserve">  written down, and then segregate the key. A key stored beside the data defeats the exercise.</w:t>
      </w:r>
    </w:p>
    <w:p>
      <w:pPr>
        <w:pStyle w:val="Heading2"/>
      </w:pPr>
      <w:r>
        <w:t>Treat the fidelity/privacy trade-off explicitly</w:t>
      </w:r>
    </w:p>
    <w:p>
      <w:pPr>
        <w:pStyle w:val="ListBullet"/>
      </w:pPr>
      <w:r>
        <w:t>Stronger generalization lowers re-ID risk and lowers utility. Use the pilot to find an acceptable</w:t>
      </w:r>
    </w:p>
    <w:p>
      <w:r>
        <w:t xml:space="preserve">  point on that curve, and record the choice. Don't over-generalize into uselessness or under-   generalize into exposure by accident.</w:t>
      </w:r>
    </w:p>
    <w:p>
      <w:pPr>
        <w:pStyle w:val="Heading2"/>
      </w:pPr>
      <w:r>
        <w:t>Watch for memorization on the synthesis route</w:t>
      </w:r>
    </w:p>
    <w:p>
      <w:pPr>
        <w:pStyle w:val="ListBullet"/>
      </w:pPr>
      <w:r>
        <w:t>A synthesizer that memorizes real records fails privacy even though "no real data was copied."</w:t>
      </w:r>
    </w:p>
    <w:p>
      <w:r>
        <w:t xml:space="preserve">  Always run membership/attribute-inference checks on synthetic output, not just on de-identified   output.</w:t>
      </w:r>
    </w:p>
    <w:p>
      <w:pPr>
        <w:pStyle w:val="Heading2"/>
      </w:pPr>
      <w:r>
        <w:t>Make every released dataset traceable</w:t>
      </w:r>
    </w:p>
    <w:p>
      <w:pPr>
        <w:pStyle w:val="ListBullet"/>
      </w:pPr>
      <w:r>
        <w:t>Version the classification, pipeline config, thresholds, and evidence record together. Any released</w:t>
      </w:r>
    </w:p>
    <w:p>
      <w:r>
        <w:t xml:space="preserve">  test dataset should be reproducible from — and justified by — its captured evidence.</w:t>
      </w:r>
    </w:p>
    <w:p>
      <w:pPr>
        <w:pStyle w:val="Heading2"/>
      </w:pPr>
      <w:r>
        <w:t>Re-run the gates on every expansion</w:t>
      </w:r>
    </w:p>
    <w:p>
      <w:pPr>
        <w:pStyle w:val="ListBullet"/>
      </w:pPr>
      <w:r>
        <w:t>Expansion never inherits the pilot's PASS. Each new domain/cohort gets its own classification, risk</w:t>
      </w:r>
    </w:p>
    <w:p>
      <w:r>
        <w:t xml:space="preserve">  assessment, and evidence record.</w:t>
      </w:r>
    </w:p>
    <w:p>
      <w:pPr>
        <w:pStyle w:val="Heading2"/>
      </w:pPr>
      <w:r>
        <w:t>Roll back cleanly on failure</w:t>
      </w:r>
    </w:p>
    <w:p>
      <w:pPr>
        <w:pStyle w:val="ListBullet"/>
      </w:pPr>
      <w:r>
        <w:t xml:space="preserve">On any gate failure, </w:t>
      </w:r>
      <w:r>
        <w:rPr>
          <w:b/>
        </w:rPr>
        <w:t>do not release</w:t>
      </w:r>
      <w:r>
        <w:t xml:space="preserve"> — retain the failing evidence (it documents the hold),</w:t>
      </w:r>
    </w:p>
    <w:p>
      <w:r>
        <w:t xml:space="preserve">  tighten the policy, and repeat. Because only released datasets enter the environment, a held   candidate carries zero exposure.</w:t>
      </w:r>
    </w:p>
    <w:p>
      <w:pPr>
        <w:pStyle w:val="Heading2"/>
      </w:pPr>
      <w:r>
        <w:t>Defer version-specific vendor behavior</w:t>
      </w:r>
    </w:p>
    <w:p>
      <w:pPr>
        <w:pStyle w:val="ListBullet"/>
      </w:pPr>
      <w:r>
        <w:t>Where a commercial synthesizer or de-identification platform is used, integrate it at the pattern</w:t>
      </w:r>
    </w:p>
    <w:p>
      <w:r>
        <w:t xml:space="preserve">  level and </w:t>
      </w:r>
      <w:r>
        <w:rPr>
          <w:b/>
        </w:rPr>
        <w:t>verify version-specific behavior against the vendor's documentation</w:t>
      </w:r>
      <w:r>
        <w:t xml:space="preserve"> rather than   assuming console internals.</w:t>
      </w:r>
    </w:p>
    <w:p>
      <w:pPr>
        <w:pStyle w:val="Heading1"/>
      </w:pPr>
      <w:r>
        <w:t>Deliverables Summary</w:t>
      </w:r>
    </w:p>
    <w:p>
      <w:r>
        <w:t xml:space="preserve">What the buyer receives — a complete, self-guided kit to establish a </w:t>
      </w:r>
      <w:r>
        <w:rPr>
          <w:b/>
        </w:rPr>
        <w:t>privacy-conscious test environment</w:t>
      </w:r>
      <w:r>
        <w:t>: de-identification/synthesis pipeline, re-identification-risk assessment against a threshold, and the privacy evidence governance needs to review and approve.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— the privacy model for test data (synthetic vs. de-identified), disclosure-</w:t>
      </w:r>
    </w:p>
    <w:p>
      <w:r>
        <w:t xml:space="preserve">  risk concepts (k-anonymity, l-diversity, membership/attribute inference), the safe-by-design   posture, and the Assess→Design→Generate/Build→Validate→Expand model.</w:t>
      </w:r>
    </w:p>
    <w:p>
      <w:pPr>
        <w:pStyle w:val="ListBullet"/>
      </w:pPr>
      <w:r>
        <w:rPr>
          <w:b/>
        </w:rPr>
        <w:t>Requirements Guide</w:t>
      </w:r>
      <w:r>
        <w:t xml:space="preserve"> — the six category-wide prerequisites plus five solution-specific ones (field</w:t>
      </w:r>
    </w:p>
    <w:p>
      <w:r>
        <w:t xml:space="preserve">  classification, disclosure-risk threshold, governed source extract, pseudonymization/key decision,   evidence destination), each with how to verify and how to implement.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 ordered steps, pilot-first, with named artifacts and the three</w:t>
      </w:r>
    </w:p>
    <w:p>
      <w:r>
        <w:t xml:space="preserve">  pass/fail gates (scope, design, privacy release) plus rollback.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validation procedures (classification, suppression, k-anonymity,</w:t>
      </w:r>
    </w:p>
    <w:p>
      <w:r>
        <w:t xml:space="preserve">  l-diversity, disclosure-risk/inference, fidelity, evidence completeness, human release decision),   each with expected PASS/FAIL.</w:t>
      </w:r>
    </w:p>
    <w:p>
      <w:pPr>
        <w:pStyle w:val="ListBullet"/>
      </w:pPr>
      <w:r>
        <w:rPr>
          <w:b/>
        </w:rPr>
        <w:t>Troubleshooting</w:t>
      </w:r>
      <w:r>
        <w:t xml:space="preserve"> — common failure modes and resolutions.</w:t>
      </w:r>
    </w:p>
    <w:p>
      <w:pPr>
        <w:pStyle w:val="ListBullet"/>
      </w:pPr>
      <w:r>
        <w:rPr>
          <w:b/>
        </w:rPr>
        <w:t>Best Practices</w:t>
      </w:r>
      <w:r>
        <w:t xml:space="preserve"> — durable practices for keeping test data safe and defensible as scope grows.</w:t>
      </w:r>
    </w:p>
    <w:p>
      <w:pPr>
        <w:pStyle w:val="Heading2"/>
      </w:pPr>
      <w:r>
        <w:t>The 5 Python tools</w:t>
      </w:r>
    </w:p>
    <w:p>
      <w:pPr>
        <w:pStyle w:val="ListNumber"/>
      </w:pPr>
      <w:r>
        <w:rPr>
          <w:rFonts w:ascii="Consolas" w:hAnsi="Consolas"/>
          <w:sz w:val="19"/>
        </w:rPr>
        <w:t>phi_field_scanner.py</w:t>
      </w:r>
      <w:r>
        <w:t xml:space="preserve"> — *Assessment / profiling.* Profiles a tabular extract and </w:t>
      </w:r>
      <w:r>
        <w:rPr>
          <w:b/>
        </w:rPr>
        <w:t>suggests</w:t>
      </w:r>
      <w:r>
        <w:t xml:space="preserve"> a</w:t>
      </w:r>
    </w:p>
    <w:p>
      <w:r>
        <w:t xml:space="preserve">   per-field classification (direct identifier / quasi-identifier / sensitive / non-identifying) using    name and value-pattern heuristics; also runs an </w:t>
      </w:r>
      <w:r>
        <w:rPr>
          <w:b/>
        </w:rPr>
        <w:t>audit</w:t>
      </w:r>
      <w:r>
        <w:t xml:space="preserve"> mode to detect residual direct-identifier    values in an output. Produces the draft for </w:t>
      </w:r>
      <w:r>
        <w:rPr>
          <w:b/>
        </w:rPr>
        <w:t>Field Classification – Pilot – v1</w:t>
      </w:r>
      <w:r>
        <w:t>. Read-only; writes    only a classification JSON.</w:t>
      </w:r>
    </w:p>
    <w:p>
      <w:pPr>
        <w:pStyle w:val="ListNumber"/>
      </w:pPr>
      <w:r>
        <w:rPr>
          <w:rFonts w:ascii="Consolas" w:hAnsi="Consolas"/>
          <w:sz w:val="19"/>
        </w:rPr>
        <w:t>deid_pipeline.py</w:t>
      </w:r>
      <w:r>
        <w:t xml:space="preserve"> — *Transformation / generation.* Applies the de-identification pipeline —</w:t>
      </w:r>
    </w:p>
    <w:p>
      <w:r>
        <w:t xml:space="preserve">   suppress direct identifiers, generalize quasi-identifiers (age bands, ZIP truncation, date    shifting/coarsening), pass through non-identifying fields — per the pipeline config. </w:t>
      </w:r>
      <w:r>
        <w:rPr>
          <w:b/>
        </w:rPr>
        <w:t>Dry-run by    default</w:t>
      </w:r>
      <w:r>
        <w:t xml:space="preserve">; writes the de-identified dataset only with </w:t>
      </w:r>
      <w:r>
        <w:rPr>
          <w:rFonts w:ascii="Consolas" w:hAnsi="Consolas"/>
          <w:sz w:val="19"/>
        </w:rPr>
        <w:t>--apply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fidelity_coverage_report.py</w:t>
      </w:r>
      <w:r>
        <w:t xml:space="preserve"> — *Fidelity / coverage report.* Compares the candidate dataset's</w:t>
      </w:r>
    </w:p>
    <w:p>
      <w:r>
        <w:t xml:space="preserve">   marginal distributions and category coverage to an agreed reference-statistics file and reports    whether utility survived de-identification, within a documented tolerance.</w:t>
      </w:r>
    </w:p>
    <w:p>
      <w:pPr>
        <w:pStyle w:val="ListNumber"/>
      </w:pPr>
      <w:r>
        <w:rPr>
          <w:rFonts w:ascii="Consolas" w:hAnsi="Consolas"/>
          <w:sz w:val="19"/>
        </w:rPr>
        <w:t>reid_risk_assessor.py</w:t>
      </w:r>
      <w:r>
        <w:t xml:space="preserve"> — *Privacy / validation check.* Computes </w:t>
      </w:r>
      <w:r>
        <w:rPr>
          <w:b/>
        </w:rPr>
        <w:t>k-anonymity</w:t>
      </w:r>
      <w:r>
        <w:t>,</w:t>
      </w:r>
    </w:p>
    <w:p>
      <w:r>
        <w:t xml:space="preserve">   </w:t>
      </w:r>
      <w:r>
        <w:rPr>
          <w:b/>
        </w:rPr>
        <w:t>l-diversity</w:t>
      </w:r>
      <w:r>
        <w:t xml:space="preserve">, the </w:t>
      </w:r>
      <w:r>
        <w:rPr>
          <w:b/>
        </w:rPr>
        <w:t>disclosure-risk proportion</w:t>
      </w:r>
      <w:r>
        <w:t xml:space="preserve">, and simple </w:t>
      </w:r>
      <w:r>
        <w:rPr>
          <w:b/>
        </w:rPr>
        <w:t>membership/attribute-inference</w:t>
      </w:r>
      <w:r>
        <w:t xml:space="preserve">    signals over the quasi-identifiers/sensitive attributes, and reports </w:t>
      </w:r>
      <w:r>
        <w:rPr>
          <w:b/>
        </w:rPr>
        <w:t>PASS/FAIL</w:t>
      </w:r>
      <w:r>
        <w:t xml:space="preserve"> against the    agreed threshold. The core release-gate tool.</w:t>
      </w:r>
    </w:p>
    <w:p>
      <w:pPr>
        <w:pStyle w:val="ListNumber"/>
      </w:pPr>
      <w:r>
        <w:rPr>
          <w:rFonts w:ascii="Consolas" w:hAnsi="Consolas"/>
          <w:sz w:val="19"/>
        </w:rPr>
        <w:t>deid_config_helper.py</w:t>
      </w:r>
      <w:r>
        <w:t xml:space="preserve"> — *Scope / config helper.* Generates and validates a starting</w:t>
      </w:r>
    </w:p>
    <w:p>
      <w:r>
        <w:t xml:space="preserve">   </w:t>
      </w:r>
      <w:r>
        <w:rPr>
          <w:b/>
        </w:rPr>
        <w:t>De-Identification Pipeline – Pilot – v1</w:t>
      </w:r>
      <w:r>
        <w:t xml:space="preserve"> config from a field classification and target k/l, and    (with </w:t>
      </w:r>
      <w:r>
        <w:rPr>
          <w:rFonts w:ascii="Consolas" w:hAnsi="Consolas"/>
          <w:sz w:val="19"/>
        </w:rPr>
        <w:t>--assemble-evidence</w:t>
      </w:r>
      <w:r>
        <w:t xml:space="preserve">) composes the </w:t>
      </w:r>
      <w:r>
        <w:rPr>
          <w:b/>
        </w:rPr>
        <w:t>Privacy Evidence Record</w:t>
      </w:r>
      <w:r>
        <w:t xml:space="preserve"> from the classification,    pipeline, risk, and fidelity outputs — so the pipeline, assessor, and evidence all read a    consistent, versioned configuration.</w:t>
      </w:r>
    </w:p>
    <w:p>
      <w:pPr>
        <w:pStyle w:val="Heading2"/>
      </w:pPr>
      <w:r>
        <w:t>What it adds up to</w:t>
      </w:r>
    </w:p>
    <w:p>
      <w:r>
        <w:t xml:space="preserve">Test data that is </w:t>
      </w:r>
      <w:r>
        <w:rPr>
          <w:b/>
        </w:rPr>
        <w:t>safe by design and defensible on review</w:t>
      </w:r>
      <w:r>
        <w:t xml:space="preserve"> — de-identified or synthetic, re-ID risk assessed under an agreed threshold, evidence captured — with the </w:t>
      </w:r>
      <w:r>
        <w:rPr>
          <w:b/>
        </w:rPr>
        <w:t>regulatory determination cleanly deferred</w:t>
      </w:r>
      <w:r>
        <w:t xml:space="preserve"> to the organization's privacy, compliance, and legal functions.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deid_config_helper.py</w:t>
      </w:r>
    </w:p>
    <w:p>
      <w:pPr>
        <w:pStyle w:val="Heading2"/>
      </w:pPr>
      <w:r>
        <w:t>deid_pipeline.py</w:t>
      </w:r>
    </w:p>
    <w:p>
      <w:pPr>
        <w:pStyle w:val="Heading2"/>
      </w:pPr>
      <w:r>
        <w:t>fidelity_coverage_report.py</w:t>
      </w:r>
    </w:p>
    <w:p>
      <w:pPr>
        <w:pStyle w:val="Heading2"/>
      </w:pPr>
      <w:r>
        <w:t>phi_field_scanner.py</w:t>
      </w:r>
    </w:p>
    <w:p>
      <w:pPr>
        <w:pStyle w:val="Heading2"/>
      </w:pPr>
      <w:r>
        <w:t>reid_risk_assessor.py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