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Synthetic Data Sub-Function Standup for Quality Engineering (Operating Model, Pods &amp; KPIs)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2026-07-06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b/>
        </w:rPr>
        <w:t>Outcome.</w:t>
      </w:r>
      <w:r>
        <w:t xml:space="preserve"> This solution stands up a </w:t>
      </w:r>
      <w:r>
        <w:rPr>
          <w:b/>
        </w:rPr>
        <w:t>synthetic data sub-function</w:t>
      </w:r>
      <w:r>
        <w:t xml:space="preserve"> inside quality engineering and turns it into a </w:t>
      </w:r>
      <w:r>
        <w:rPr>
          <w:b/>
        </w:rPr>
        <w:t>repeatable, measured service</w:t>
      </w:r>
      <w:r>
        <w:t xml:space="preserve"> — one that produces trustworthy synthetic clinical data and simulation on demand for AI and QA teams across programs, and proves it is trustworthy with evidence rather than assurances.</w:t>
      </w:r>
    </w:p>
    <w:p>
      <w:r>
        <w:rPr>
          <w:b/>
        </w:rPr>
        <w:t>The problem it solves.</w:t>
      </w:r>
      <w:r>
        <w:t xml:space="preserve"> Building this capability is an </w:t>
      </w:r>
      <w:r>
        <w:rPr>
          <w:b/>
        </w:rPr>
        <w:t>operating-model</w:t>
      </w:r>
      <w:r>
        <w:t xml:space="preserve"> problem, not just a tooling one. Teams can run a generator once; few can turn synthetic data into a service with clear ownership, a predictable front door, quality gates, and metrics that survive executive review. Without that structure, synthetic-data work is heroic, inconsistent, and unmeasured — and quietly risky.</w:t>
      </w:r>
    </w:p>
    <w:p>
      <w:r>
        <w:rPr>
          <w:b/>
        </w:rPr>
        <w:t>The approach.</w:t>
      </w:r>
      <w:r>
        <w:t xml:space="preserve"> The solution supplies the missing structure end to end: the </w:t>
      </w:r>
      <w:r>
        <w:rPr>
          <w:b/>
        </w:rPr>
        <w:t>team design</w:t>
      </w:r>
      <w:r>
        <w:t xml:space="preserve"> (pods/squads behind a single intake queue), </w:t>
      </w:r>
      <w:r>
        <w:rPr>
          <w:b/>
        </w:rPr>
        <w:t>intake and prioritization</w:t>
      </w:r>
      <w:r>
        <w:t xml:space="preserve">, a </w:t>
      </w:r>
      <w:r>
        <w:rPr>
          <w:b/>
        </w:rPr>
        <w:t>reference architecture</w:t>
      </w:r>
      <w:r>
        <w:t xml:space="preserve"> that keeps engines (Synthea, commercial platforms, AI frameworks) swappable behind a stable interface, a </w:t>
      </w:r>
      <w:r>
        <w:rPr>
          <w:b/>
        </w:rPr>
        <w:t>maturity model</w:t>
      </w:r>
      <w:r>
        <w:t xml:space="preserve"> with a review cadence, and a </w:t>
      </w:r>
      <w:r>
        <w:rPr>
          <w:b/>
        </w:rPr>
        <w:t>KPI framework</w:t>
      </w:r>
      <w:r>
        <w:t xml:space="preserve"> that tracks both delivery quality (validation pass rate, defect escape, rework, gate cycle time) and engineering productivity (lead time, throughput, flow efficiency, WIP). It is delivered as self-guided documentation plus </w:t>
      </w:r>
      <w:r>
        <w:rPr>
          <w:b/>
        </w:rPr>
        <w:t>five working Python tools</w:t>
      </w:r>
      <w:r>
        <w:t xml:space="preserve"> that operationalize the model — a maturity self-assessment, an intake/capacity analyzer, a fidelity/coverage report, a privacy screen, and a KPI rollup with a reference-architecture validator. Everything follows the house model </w:t>
      </w:r>
      <w:r>
        <w:rPr>
          <w:b/>
        </w:rPr>
        <w:t>Assess → Design → Generate/Build → Validate → Expand</w:t>
      </w:r>
      <w:r>
        <w:t>, pilot-first, with explicit pass/fail gates and a documented rollback.</w:t>
      </w:r>
    </w:p>
    <w:p>
      <w:r>
        <w:rPr>
          <w:b/>
        </w:rPr>
        <w:t>Why it is safe.</w:t>
      </w:r>
      <w:r>
        <w:t xml:space="preserve"> The sub-function operates only on </w:t>
      </w:r>
      <w:r>
        <w:rPr>
          <w:b/>
        </w:rPr>
        <w:t>synthetic (artificial) data in isolated non-production environments</w:t>
      </w:r>
      <w:r>
        <w:t xml:space="preserve">. </w:t>
      </w:r>
      <w:r>
        <w:rPr>
          <w:b/>
        </w:rPr>
        <w:t>No real PHI is ever placed into a shared synthetic harness, twin, or AI test environment</w:t>
      </w:r>
      <w:r>
        <w:t xml:space="preserve"> — the reference architecture enforces that boundary and the tools are safe-by-default (dry-run to write, never write to shared locations, never emit real values). Privacy gates produce </w:t>
      </w:r>
      <w:r>
        <w:rPr>
          <w:b/>
        </w:rPr>
        <w:t>technical evidence and a pass/fail signal</w:t>
      </w:r>
      <w:r>
        <w:t xml:space="preserve">; the regulatory and legal </w:t>
      </w:r>
      <w:r>
        <w:rPr>
          <w:b/>
        </w:rPr>
        <w:t>determinations</w:t>
      </w:r>
      <w:r>
        <w:t xml:space="preserve"> — HIPAA/HITRUST de-identification, IRB/privacy-office sign-off, disclosure-risk acceptance — are explicitly </w:t>
      </w:r>
      <w:r>
        <w:rPr>
          <w:b/>
        </w:rPr>
        <w:t>deferred to the organization's privacy, compliance, and legal functions</w:t>
      </w:r>
      <w:r>
        <w:t>.</w:t>
      </w:r>
    </w:p>
    <w:p>
      <w:r>
        <w:rPr>
          <w:b/>
        </w:rPr>
        <w:t>Bottom line.</w:t>
      </w:r>
      <w:r>
        <w:t xml:space="preserve"> A synthetic-data capability that operates as a repeatable, measured service — structured teams, clear intake, and KPIs proving delivery quality — serving AI and QA across programs, at a fraction of the cost of a bespoke consulting standup.</w:t>
      </w:r>
    </w:p>
    <w:p>
      <w:pPr>
        <w:pStyle w:val="Heading1"/>
      </w:pPr>
      <w:r>
        <w:t>Solution Overview</w:t>
      </w:r>
    </w:p>
    <w:p>
      <w:pPr>
        <w:pStyle w:val="Heading2"/>
      </w:pPr>
      <w:r>
        <w:t>What this is</w:t>
      </w:r>
    </w:p>
    <w:p>
      <w:r>
        <w:t xml:space="preserve">This solution stands up a </w:t>
      </w:r>
      <w:r>
        <w:rPr>
          <w:b/>
        </w:rPr>
        <w:t>synthetic data sub-function</w:t>
      </w:r>
      <w:r>
        <w:t xml:space="preserve"> inside a greenfield (or immature) quality-engineering organization. The problem it solves is an </w:t>
      </w:r>
      <w:r>
        <w:rPr>
          <w:b/>
        </w:rPr>
        <w:t>operating-model</w:t>
      </w:r>
      <w:r>
        <w:t xml:space="preserve"> problem, not merely a tooling one: many teams can run a generator once, but few can turn synthetic data and simulation into a </w:t>
      </w:r>
      <w:r>
        <w:rPr>
          <w:b/>
        </w:rPr>
        <w:t>repeatable, measured service</w:t>
      </w:r>
      <w:r>
        <w:t xml:space="preserve"> that serves AI, QA, and product teams across programs. This solution supplies the missing structure — the team design (pods/squads), the intake and prioritization flow, a reference architecture, a maturity model, and a </w:t>
      </w:r>
      <w:r>
        <w:rPr>
          <w:b/>
        </w:rPr>
        <w:t>KPI framework</w:t>
      </w:r>
      <w:r>
        <w:t xml:space="preserve"> that tracks both delivery quality and engineering productivity — and packages five Python tools that operationalize that model.</w:t>
      </w:r>
    </w:p>
    <w:p>
      <w:r>
        <w:t xml:space="preserve">The sub-function's mission is simple to state: </w:t>
      </w:r>
      <w:r>
        <w:rPr>
          <w:b/>
        </w:rPr>
        <w:t>produce trustworthy synthetic clinical data and simulation on demand, safely, and prove it is trustworthy with evidence.</w:t>
      </w:r>
      <w:r>
        <w:t xml:space="preserve"> "Trustworthy" means it is fit for the consuming AI/QA use case (fidelity and coverage) and it is safe to share (privacy), and "prove it" means every dataset ships with a validation record, not a promise.</w:t>
      </w:r>
    </w:p>
    <w:p>
      <w:r>
        <w:t xml:space="preserve">Everything here operates on </w:t>
      </w:r>
      <w:r>
        <w:rPr>
          <w:b/>
        </w:rPr>
        <w:t>synthetic (artificial) data in isolated non-production environments</w:t>
      </w:r>
      <w:r>
        <w:t xml:space="preserve">. </w:t>
      </w:r>
      <w:r>
        <w:rPr>
          <w:b/>
        </w:rPr>
        <w:t>No real Protected Health Information (PHI) is ever placed into a shared synthetic harness, twin, or AI test environment.</w:t>
      </w:r>
      <w:r>
        <w:t xml:space="preserve"> Where real data must inform fidelity, it is used read-only, minimized, and only under the organization's governing privacy controls (see </w:t>
      </w:r>
      <w:r>
        <w:rPr>
          <w:rFonts w:ascii="Consolas" w:hAnsi="Consolas"/>
          <w:sz w:val="19"/>
        </w:rPr>
        <w:t>02-requirements.md</w:t>
      </w:r>
      <w:r>
        <w:t xml:space="preserve"> and the shared </w:t>
      </w:r>
      <w:r>
        <w:rPr>
          <w:rFonts w:ascii="Consolas" w:hAnsi="Consolas"/>
          <w:sz w:val="19"/>
        </w:rPr>
        <w:t>global-requirements-synthetic.md</w:t>
      </w:r>
      <w:r>
        <w:t>).</w:t>
      </w:r>
    </w:p>
    <w:p>
      <w:pPr>
        <w:pStyle w:val="Heading2"/>
      </w:pPr>
      <w:r>
        <w:t>The target model</w:t>
      </w:r>
    </w:p>
    <w:p>
      <w:r>
        <w:t xml:space="preserve">The sub-function is </w:t>
      </w:r>
      <w:r>
        <w:rPr>
          <w:b/>
        </w:rPr>
        <w:t>model-agnostic but standard-anchored.</w:t>
      </w:r>
      <w:r>
        <w:t xml:space="preserve"> It generates and validates against a </w:t>
      </w:r>
      <w:r>
        <w:rPr>
          <w:b/>
        </w:rPr>
        <w:t>target clinical data model</w:t>
      </w:r>
      <w:r>
        <w:t xml:space="preserve"> chosen with the consuming teams — typically </w:t>
      </w:r>
      <w:r>
        <w:rPr>
          <w:b/>
        </w:rPr>
        <w:t>FHIR R4</w:t>
      </w:r>
      <w:r>
        <w:t xml:space="preserve">, the </w:t>
      </w:r>
      <w:r>
        <w:rPr>
          <w:b/>
        </w:rPr>
        <w:t>OMOP CDM</w:t>
      </w:r>
      <w:r>
        <w:t xml:space="preserve">, or the source system's native schema — and it records that choice as a first-class artifact so fidelity, coverage, and privacy are all measured against a fixed target. The operating model does not assume one generator: </w:t>
      </w:r>
      <w:r>
        <w:rPr>
          <w:b/>
        </w:rPr>
        <w:t>Synthea</w:t>
      </w:r>
      <w:r>
        <w:t>, commercial synthetic-data platforms, and AI/model frameworks are integrated at the pattern level (an "engine" behind a stable internal interface), so the sub-function can adopt or swap engines without re-architecting intake, validation, or KPIs. Vendor console internals are cited to the vendor's documentation or flagged "verify against your version" — never invented.</w:t>
      </w:r>
    </w:p>
    <w:p>
      <w:pPr>
        <w:pStyle w:val="Heading2"/>
      </w:pPr>
      <w:r>
        <w:t>How it works — the operating model</w:t>
      </w:r>
    </w:p>
    <w:p>
      <w:r>
        <w:t xml:space="preserve">The sub-function runs as a small number of </w:t>
      </w:r>
      <w:r>
        <w:rPr>
          <w:b/>
        </w:rPr>
        <w:t>pods</w:t>
      </w:r>
      <w:r>
        <w:t xml:space="preserve"> behind a single </w:t>
      </w:r>
      <w:r>
        <w:rPr>
          <w:b/>
        </w:rPr>
        <w:t>intake queue</w:t>
      </w:r>
      <w:r>
        <w:t>:</w:t>
      </w:r>
    </w:p>
    <w:p>
      <w:pPr>
        <w:pStyle w:val="ListBullet"/>
      </w:pPr>
      <w:r>
        <w:rPr>
          <w:b/>
        </w:rPr>
        <w:t>Intake pod</w:t>
      </w:r>
      <w:r>
        <w:t xml:space="preserve"> — owns the request queue, triage, scoping, and prioritization. Every request enters</w:t>
      </w:r>
    </w:p>
    <w:p>
      <w:r>
        <w:t xml:space="preserve">  as a scoped </w:t>
      </w:r>
      <w:r>
        <w:rPr>
          <w:b/>
        </w:rPr>
        <w:t>Intake Request</w:t>
      </w:r>
      <w:r>
        <w:t xml:space="preserve"> and leaves as a committed, sized unit of work or a documented   decline.</w:t>
      </w:r>
    </w:p>
    <w:p>
      <w:pPr>
        <w:pStyle w:val="ListBullet"/>
      </w:pPr>
      <w:r>
        <w:rPr>
          <w:b/>
        </w:rPr>
        <w:t>Generation pod(s)</w:t>
      </w:r>
      <w:r>
        <w:t xml:space="preserve"> — build and run the synthetic-data / twin engines against the target model,</w:t>
      </w:r>
    </w:p>
    <w:p>
      <w:r>
        <w:t xml:space="preserve">  producing named datasets.</w:t>
      </w:r>
    </w:p>
    <w:p>
      <w:pPr>
        <w:pStyle w:val="ListBullet"/>
      </w:pPr>
      <w:r>
        <w:rPr>
          <w:b/>
        </w:rPr>
        <w:t>Validation &amp; governance pod</w:t>
      </w:r>
      <w:r>
        <w:t xml:space="preserve"> — runs the fidelity, coverage, and privacy gates, produces the</w:t>
      </w:r>
    </w:p>
    <w:p>
      <w:r>
        <w:t xml:space="preserve">  validation record, and holds the release decision (technical pass/fail; the privacy/legal   *determination* is deferred to those functions).</w:t>
      </w:r>
    </w:p>
    <w:p>
      <w:pPr>
        <w:pStyle w:val="ListBullet"/>
      </w:pPr>
      <w:r>
        <w:rPr>
          <w:b/>
        </w:rPr>
        <w:t>Platform/enablement pod</w:t>
      </w:r>
      <w:r>
        <w:t xml:space="preserve"> (may be virtual at low maturity) — owns the reference architecture,</w:t>
      </w:r>
    </w:p>
    <w:p>
      <w:r>
        <w:t xml:space="preserve">  shared libraries, environments, and the five tools.</w:t>
      </w:r>
    </w:p>
    <w:p>
      <w:r>
        <w:t>Work flows through the house deployment model used by every solution in this category:</w:t>
      </w:r>
    </w:p>
    <w:p>
      <w:r>
        <w:rPr>
          <w:b/>
        </w:rPr>
        <w:t>Assess → Design → Generate/Build → Validate → Expand</w:t>
      </w:r>
      <w:r>
        <w:t>, pilot-first, with explicit pass/fail (fidelity/privacy) gates and a documented rollback.</w:t>
      </w:r>
    </w:p>
    <w:p>
      <w:pPr>
        <w:pStyle w:val="ListBullet"/>
      </w:pPr>
      <w:r>
        <w:rPr>
          <w:b/>
        </w:rPr>
        <w:t>Assess</w:t>
      </w:r>
      <w:r>
        <w:t xml:space="preserve"> — baseline the current capability with the maturity self-assessment; agree sponsorship,</w:t>
      </w:r>
    </w:p>
    <w:p>
      <w:r>
        <w:t xml:space="preserve">  environment, governance stakeholders, target model, and pilot AI use cases.</w:t>
      </w:r>
    </w:p>
    <w:p>
      <w:pPr>
        <w:pStyle w:val="ListBullet"/>
      </w:pPr>
      <w:r>
        <w:rPr>
          <w:b/>
        </w:rPr>
        <w:t>Design</w:t>
      </w:r>
      <w:r>
        <w:t xml:space="preserve"> — define the pods, the intake flow, the reference architecture, the KPI framework, and</w:t>
      </w:r>
    </w:p>
    <w:p>
      <w:r>
        <w:t xml:space="preserve">  the pilot's pass/fail gates. Produce the </w:t>
      </w:r>
      <w:r>
        <w:rPr>
          <w:b/>
        </w:rPr>
        <w:t>Capability Charter</w:t>
      </w:r>
      <w:r>
        <w:t>.</w:t>
      </w:r>
    </w:p>
    <w:p>
      <w:pPr>
        <w:pStyle w:val="ListBullet"/>
      </w:pPr>
      <w:r>
        <w:rPr>
          <w:b/>
        </w:rPr>
        <w:t>Generate/Build</w:t>
      </w:r>
      <w:r>
        <w:t xml:space="preserve"> — stand up the environment and engines; run the pilot request end-to-end,</w:t>
      </w:r>
    </w:p>
    <w:p>
      <w:r>
        <w:t xml:space="preserve">  producing a named dataset (</w:t>
      </w:r>
      <w:r>
        <w:rPr>
          <w:rFonts w:ascii="Consolas" w:hAnsi="Consolas"/>
          <w:sz w:val="19"/>
        </w:rPr>
        <w:t>Synthetic EHR – Pilot – v1</w:t>
      </w:r>
      <w:r>
        <w:t>).</w:t>
      </w:r>
    </w:p>
    <w:p>
      <w:pPr>
        <w:pStyle w:val="ListBullet"/>
      </w:pPr>
      <w:r>
        <w:rPr>
          <w:b/>
        </w:rPr>
        <w:t>Validate</w:t>
      </w:r>
      <w:r>
        <w:t xml:space="preserve"> — run fidelity, coverage, and privacy gates; produce the validation record; make the</w:t>
      </w:r>
    </w:p>
    <w:p>
      <w:r>
        <w:t xml:space="preserve">  release decision at the gate.</w:t>
      </w:r>
    </w:p>
    <w:p>
      <w:pPr>
        <w:pStyle w:val="ListBullet"/>
      </w:pPr>
      <w:r>
        <w:rPr>
          <w:b/>
        </w:rPr>
        <w:t>Expand</w:t>
      </w:r>
      <w:r>
        <w:t xml:space="preserve"> — onboard more request types, programs, and engines; advance a maturity level; grow the</w:t>
      </w:r>
    </w:p>
    <w:p>
      <w:r>
        <w:t xml:space="preserve">  KPI baseline into a trend.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Repeatable service, not heroics</w:t>
      </w:r>
      <w:r>
        <w:t xml:space="preserve"> — a stable intake-to-release flow so any competent engineer can</w:t>
      </w:r>
    </w:p>
    <w:p>
      <w:r>
        <w:t xml:space="preserve">  run a request the same way, with the same evidence.</w:t>
      </w:r>
    </w:p>
    <w:p>
      <w:pPr>
        <w:pStyle w:val="ListBullet"/>
      </w:pPr>
      <w:r>
        <w:rPr>
          <w:b/>
        </w:rPr>
        <w:t>Measured</w:t>
      </w:r>
      <w:r>
        <w:t xml:space="preserve"> — a KPI framework that makes delivery quality (defect escape, validation pass rate,</w:t>
      </w:r>
    </w:p>
    <w:p>
      <w:r>
        <w:t xml:space="preserve">  rework) and engineering productivity (lead time, throughput, flow efficiency) visible and trended.</w:t>
      </w:r>
    </w:p>
    <w:p>
      <w:pPr>
        <w:pStyle w:val="ListBullet"/>
      </w:pPr>
      <w:r>
        <w:rPr>
          <w:b/>
        </w:rPr>
        <w:t>Safe by construction</w:t>
      </w:r>
      <w:r>
        <w:t xml:space="preserve"> — isolation, privacy gates, and safe-by-default tooling mean disclosure</w:t>
      </w:r>
    </w:p>
    <w:p>
      <w:r>
        <w:t xml:space="preserve">  risk is bounded and evidenced, with the *determination* deferred to privacy/compliance/legal.</w:t>
      </w:r>
    </w:p>
    <w:p>
      <w:pPr>
        <w:pStyle w:val="ListBullet"/>
      </w:pPr>
      <w:r>
        <w:rPr>
          <w:b/>
        </w:rPr>
        <w:t>Scalable</w:t>
      </w:r>
      <w:r>
        <w:t xml:space="preserve"> — a maturity model and reference architecture give a clear path from an ad-hoc script</w:t>
      </w:r>
    </w:p>
    <w:p>
      <w:r>
        <w:t xml:space="preserve">  to a multi-program platform, and engine-agnostic patterns avoid vendor lock-in.</w:t>
      </w:r>
    </w:p>
    <w:p>
      <w:pPr>
        <w:pStyle w:val="Heading2"/>
      </w:pPr>
      <w:r>
        <w:t>Limitations</w:t>
      </w:r>
    </w:p>
    <w:p>
      <w:pPr>
        <w:pStyle w:val="ListBullet"/>
      </w:pPr>
      <w:r>
        <w:t xml:space="preserve">This is an </w:t>
      </w:r>
      <w:r>
        <w:rPr>
          <w:b/>
        </w:rPr>
        <w:t>operating-model and enablement</w:t>
      </w:r>
      <w:r>
        <w:t xml:space="preserve"> solution. It gives you the structure, the gates, and</w:t>
      </w:r>
    </w:p>
    <w:p>
      <w:r>
        <w:t xml:space="preserve">  five working Python tools; it does </w:t>
      </w:r>
      <w:r>
        <w:rPr>
          <w:b/>
        </w:rPr>
        <w:t>not</w:t>
      </w:r>
      <w:r>
        <w:t xml:space="preserve"> ship a production data platform or a specific vendor   license.</w:t>
      </w:r>
    </w:p>
    <w:p>
      <w:pPr>
        <w:pStyle w:val="ListBullet"/>
      </w:pPr>
      <w:r>
        <w:rPr>
          <w:b/>
        </w:rPr>
        <w:t>Fidelity claims require a reference</w:t>
      </w:r>
      <w:r>
        <w:t xml:space="preserve"> (governed real statistics or agreed published</w:t>
      </w:r>
    </w:p>
    <w:p>
      <w:r>
        <w:t xml:space="preserve">  distributions). Without one, coverage and structural checks still run, but distributional-fidelity   claims are unfounded — the tools will say so.</w:t>
      </w:r>
    </w:p>
    <w:p>
      <w:pPr>
        <w:pStyle w:val="ListBullet"/>
      </w:pPr>
      <w:r>
        <w:rPr>
          <w:b/>
        </w:rPr>
        <w:t>Regulatory and legal determinations are out of scope</w:t>
      </w:r>
      <w:r>
        <w:t xml:space="preserve"> — HIPAA/HITRUST de-identification</w:t>
      </w:r>
    </w:p>
    <w:p>
      <w:r>
        <w:t xml:space="preserve">  determinations, IRB/privacy-office sign-off, and disclosure-risk acceptance belong to those   functions. The sub-function supplies method and evidence, not the ruling.</w:t>
      </w:r>
    </w:p>
    <w:p>
      <w:pPr>
        <w:pStyle w:val="ListBullet"/>
      </w:pPr>
      <w:r>
        <w:t>The KPI framework is only as good as the intake discipline behind it: garbage-in intake produces</w:t>
      </w:r>
    </w:p>
    <w:p>
      <w:r>
        <w:t xml:space="preserve">  meaningless metrics. The tools assume requests are logged.</w:t>
      </w:r>
    </w:p>
    <w:p>
      <w:pPr>
        <w:pStyle w:val="Heading2"/>
      </w:pPr>
      <w:r>
        <w:t>Who operates it</w:t>
      </w:r>
    </w:p>
    <w:p>
      <w:r>
        <w:t>A competent data/platform engineer can run every step and every tool here. Specialist input (clinical SME for plausibility, privacy officer for disclosure-risk threshold) is called out where the step needs it.</w:t>
      </w:r>
    </w:p>
    <w:p>
      <w:pPr>
        <w:pStyle w:val="Heading1"/>
      </w:pPr>
      <w:r>
        <w:t>Requirements</w:t>
      </w:r>
    </w:p>
    <w:p>
      <w:r>
        <w:t xml:space="preserve">This solution builds </w:t>
      </w:r>
      <w:r>
        <w:rPr>
          <w:b/>
        </w:rPr>
        <w:t>on</w:t>
      </w:r>
      <w:r>
        <w:t xml:space="preserve"> the six category-wide requirements in </w:t>
      </w:r>
      <w:r>
        <w:rPr>
          <w:rFonts w:ascii="Consolas" w:hAnsi="Consolas"/>
          <w:sz w:val="19"/>
        </w:rPr>
        <w:t>global-requirements-synthetic.md</w:t>
      </w:r>
      <w:r>
        <w:t xml:space="preserve"> (Python data environment; target clinical data model; isolated non-production environment; privacy/governance stakeholders and policy; AI/QA use cases and a pilot scope; read-only minimized reference data for fidelity). </w:t>
      </w:r>
      <w:r>
        <w:rPr>
          <w:b/>
        </w:rPr>
        <w:t>Verify those six first</w:t>
      </w:r>
      <w:r>
        <w:t xml:space="preserve"> — they are not repeated here.</w:t>
      </w:r>
    </w:p>
    <w:p>
      <w:r>
        <w:t xml:space="preserve">Below are the </w:t>
      </w:r>
      <w:r>
        <w:rPr>
          <w:b/>
        </w:rPr>
        <w:t>solution-specific</w:t>
      </w:r>
      <w:r>
        <w:t xml:space="preserve"> prerequisites for standing up the sub-function as an operating model. Each is stated as: </w:t>
      </w:r>
      <w:r>
        <w:rPr>
          <w:b/>
        </w:rPr>
        <w:t>Description / Why required / How to verify / How to implement if missing.</w:t>
      </w:r>
    </w:p>
    <w:p>
      <w:pPr>
        <w:ind w:left="432"/>
      </w:pPr>
      <w:r>
        <w:rPr>
          <w:i/>
          <w:color w:val="2E86C1"/>
        </w:rPr>
        <w:t>Boundary reminder. Never place real PHI into a shared synthetic harness, twin, or AI test environment. Regulatory/legal determinations (de-identification, IRB, disclosure-risk acceptance) are deferred to the organization's privacy, compliance, and legal functions.</w:t>
      </w:r>
    </w:p>
    <w:p>
      <w:r>
        <w:t>__________________________________________________</w:t>
      </w:r>
    </w:p>
    <w:p>
      <w:pPr>
        <w:pStyle w:val="Heading2"/>
      </w:pPr>
      <w:r>
        <w:t>S1. An executive sponsor and a funded charter</w:t>
      </w:r>
    </w:p>
    <w:p>
      <w:pPr>
        <w:pStyle w:val="ListBullet"/>
      </w:pPr>
      <w:r>
        <w:rPr>
          <w:b/>
        </w:rPr>
        <w:t>Description:</w:t>
      </w:r>
      <w:r>
        <w:t xml:space="preserve"> A named </w:t>
      </w:r>
      <w:r>
        <w:rPr>
          <w:b/>
        </w:rPr>
        <w:t>executive sponsor</w:t>
      </w:r>
      <w:r>
        <w:t xml:space="preserve"> in (or over) quality engineering who owns the</w:t>
      </w:r>
    </w:p>
    <w:p>
      <w:r>
        <w:t xml:space="preserve">  sub-function's mandate, funds at least a pilot's worth of capacity, and can arbitrate cross-program   prioritization.</w:t>
      </w:r>
    </w:p>
    <w:p>
      <w:pPr>
        <w:pStyle w:val="ListBullet"/>
      </w:pPr>
      <w:r>
        <w:rPr>
          <w:b/>
        </w:rPr>
        <w:t>Why required:</w:t>
      </w:r>
      <w:r>
        <w:t xml:space="preserve"> A shared service that cannot say "no" or "not yet" to a program will be captured</w:t>
      </w:r>
    </w:p>
    <w:p>
      <w:r>
        <w:t xml:space="preserve">  by the loudest requester; a standup without funded capacity produces a charter no one honors. The   sponsor is the escalation point the intake pod needs.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sponsor, a funding line for at least the pilot, and written</w:t>
      </w:r>
    </w:p>
    <w:p>
      <w:r>
        <w:t xml:space="preserve">  authority to prioritize across programs. Recorded in the </w:t>
      </w:r>
      <w:r>
        <w:rPr>
          <w:b/>
        </w:rPr>
        <w:t>Capability Charter – Sub-Function – v1</w:t>
      </w:r>
      <w:r>
        <w:t>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Run the maturity self-assessment (Assess stage) and use its output</w:t>
      </w:r>
    </w:p>
    <w:p>
      <w:r>
        <w:t xml:space="preserve">  to make the sponsorship ask concrete (scope, capacity, first pilot value) before designing pods.</w:t>
      </w:r>
    </w:p>
    <w:p>
      <w:pPr>
        <w:pStyle w:val="Heading2"/>
      </w:pPr>
      <w:r>
        <w:t>S2. Defined pod structure and named roles</w:t>
      </w:r>
    </w:p>
    <w:p>
      <w:pPr>
        <w:pStyle w:val="ListBullet"/>
      </w:pPr>
      <w:r>
        <w:rPr>
          <w:b/>
        </w:rPr>
        <w:t>Description:</w:t>
      </w:r>
      <w:r>
        <w:t xml:space="preserve"> A documented </w:t>
      </w:r>
      <w:r>
        <w:rPr>
          <w:b/>
        </w:rPr>
        <w:t>pod/squad structure</w:t>
      </w:r>
      <w:r>
        <w:t xml:space="preserve"> (Intake, Generation, Validation &amp; Governance,</w:t>
      </w:r>
    </w:p>
    <w:p>
      <w:r>
        <w:t xml:space="preserve">  Platform/enablement — some may be virtual at low maturity) with </w:t>
      </w:r>
      <w:r>
        <w:rPr>
          <w:b/>
        </w:rPr>
        <w:t>named people or committed FTE   fractions</w:t>
      </w:r>
      <w:r>
        <w:t xml:space="preserve"> and a RACI for the intake-to-release flow.</w:t>
      </w:r>
    </w:p>
    <w:p>
      <w:pPr>
        <w:pStyle w:val="ListBullet"/>
      </w:pPr>
      <w:r>
        <w:rPr>
          <w:b/>
        </w:rPr>
        <w:t>Why required:</w:t>
      </w:r>
      <w:r>
        <w:t xml:space="preserve"> Pods and a single intake queue are what make the service repeatable; without named</w:t>
      </w:r>
    </w:p>
    <w:p>
      <w:r>
        <w:t xml:space="preserve">  ownership, requests route by relationship, not by process, and KPIs cannot be attributed.</w:t>
      </w:r>
    </w:p>
    <w:p>
      <w:pPr>
        <w:pStyle w:val="ListBullet"/>
      </w:pPr>
      <w:r>
        <w:rPr>
          <w:b/>
        </w:rPr>
        <w:t>How to verify:</w:t>
      </w:r>
      <w:r>
        <w:t xml:space="preserve"> Confirm each pod has an owner and committed capacity, and that the RACI names who</w:t>
      </w:r>
    </w:p>
    <w:p>
      <w:r>
        <w:t xml:space="preserve">  triages, who generates, and who holds the release decision. Use </w:t>
      </w:r>
      <w:r>
        <w:rPr>
          <w:rFonts w:ascii="Consolas" w:hAnsi="Consolas"/>
          <w:sz w:val="19"/>
        </w:rPr>
        <w:t>intakequeue.py --capacity</w:t>
      </w:r>
      <w:r>
        <w:t xml:space="preserve"> to model   whether the committed capacity covers the expected intake.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Start with a minimum viable structure (one intake owner, one</w:t>
      </w:r>
    </w:p>
    <w:p>
      <w:r>
        <w:t xml:space="preserve">  generation engineer, one validation owner — the last two may be the same person at pilot) and grow   as maturity advances.</w:t>
      </w:r>
    </w:p>
    <w:p>
      <w:pPr>
        <w:pStyle w:val="Heading2"/>
      </w:pPr>
      <w:r>
        <w:t>S3. An intake and prioritization scheme</w:t>
      </w:r>
    </w:p>
    <w:p>
      <w:pPr>
        <w:pStyle w:val="ListBullet"/>
      </w:pPr>
      <w:r>
        <w:rPr>
          <w:b/>
        </w:rPr>
        <w:t>Description:</w:t>
      </w:r>
      <w:r>
        <w:t xml:space="preserve"> A defined </w:t>
      </w:r>
      <w:r>
        <w:rPr>
          <w:b/>
        </w:rPr>
        <w:t>intake form</w:t>
      </w:r>
      <w:r>
        <w:t xml:space="preserve"> (fields: requesting program, AI/QA use case, target</w:t>
      </w:r>
    </w:p>
    <w:p>
      <w:r>
        <w:t xml:space="preserve">  model/domains, data volume, fidelity need, privacy sensitivity, needed-by date) and a   </w:t>
      </w:r>
      <w:r>
        <w:rPr>
          <w:b/>
        </w:rPr>
        <w:t>prioritization method</w:t>
      </w:r>
      <w:r>
        <w:t xml:space="preserve"> (a documented scoring model — value, urgency, effort, risk).</w:t>
      </w:r>
    </w:p>
    <w:p>
      <w:pPr>
        <w:pStyle w:val="ListBullet"/>
      </w:pPr>
      <w:r>
        <w:rPr>
          <w:b/>
        </w:rPr>
        <w:t>Why required:</w:t>
      </w:r>
      <w:r>
        <w:t xml:space="preserve"> Intake is the front door of the operating model and the source of every KPI. An</w:t>
      </w:r>
    </w:p>
    <w:p>
      <w:r>
        <w:t xml:space="preserve">  undefined intake produces unscoped work and meaningless lead-time metrics.</w:t>
      </w:r>
    </w:p>
    <w:p>
      <w:pPr>
        <w:pStyle w:val="ListBullet"/>
      </w:pPr>
      <w:r>
        <w:rPr>
          <w:b/>
        </w:rPr>
        <w:t>How to verify:</w:t>
      </w:r>
      <w:r>
        <w:t xml:space="preserve"> Confirm the intake form exists and the scoring weights are agreed with the</w:t>
      </w:r>
    </w:p>
    <w:p>
      <w:r>
        <w:t xml:space="preserve">  sponsor. Validate a queue export with </w:t>
      </w:r>
      <w:r>
        <w:rPr>
          <w:rFonts w:ascii="Consolas" w:hAnsi="Consolas"/>
          <w:sz w:val="19"/>
        </w:rPr>
        <w:t>intakequeue.py</w:t>
      </w:r>
      <w:r>
        <w:t>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Adopt the intake schema this solution's </w:t>
      </w:r>
      <w:r>
        <w:rPr>
          <w:rFonts w:ascii="Consolas" w:hAnsi="Consolas"/>
          <w:sz w:val="19"/>
        </w:rPr>
        <w:t>intakequeue.py</w:t>
      </w:r>
      <w:r>
        <w:t xml:space="preserve"> expects as</w:t>
      </w:r>
    </w:p>
    <w:p>
      <w:r>
        <w:t xml:space="preserve">  a starting point and tune the weights with the sponsor.</w:t>
      </w:r>
    </w:p>
    <w:p>
      <w:pPr>
        <w:pStyle w:val="Heading2"/>
      </w:pPr>
      <w:r>
        <w:t>S4. A defined KPI framework with baselines</w:t>
      </w:r>
    </w:p>
    <w:p>
      <w:pPr>
        <w:pStyle w:val="ListBullet"/>
      </w:pPr>
      <w:r>
        <w:rPr>
          <w:b/>
        </w:rPr>
        <w:t>Description:</w:t>
      </w:r>
      <w:r>
        <w:t xml:space="preserve"> An agreed set of </w:t>
      </w:r>
      <w:r>
        <w:rPr>
          <w:b/>
        </w:rPr>
        <w:t>delivery-quality</w:t>
      </w:r>
      <w:r>
        <w:t xml:space="preserve"> KPIs (e.g. validation pass rate, defect</w:t>
      </w:r>
    </w:p>
    <w:p>
      <w:r>
        <w:t xml:space="preserve">  escape rate, rework rate, gate cycle time) and </w:t>
      </w:r>
      <w:r>
        <w:rPr>
          <w:b/>
        </w:rPr>
        <w:t>engineering-productivity</w:t>
      </w:r>
      <w:r>
        <w:t xml:space="preserve"> KPIs (e.g. request lead   time, throughput, flow efficiency, WIP), each with a </w:t>
      </w:r>
      <w:r>
        <w:rPr>
          <w:b/>
        </w:rPr>
        <w:t>definition, a target, and a baseline</w:t>
      </w:r>
      <w:r>
        <w:t xml:space="preserve"> taken   at standup.</w:t>
      </w:r>
    </w:p>
    <w:p>
      <w:pPr>
        <w:pStyle w:val="ListBullet"/>
      </w:pPr>
      <w:r>
        <w:rPr>
          <w:b/>
        </w:rPr>
        <w:t>Why required:</w:t>
      </w:r>
      <w:r>
        <w:t xml:space="preserve"> "Repeatable, measured service" is the whole point; without agreed definitions and</w:t>
      </w:r>
    </w:p>
    <w:p>
      <w:r>
        <w:t xml:space="preserve">  a baseline, later numbers cannot show improvement and cannot survive review.</w:t>
      </w:r>
    </w:p>
    <w:p>
      <w:pPr>
        <w:pStyle w:val="ListBullet"/>
      </w:pPr>
      <w:r>
        <w:rPr>
          <w:b/>
        </w:rPr>
        <w:t>How to verify:</w:t>
      </w:r>
      <w:r>
        <w:t xml:space="preserve"> Confirm each KPI has an owner, a formula, a target, and a baseline value. Compute</w:t>
      </w:r>
    </w:p>
    <w:p>
      <w:r>
        <w:t xml:space="preserve">  a rollup with </w:t>
      </w:r>
      <w:r>
        <w:rPr>
          <w:rFonts w:ascii="Consolas" w:hAnsi="Consolas"/>
          <w:sz w:val="19"/>
        </w:rPr>
        <w:t>kpirollup.py</w:t>
      </w:r>
      <w:r>
        <w:t>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Adopt the KPI catalog this solution defines (see </w:t>
      </w:r>
      <w:r>
        <w:rPr>
          <w:rFonts w:ascii="Consolas" w:hAnsi="Consolas"/>
          <w:sz w:val="19"/>
        </w:rPr>
        <w:t>03-implementation.md</w:t>
      </w:r>
      <w:r>
        <w:t>)</w:t>
      </w:r>
    </w:p>
    <w:p>
      <w:r>
        <w:t xml:space="preserve">  and take the baseline on the pilot before expanding.</w:t>
      </w:r>
    </w:p>
    <w:p>
      <w:pPr>
        <w:pStyle w:val="Heading2"/>
      </w:pPr>
      <w:r>
        <w:t>S5. A reference-architecture definition of record</w:t>
      </w:r>
    </w:p>
    <w:p>
      <w:pPr>
        <w:pStyle w:val="ListBullet"/>
      </w:pPr>
      <w:r>
        <w:rPr>
          <w:b/>
        </w:rPr>
        <w:t>Description:</w:t>
      </w:r>
      <w:r>
        <w:t xml:space="preserve"> A written </w:t>
      </w:r>
      <w:r>
        <w:rPr>
          <w:b/>
        </w:rPr>
        <w:t>reference architecture</w:t>
      </w:r>
      <w:r>
        <w:t xml:space="preserve"> naming the environment tiers (isolated</w:t>
      </w:r>
    </w:p>
    <w:p>
      <w:r>
        <w:t xml:space="preserve">  non-prod), the engine interface (so Synthea / commercial platform / AI framework are swappable   behind it), the storage and access-control model, the validation/gate stage, and the data-flow   boundaries (what may and may not cross into the harness).</w:t>
      </w:r>
    </w:p>
    <w:p>
      <w:pPr>
        <w:pStyle w:val="ListBullet"/>
      </w:pPr>
      <w:r>
        <w:rPr>
          <w:b/>
        </w:rPr>
        <w:t>Why required:</w:t>
      </w:r>
      <w:r>
        <w:t xml:space="preserve"> Engine-agnostic patterns and a fixed gate stage are what let the sub-function scale</w:t>
      </w:r>
    </w:p>
    <w:p>
      <w:r>
        <w:t xml:space="preserve">  and swap tools without re-architecting; the architecture is also where the </w:t>
      </w:r>
      <w:r>
        <w:rPr>
          <w:b/>
        </w:rPr>
        <w:t>no-real-PHI-in-shared-   harness</w:t>
      </w:r>
      <w:r>
        <w:t xml:space="preserve"> boundary is enforced.</w:t>
      </w:r>
    </w:p>
    <w:p>
      <w:pPr>
        <w:pStyle w:val="ListBullet"/>
      </w:pPr>
      <w:r>
        <w:rPr>
          <w:b/>
        </w:rPr>
        <w:t>How to verify:</w:t>
      </w:r>
      <w:r>
        <w:t xml:space="preserve"> Confirm the architecture document exists and lists the required tiers, the engine</w:t>
      </w:r>
    </w:p>
    <w:p>
      <w:r>
        <w:t xml:space="preserve">  interface, and the isolation boundary. Validate a machine-readable config with   </w:t>
      </w:r>
      <w:r>
        <w:rPr>
          <w:rFonts w:ascii="Consolas" w:hAnsi="Consolas"/>
          <w:sz w:val="19"/>
        </w:rPr>
        <w:t>kpirollup.py --refarch</w:t>
      </w:r>
      <w:r>
        <w:t>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Use the reference-architecture config schema the validator</w:t>
      </w:r>
    </w:p>
    <w:p>
      <w:r>
        <w:t xml:space="preserve">  (</w:t>
      </w:r>
      <w:r>
        <w:rPr>
          <w:rFonts w:ascii="Consolas" w:hAnsi="Consolas"/>
          <w:sz w:val="19"/>
        </w:rPr>
        <w:t>kpirollup.py --refarch</w:t>
      </w:r>
      <w:r>
        <w:t>) expects as the starting template and fill it in with the platform pod.</w:t>
      </w:r>
    </w:p>
    <w:p>
      <w:pPr>
        <w:pStyle w:val="Heading2"/>
      </w:pPr>
      <w:r>
        <w:t>S6. A maturity target and cadence</w:t>
      </w:r>
    </w:p>
    <w:p>
      <w:pPr>
        <w:pStyle w:val="ListBullet"/>
      </w:pPr>
      <w:r>
        <w:rPr>
          <w:b/>
        </w:rPr>
        <w:t>Description:</w:t>
      </w:r>
      <w:r>
        <w:t xml:space="preserve"> An agreed </w:t>
      </w:r>
      <w:r>
        <w:rPr>
          <w:b/>
        </w:rPr>
        <w:t>maturity model</w:t>
      </w:r>
      <w:r>
        <w:t xml:space="preserve"> (levels from ad-hoc to optimized across dimensions:</w:t>
      </w:r>
    </w:p>
    <w:p>
      <w:r>
        <w:t xml:space="preserve">  operating model, engineering, validation/quality, privacy/governance, and adoption) and a </w:t>
      </w:r>
      <w:r>
        <w:rPr>
          <w:b/>
        </w:rPr>
        <w:t>review   cadence</w:t>
      </w:r>
      <w:r>
        <w:t xml:space="preserve"> at which the sub-function re-assesses and advances.</w:t>
      </w:r>
    </w:p>
    <w:p>
      <w:pPr>
        <w:pStyle w:val="ListBullet"/>
      </w:pPr>
      <w:r>
        <w:rPr>
          <w:b/>
        </w:rPr>
        <w:t>Why required:</w:t>
      </w:r>
      <w:r>
        <w:t xml:space="preserve"> Standup is stage one of five (Assess→…→Expand); without a maturity target and</w:t>
      </w:r>
    </w:p>
    <w:p>
      <w:r>
        <w:t xml:space="preserve">  cadence, the sub-function plateaus at pilot and never becomes a program-wide service.</w:t>
      </w:r>
    </w:p>
    <w:p>
      <w:pPr>
        <w:pStyle w:val="ListBullet"/>
      </w:pPr>
      <w:r>
        <w:rPr>
          <w:b/>
        </w:rPr>
        <w:t>How to verify:</w:t>
      </w:r>
      <w:r>
        <w:t xml:space="preserve"> Confirm the current level is baselined and a target level + review date are set.</w:t>
      </w:r>
    </w:p>
    <w:p>
      <w:r>
        <w:t xml:space="preserve">  Run </w:t>
      </w:r>
      <w:r>
        <w:rPr>
          <w:rFonts w:ascii="Consolas" w:hAnsi="Consolas"/>
          <w:sz w:val="19"/>
        </w:rPr>
        <w:t>maturityassess.py</w:t>
      </w:r>
      <w:r>
        <w:t xml:space="preserve"> to capture the baseline.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Run the maturity self-assessment at standup to set the baseline and</w:t>
      </w:r>
    </w:p>
    <w:p>
      <w:r>
        <w:t xml:space="preserve">  the first target.</w:t>
      </w:r>
    </w:p>
    <w:p>
      <w:pPr>
        <w:pStyle w:val="Heading1"/>
      </w:pPr>
      <w:r>
        <w:t>Global Requirements — Synthetic Data &amp; AI Test-Enablement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Synthetic</w:t>
      </w:r>
      <w:r>
        <w:t xml:space="preserve"> category (synthetic clinical data, hospital-twin simulation, and safe AI test enablement). Verify each before starting a solution's steps.</w:t>
      </w:r>
    </w:p>
    <w:p>
      <w:pPr>
        <w:ind w:left="432"/>
      </w:pPr>
      <w:r>
        <w:rPr>
          <w:i/>
          <w:color w:val="2E86C1"/>
        </w:rPr>
        <w:t>Safety, vendor &amp; regulatory boundary (applies to every Synthetic solution). These solutions generate and validate synthetic (artificial) data and run in isolated non-production test environments. Never place real Protected Health Information (PHI) into a shared synthetic harness, twin, or AI test environment — where real data is touched at all it is read-only, minimized, and handled under the governing privacy controls. Synthetic-data and digital-twin tools (e.g. Synthea, and commercial platforms) and AI/model frameworks are integrated at the pattern/architectural level; specific vendor console internals are cited or deferred to that vendor's documentation, never invented. Regulatory and legal interpretation (HIPAA/HITRUST de-identification determinations, IRB/privacy-office sign-off, disclosure risk acceptance, and any ITAR/NERC/NRC or contract constraints) is deferred to the organization's privacy, compliance, and legal functions — the solutions provide the technical method and evidence, not legal determinations.</w:t>
      </w:r>
    </w:p>
    <w:p>
      <w:pPr>
        <w:pStyle w:val="Heading2"/>
      </w:pPr>
      <w:r>
        <w:t>1. A Python data/engineering environment</w:t>
      </w:r>
    </w:p>
    <w:p>
      <w:pPr>
        <w:pStyle w:val="ListBullet"/>
      </w:pPr>
      <w:r>
        <w:rPr>
          <w:b/>
        </w:rPr>
        <w:t>Description:</w:t>
      </w:r>
      <w:r>
        <w:t xml:space="preserve"> A supported </w:t>
      </w:r>
      <w:r>
        <w:rPr>
          <w:b/>
        </w:rPr>
        <w:t>Python</w:t>
      </w:r>
      <w:r>
        <w:t xml:space="preserve"> environment (e.g. 3.10+) with the standard data toolchain</w:t>
      </w:r>
    </w:p>
    <w:p>
      <w:r>
        <w:t xml:space="preserve">  (data frames, statistics, and the synthetic-data / validation libraries the solution uses).</w:t>
      </w:r>
    </w:p>
    <w:p>
      <w:pPr>
        <w:pStyle w:val="ListBullet"/>
      </w:pPr>
      <w:r>
        <w:rPr>
          <w:b/>
        </w:rPr>
        <w:t>Why required:</w:t>
      </w:r>
      <w:r>
        <w:t xml:space="preserve"> The automation and reusable assets are authored in Python (generation,</w:t>
      </w:r>
    </w:p>
    <w:p>
      <w:r>
        <w:t xml:space="preserve">  de-identification, fidelity/utility metrics, scenario runners).</w:t>
      </w:r>
    </w:p>
    <w:p>
      <w:pPr>
        <w:pStyle w:val="ListBullet"/>
      </w:pPr>
      <w:r>
        <w:rPr>
          <w:b/>
        </w:rPr>
        <w:t>How to verify:</w:t>
      </w:r>
      <w:r>
        <w:t xml:space="preserve"> Confirm Python + the required packages install and run in the target environment.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Provision the environment and install dependencies before starting.</w:t>
      </w:r>
    </w:p>
    <w:p>
      <w:pPr>
        <w:pStyle w:val="Heading2"/>
      </w:pPr>
      <w:r>
        <w:t>2. A target clinical data model / standard</w:t>
      </w:r>
    </w:p>
    <w:p>
      <w:pPr>
        <w:pStyle w:val="ListBullet"/>
      </w:pPr>
      <w:r>
        <w:rPr>
          <w:b/>
        </w:rPr>
        <w:t>Description:</w:t>
      </w:r>
      <w:r>
        <w:t xml:space="preserve"> A defined </w:t>
      </w:r>
      <w:r>
        <w:rPr>
          <w:b/>
        </w:rPr>
        <w:t>clinical data model or interoperability standard</w:t>
      </w:r>
      <w:r>
        <w:t xml:space="preserve"> to generate against —</w:t>
      </w:r>
    </w:p>
    <w:p>
      <w:r>
        <w:t xml:space="preserve">  e.g. </w:t>
      </w:r>
      <w:r>
        <w:rPr>
          <w:b/>
        </w:rPr>
        <w:t>FHIR</w:t>
      </w:r>
      <w:r>
        <w:t xml:space="preserve">, </w:t>
      </w:r>
      <w:r>
        <w:rPr>
          <w:b/>
        </w:rPr>
        <w:t>OMOP CDM</w:t>
      </w:r>
      <w:r>
        <w:t>, or the source system's own schema — plus the fields/domains in scope   (patients, encounters, conditions, medications, labs, vitals, notes, etc.).</w:t>
      </w:r>
    </w:p>
    <w:p>
      <w:pPr>
        <w:pStyle w:val="ListBullet"/>
      </w:pPr>
      <w:r>
        <w:rPr>
          <w:b/>
        </w:rPr>
        <w:t>Why required:</w:t>
      </w:r>
      <w:r>
        <w:t xml:space="preserve"> Realistic synthetic data and a credible hospital twin require a target schema and</w:t>
      </w:r>
    </w:p>
    <w:p>
      <w:r>
        <w:t xml:space="preserve">  clinically plausible relationships; validation is measured against it.</w:t>
      </w:r>
    </w:p>
    <w:p>
      <w:pPr>
        <w:pStyle w:val="ListBullet"/>
      </w:pPr>
      <w:r>
        <w:rPr>
          <w:b/>
        </w:rPr>
        <w:t>How to verify:</w:t>
      </w:r>
      <w:r>
        <w:t xml:space="preserve"> Confirm the target model/standard and the in-scope domains with the AI/QA teams.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Select and document the target model before generating.</w:t>
      </w:r>
    </w:p>
    <w:p>
      <w:pPr>
        <w:pStyle w:val="Heading2"/>
      </w:pPr>
      <w:r>
        <w:t>3. An isolated non-production test environment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segregated, non-production</w:t>
      </w:r>
      <w:r>
        <w:t xml:space="preserve"> environment (compute + storage) for the synthetic</w:t>
      </w:r>
    </w:p>
    <w:p>
      <w:r>
        <w:t xml:space="preserve">  harness, hospital twin, and AI test runs — separate from production and from real-PHI systems.</w:t>
      </w:r>
    </w:p>
    <w:p>
      <w:pPr>
        <w:pStyle w:val="ListBullet"/>
      </w:pPr>
      <w:r>
        <w:rPr>
          <w:b/>
        </w:rPr>
        <w:t>Why required:</w:t>
      </w:r>
      <w:r>
        <w:t xml:space="preserve"> Safe evaluation of AI solutions before broader adoption depends on isolation; it</w:t>
      </w:r>
    </w:p>
    <w:p>
      <w:r>
        <w:t xml:space="preserve">  also bounds any residual disclosure risk.</w:t>
      </w:r>
    </w:p>
    <w:p>
      <w:pPr>
        <w:pStyle w:val="ListBullet"/>
      </w:pPr>
      <w:r>
        <w:rPr>
          <w:b/>
        </w:rPr>
        <w:t>How to verify:</w:t>
      </w:r>
      <w:r>
        <w:t xml:space="preserve"> Confirm the environment is isolated, access-controlled, and not connected to</w:t>
      </w:r>
    </w:p>
    <w:p>
      <w:r>
        <w:t xml:space="preserve">  production PHI stores.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Stand up / obtain the isolated environment before running.</w:t>
      </w:r>
    </w:p>
    <w:p>
      <w:pPr>
        <w:pStyle w:val="Heading2"/>
      </w:pPr>
      <w:r>
        <w:t>4. Privacy, governance &amp; compliance stakeholders and policy</w:t>
      </w:r>
    </w:p>
    <w:p>
      <w:pPr>
        <w:pStyle w:val="ListBullet"/>
      </w:pPr>
      <w:r>
        <w:rPr>
          <w:b/>
        </w:rPr>
        <w:t>Description:</w:t>
      </w:r>
      <w:r>
        <w:t xml:space="preserve"> The governing </w:t>
      </w:r>
      <w:r>
        <w:rPr>
          <w:b/>
        </w:rPr>
        <w:t>privacy, data-governance, and compliance</w:t>
      </w:r>
      <w:r>
        <w:t xml:space="preserve"> policies and the named</w:t>
      </w:r>
    </w:p>
    <w:p>
      <w:r>
        <w:t xml:space="preserve">  stakeholders (privacy officer, security, and — where real source data or de-identification claims are   involved — IRB/legal) whose requirements the work must satisfy.</w:t>
      </w:r>
    </w:p>
    <w:p>
      <w:pPr>
        <w:pStyle w:val="ListBullet"/>
      </w:pPr>
      <w:r>
        <w:rPr>
          <w:b/>
        </w:rPr>
        <w:t>Why required:</w:t>
      </w:r>
      <w:r>
        <w:t xml:space="preserve"> Regulated healthcare data constraints, de-identification acceptance, and enterprise</w:t>
      </w:r>
    </w:p>
    <w:p>
      <w:r>
        <w:t xml:space="preserve">  data governance are policy decisions the technical method must align to, not defaults.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disclosure-risk threshold, and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policies and stakeholders before generating or</w:t>
      </w:r>
    </w:p>
    <w:p>
      <w:r>
        <w:t xml:space="preserve">  releasing test data.</w:t>
      </w:r>
    </w:p>
    <w:p>
      <w:pPr>
        <w:pStyle w:val="Heading2"/>
      </w:pPr>
      <w:r>
        <w:t>5. AI/QA use cases and a pilot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AI use cases and QA scenarios</w:t>
      </w:r>
      <w:r>
        <w:t xml:space="preserve"> the synthetic data / twin must support, and a</w:t>
      </w:r>
    </w:p>
    <w:p>
      <w:r>
        <w:t xml:space="preserve">  </w:t>
      </w:r>
      <w:r>
        <w:rPr>
          <w:b/>
        </w:rPr>
        <w:t>pilot scope</w:t>
      </w:r>
      <w:r>
        <w:t xml:space="preserve"> to validate on before broader rollout.</w:t>
      </w:r>
    </w:p>
    <w:p>
      <w:pPr>
        <w:pStyle w:val="ListBullet"/>
      </w:pPr>
      <w:r>
        <w:rPr>
          <w:b/>
        </w:rPr>
        <w:t>Why required:</w:t>
      </w:r>
      <w:r>
        <w:t xml:space="preserve"> Fidelity, coverage, and scenario design are driven by the AI use cases; every</w:t>
      </w:r>
    </w:p>
    <w:p>
      <w:r>
        <w:t xml:space="preserve">  solution follows an </w:t>
      </w:r>
      <w:r>
        <w:rPr>
          <w:b/>
        </w:rPr>
        <w:t>Assess → Design → Generate/Build → Validate → Expand</w:t>
      </w:r>
      <w:r>
        <w:t xml:space="preserve"> model proven on a pilot.</w:t>
      </w:r>
    </w:p>
    <w:p>
      <w:pPr>
        <w:pStyle w:val="ListBullet"/>
      </w:pPr>
      <w:r>
        <w:rPr>
          <w:b/>
        </w:rPr>
        <w:t>How to verify:</w:t>
      </w:r>
      <w:r>
        <w:t xml:space="preserve"> Confirm the target AI use cases, evaluation goals, and a named pilot.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Elicit the use cases and define the pilot before building the harness.</w:t>
      </w:r>
    </w:p>
    <w:p>
      <w:pPr>
        <w:pStyle w:val="Heading2"/>
      </w:pPr>
      <w:r>
        <w:t>6. Reference/real-data access for fidelity (read-only, minimized)</w:t>
      </w:r>
    </w:p>
    <w:p>
      <w:pPr>
        <w:pStyle w:val="ListBullet"/>
      </w:pPr>
      <w:r>
        <w:rPr>
          <w:b/>
        </w:rPr>
        <w:t>Description:</w:t>
      </w:r>
      <w:r>
        <w:t xml:space="preserve"> Where synthetic </w:t>
      </w:r>
      <w:r>
        <w:rPr>
          <w:b/>
        </w:rPr>
        <w:t>fidelity/utility</w:t>
      </w:r>
      <w:r>
        <w:t xml:space="preserve"> must be measured against reality, **read-only,</w:t>
      </w:r>
    </w:p>
    <w:p>
      <w:r>
        <w:t xml:space="preserve">  minimized** access to reference statistics or a governed real dataset (under the privacy controls in   §4) — or agreed reference distributions where real data cannot be used.</w:t>
      </w:r>
    </w:p>
    <w:p>
      <w:pPr>
        <w:pStyle w:val="ListBullet"/>
      </w:pPr>
      <w:r>
        <w:rPr>
          <w:b/>
        </w:rPr>
        <w:t>Why required:</w:t>
      </w:r>
      <w:r>
        <w:t xml:space="preserve"> Fidelity and validation assets compare synthetic output to real-world distributions</w:t>
      </w:r>
    </w:p>
    <w:p>
      <w:r>
        <w:t xml:space="preserve">  and relationships; without a reference the claims are unfounded.</w:t>
      </w:r>
    </w:p>
    <w:p>
      <w:pPr>
        <w:pStyle w:val="ListBullet"/>
      </w:pPr>
      <w:r>
        <w:rPr>
          <w:b/>
        </w:rPr>
        <w:t>How to verify:</w:t>
      </w:r>
      <w:r>
        <w:t xml:space="preserve"> Confirm the reference source and its access/governance terms.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Agree the reference approach (governed real stats vs. published</w:t>
      </w:r>
    </w:p>
    <w:p>
      <w:r>
        <w:t xml:space="preserve">  reference distributions) before validating.</w:t>
      </w:r>
    </w:p>
    <w:p>
      <w:r>
        <w:t xml:space="preserve">*The deployment model across every Synthetic solution is the same: </w:t>
      </w:r>
      <w:r>
        <w:rPr>
          <w:b/>
        </w:rPr>
        <w:t>Assess → Design → Generate/Build → Validate → Expand</w:t>
      </w:r>
      <w:r>
        <w:t xml:space="preserve">, with explicit pass/fail (fidelity/privacy) gates and a documented rollback. Automation and reusable assets are delivered as </w:t>
      </w:r>
      <w:r>
        <w:rPr>
          <w:b/>
        </w:rPr>
        <w:t>Python</w:t>
      </w:r>
      <w:r>
        <w:t xml:space="preserve"> — never real PHI is written to a shared harness, twin, or AI test environment.*</w:t>
      </w:r>
    </w:p>
    <w:p>
      <w:pPr>
        <w:pStyle w:val="Heading1"/>
      </w:pPr>
      <w:r>
        <w:t>Implementation</w:t>
      </w:r>
    </w:p>
    <w:p>
      <w:r>
        <w:t xml:space="preserve">This is the ordered standup procedure. It follows the house model </w:t>
      </w:r>
      <w:r>
        <w:rPr>
          <w:b/>
        </w:rPr>
        <w:t>Assess → Design → Generate/Build → Validate → Expand</w:t>
      </w:r>
      <w:r>
        <w:t xml:space="preserve">, pilot-first, with explicit pass/fail gates and a documented rollback. Every artifact is </w:t>
      </w:r>
      <w:r>
        <w:rPr>
          <w:b/>
        </w:rPr>
        <w:t>named</w:t>
      </w:r>
      <w:r>
        <w:t xml:space="preserve"> with the convention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and that exact name is reused in later stages, testing, troubleshooting, and the tools.</w:t>
      </w:r>
    </w:p>
    <w:p>
      <w:pPr>
        <w:ind w:left="432"/>
      </w:pPr>
      <w:r>
        <w:rPr>
          <w:i/>
          <w:color w:val="2E86C1"/>
        </w:rPr>
        <w:t>Hard boundaries throughout. No real PHI enters a shared harness/twin/AI test environment. Any reference to real data is read-only, minimized, and under the governing privacy controls. Regulatory/legal determinations are deferred to privacy/compliance/legal.</w:t>
      </w:r>
    </w:p>
    <w:p>
      <w:pPr>
        <w:pStyle w:val="Heading2"/>
      </w:pPr>
      <w:r>
        <w:t>Artifacts you will produce (naming register)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Named instance (pilot)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Produced in</w:t>
            </w:r>
          </w:p>
        </w:tc>
      </w:tr>
      <w:tr>
        <w:tc>
          <w:tcPr>
            <w:tcW w:type="dxa" w:w="2880"/>
          </w:tcPr>
          <w:p>
            <w:r>
              <w:t>Capability baseline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Maturity Baseline – Sub-Function – v1</w:t>
            </w:r>
          </w:p>
        </w:tc>
        <w:tc>
          <w:tcPr>
            <w:tcW w:type="dxa" w:w="2880"/>
          </w:tcPr>
          <w:p>
            <w:r>
              <w:t>Assess</w:t>
            </w:r>
          </w:p>
        </w:tc>
      </w:tr>
      <w:tr>
        <w:tc>
          <w:tcPr>
            <w:tcW w:type="dxa" w:w="2880"/>
          </w:tcPr>
          <w:p>
            <w:r>
              <w:t>Sponsorship &amp; mandate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Capability Charter – Sub-Function – v1</w:t>
            </w:r>
          </w:p>
        </w:tc>
        <w:tc>
          <w:tcPr>
            <w:tcW w:type="dxa" w:w="2880"/>
          </w:tcPr>
          <w:p>
            <w:r>
              <w:t>Design</w:t>
            </w:r>
          </w:p>
        </w:tc>
      </w:tr>
      <w:tr>
        <w:tc>
          <w:tcPr>
            <w:tcW w:type="dxa" w:w="2880"/>
          </w:tcPr>
          <w:p>
            <w:r>
              <w:t>Pod &amp; RACI design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Pod Design – Sub-Function – v1</w:t>
            </w:r>
          </w:p>
        </w:tc>
        <w:tc>
          <w:tcPr>
            <w:tcW w:type="dxa" w:w="2880"/>
          </w:tcPr>
          <w:p>
            <w:r>
              <w:t>Design</w:t>
            </w:r>
          </w:p>
        </w:tc>
      </w:tr>
      <w:tr>
        <w:tc>
          <w:tcPr>
            <w:tcW w:type="dxa" w:w="2880"/>
          </w:tcPr>
          <w:p>
            <w:r>
              <w:t>Intake definition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Intake Scheme – Sub-Function – v1</w:t>
            </w:r>
          </w:p>
        </w:tc>
        <w:tc>
          <w:tcPr>
            <w:tcW w:type="dxa" w:w="2880"/>
          </w:tcPr>
          <w:p>
            <w:r>
              <w:t>Design</w:t>
            </w:r>
          </w:p>
        </w:tc>
      </w:tr>
      <w:tr>
        <w:tc>
          <w:tcPr>
            <w:tcW w:type="dxa" w:w="2880"/>
          </w:tcPr>
          <w:p>
            <w:r>
              <w:t>Reference architecture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Reference Architecture – Sub-Function – v1</w:t>
            </w:r>
          </w:p>
        </w:tc>
        <w:tc>
          <w:tcPr>
            <w:tcW w:type="dxa" w:w="2880"/>
          </w:tcPr>
          <w:p>
            <w:r>
              <w:t>Design</w:t>
            </w:r>
          </w:p>
        </w:tc>
      </w:tr>
      <w:tr>
        <w:tc>
          <w:tcPr>
            <w:tcW w:type="dxa" w:w="2880"/>
          </w:tcPr>
          <w:p>
            <w:r>
              <w:t>KPI framework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KPI Framework – Sub-Function – v1</w:t>
            </w:r>
          </w:p>
        </w:tc>
        <w:tc>
          <w:tcPr>
            <w:tcW w:type="dxa" w:w="2880"/>
          </w:tcPr>
          <w:p>
            <w:r>
              <w:t>Design</w:t>
            </w:r>
          </w:p>
        </w:tc>
      </w:tr>
      <w:tr>
        <w:tc>
          <w:tcPr>
            <w:tcW w:type="dxa" w:w="2880"/>
          </w:tcPr>
          <w:p>
            <w:r>
              <w:t>Pilot dataset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Synthetic EHR – Pilot – v1</w:t>
            </w:r>
          </w:p>
        </w:tc>
        <w:tc>
          <w:tcPr>
            <w:tcW w:type="dxa" w:w="2880"/>
          </w:tcPr>
          <w:p>
            <w:r>
              <w:t>Generate/Build</w:t>
            </w:r>
          </w:p>
        </w:tc>
      </w:tr>
      <w:tr>
        <w:tc>
          <w:tcPr>
            <w:tcW w:type="dxa" w:w="2880"/>
          </w:tcPr>
          <w:p>
            <w:r>
              <w:t>Validation record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Validation Record – Pilot – v1</w:t>
            </w:r>
          </w:p>
        </w:tc>
        <w:tc>
          <w:tcPr>
            <w:tcW w:type="dxa" w:w="2880"/>
          </w:tcPr>
          <w:p>
            <w:r>
              <w:t>Validate</w:t>
            </w:r>
          </w:p>
        </w:tc>
      </w:tr>
      <w:tr>
        <w:tc>
          <w:tcPr>
            <w:tcW w:type="dxa" w:w="2880"/>
          </w:tcPr>
          <w:p>
            <w:r>
              <w:t>Expansion plan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Expansion Plan – Sub-Function – v1</w:t>
            </w:r>
          </w:p>
        </w:tc>
        <w:tc>
          <w:tcPr>
            <w:tcW w:type="dxa" w:w="2880"/>
          </w:tcPr>
          <w:p>
            <w:r>
              <w:t>Expand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Stage 1 — Assess</w:t>
      </w:r>
    </w:p>
    <w:p>
      <w:r>
        <w:rPr>
          <w:b/>
        </w:rPr>
        <w:t>Goal:</w:t>
      </w:r>
      <w:r>
        <w:t xml:space="preserve"> an honest baseline and a concrete sponsorship ask.</w:t>
      </w:r>
    </w:p>
    <w:p>
      <w:pPr>
        <w:pStyle w:val="ListNumber"/>
      </w:pPr>
      <w:r>
        <w:rPr>
          <w:b/>
        </w:rPr>
        <w:t>Confirm the six global requirements</w:t>
      </w:r>
      <w:r>
        <w:t xml:space="preserve"> (</w:t>
      </w:r>
      <w:r>
        <w:rPr>
          <w:rFonts w:ascii="Consolas" w:hAnsi="Consolas"/>
          <w:sz w:val="19"/>
        </w:rPr>
        <w:t>global-requirements-synthetic.md</w:t>
      </w:r>
      <w:r>
        <w:t>) and the six</w:t>
      </w:r>
    </w:p>
    <w:p>
      <w:r>
        <w:t xml:space="preserve">   solution-specific ones (</w:t>
      </w:r>
      <w:r>
        <w:rPr>
          <w:rFonts w:ascii="Consolas" w:hAnsi="Consolas"/>
          <w:sz w:val="19"/>
        </w:rPr>
        <w:t>02-requirements.md</w:t>
      </w:r>
      <w:r>
        <w:t>). Record gaps; do not proceed past Design with S1    (sponsor) or the isolated environment unresolved.</w:t>
      </w:r>
    </w:p>
    <w:p>
      <w:pPr>
        <w:pStyle w:val="ListNumber"/>
      </w:pPr>
      <w:r>
        <w:rPr>
          <w:b/>
        </w:rPr>
        <w:t>Run the maturity self-assessment.</w:t>
      </w:r>
      <w:r>
        <w:t xml:space="preserve"> Execute </w:t>
      </w:r>
      <w:r>
        <w:rPr>
          <w:rFonts w:ascii="Consolas" w:hAnsi="Consolas"/>
          <w:sz w:val="19"/>
        </w:rPr>
        <w:t>maturityassess.py</w:t>
      </w:r>
      <w:r>
        <w:t xml:space="preserve"> with your dimension scores to</w:t>
      </w:r>
    </w:p>
    <w:p>
      <w:r>
        <w:t xml:space="preserve">   produce </w:t>
      </w:r>
      <w:r>
        <w:rPr>
          <w:rFonts w:ascii="Consolas" w:hAnsi="Consolas"/>
          <w:sz w:val="19"/>
        </w:rPr>
        <w:t>Maturity Baseline – Sub-Function – v1</w:t>
      </w:r>
      <w:r>
        <w:t xml:space="preserve"> (a JSON + printed summary). This baseline is    reused as the KPI baseline anchor and the Expand-stage comparison.</w:t>
      </w:r>
    </w:p>
    <w:p>
      <w:pPr>
        <w:pStyle w:val="ListNumber"/>
      </w:pPr>
      <w:r>
        <w:rPr>
          <w:b/>
        </w:rPr>
        <w:t>Confirm the pilot inputs</w:t>
      </w:r>
      <w:r>
        <w:t xml:space="preserve"> with the consuming AI/QA teams: the </w:t>
      </w:r>
      <w:r>
        <w:rPr>
          <w:b/>
        </w:rPr>
        <w:t>target clinical data model</w:t>
      </w:r>
    </w:p>
    <w:p>
      <w:r>
        <w:t xml:space="preserve">   (FHIR / OMOP / native), the in-scope domains (patients, encounters, conditions, meds, labs,    vitals), the pilot AI/QA use case, and the </w:t>
      </w:r>
      <w:r>
        <w:rPr>
          <w:b/>
        </w:rPr>
        <w:t>reference source</w:t>
      </w:r>
      <w:r>
        <w:t xml:space="preserve"> for fidelity (governed real stats    or agreed published distributions).</w:t>
      </w:r>
    </w:p>
    <w:p>
      <w:pPr>
        <w:pStyle w:val="ListNumber"/>
      </w:pPr>
      <w:r>
        <w:rPr>
          <w:b/>
        </w:rPr>
        <w:t>Make the sponsorship ask</w:t>
      </w:r>
      <w:r>
        <w:t xml:space="preserve"> using the baseline: scope, pilot capacity, first pilot value. Obtain a</w:t>
      </w:r>
    </w:p>
    <w:p>
      <w:r>
        <w:t xml:space="preserve">   named sponsor and funded pilot capacity (S1).</w:t>
      </w:r>
    </w:p>
    <w:p>
      <w:r>
        <w:rPr>
          <w:b/>
        </w:rPr>
        <w:t>Gate A (Assess→Design):</w:t>
      </w:r>
      <w:r>
        <w:t xml:space="preserve"> sponsor named + funded pilot capacity + isolated non-prod environment confirmed + target model chosen. If any fail, stop; the standup is not ready.</w:t>
      </w:r>
    </w:p>
    <w:p>
      <w:r>
        <w:t>__________________________________________________</w:t>
      </w:r>
    </w:p>
    <w:p>
      <w:pPr>
        <w:pStyle w:val="Heading2"/>
      </w:pPr>
      <w:r>
        <w:t>Stage 2 — Design</w:t>
      </w:r>
    </w:p>
    <w:p>
      <w:r>
        <w:rPr>
          <w:b/>
        </w:rPr>
        <w:t>Goal:</w:t>
      </w:r>
      <w:r>
        <w:t xml:space="preserve"> the operating model on paper, ready to run.</w:t>
      </w:r>
    </w:p>
    <w:p>
      <w:pPr>
        <w:pStyle w:val="ListNumber"/>
      </w:pPr>
      <w:r>
        <w:rPr>
          <w:b/>
        </w:rPr>
        <w:t>Author `Capability Charter – Sub-Function – v1`</w:t>
      </w:r>
      <w:r>
        <w:t xml:space="preserve"> — mission, scope (what the sub-function does and</w:t>
      </w:r>
    </w:p>
    <w:p>
      <w:r>
        <w:t xml:space="preserve">   explicitly does *not* do), the sponsor and escalation path, and the deferral of regulatory/legal    determinations to privacy/compliance/legal.</w:t>
      </w:r>
    </w:p>
    <w:p>
      <w:pPr>
        <w:pStyle w:val="ListNumber"/>
      </w:pPr>
      <w:r>
        <w:rPr>
          <w:b/>
        </w:rPr>
        <w:t>Design the pods</w:t>
      </w:r>
      <w:r>
        <w:t xml:space="preserve"> → </w:t>
      </w:r>
      <w:r>
        <w:rPr>
          <w:rFonts w:ascii="Consolas" w:hAnsi="Consolas"/>
          <w:sz w:val="19"/>
        </w:rPr>
        <w:t>Pod Design – Sub-Function – v1</w:t>
      </w:r>
      <w:r>
        <w:t>. Define Intake, Generation, Validation &amp;</w:t>
      </w:r>
    </w:p>
    <w:p>
      <w:r>
        <w:t xml:space="preserve">   Governance, and Platform/enablement pods with owners and committed FTE fractions, plus a RACI for    the intake-to-release flow. </w:t>
      </w:r>
      <w:r>
        <w:rPr>
          <w:b/>
        </w:rPr>
        <w:t>Model the capacity</w:t>
      </w:r>
      <w:r>
        <w:t xml:space="preserve"> with </w:t>
      </w:r>
      <w:r>
        <w:rPr>
          <w:rFonts w:ascii="Consolas" w:hAnsi="Consolas"/>
          <w:sz w:val="19"/>
        </w:rPr>
        <w:t>intakequeue.py --capacity</w:t>
      </w:r>
      <w:r>
        <w:t xml:space="preserve"> against expected intake;    adjust FTE or scope until the model is not structurally over-committed.</w:t>
      </w:r>
    </w:p>
    <w:p>
      <w:pPr>
        <w:pStyle w:val="ListNumber"/>
      </w:pPr>
      <w:r>
        <w:rPr>
          <w:b/>
        </w:rPr>
        <w:t>Define intake</w:t>
      </w:r>
      <w:r>
        <w:t xml:space="preserve"> → </w:t>
      </w:r>
      <w:r>
        <w:rPr>
          <w:rFonts w:ascii="Consolas" w:hAnsi="Consolas"/>
          <w:sz w:val="19"/>
        </w:rPr>
        <w:t>Intake Scheme – Sub-Function – v1</w:t>
      </w:r>
      <w:r>
        <w:t>. Adopt the intake form fields and the</w:t>
      </w:r>
    </w:p>
    <w:p>
      <w:r>
        <w:t xml:space="preserve">   prioritization scoring model (value, urgency, effort, risk with agreed weights). This is the schema    </w:t>
      </w:r>
      <w:r>
        <w:rPr>
          <w:rFonts w:ascii="Consolas" w:hAnsi="Consolas"/>
          <w:sz w:val="19"/>
        </w:rPr>
        <w:t>intakequeue.py</w:t>
      </w:r>
      <w:r>
        <w:t xml:space="preserve"> consumes.</w:t>
      </w:r>
    </w:p>
    <w:p>
      <w:pPr>
        <w:pStyle w:val="ListNumber"/>
      </w:pPr>
      <w:r>
        <w:rPr>
          <w:b/>
        </w:rPr>
        <w:t>Define the reference architecture</w:t>
      </w:r>
      <w:r>
        <w:t xml:space="preserve"> → </w:t>
      </w:r>
      <w:r>
        <w:rPr>
          <w:rFonts w:ascii="Consolas" w:hAnsi="Consolas"/>
          <w:sz w:val="19"/>
        </w:rPr>
        <w:t>Reference Architecture – Sub-Function – v1</w:t>
      </w:r>
      <w:r>
        <w:t>. Specify</w:t>
      </w:r>
    </w:p>
    <w:p>
      <w:r>
        <w:t xml:space="preserve">   the isolated non-prod tiers, the </w:t>
      </w:r>
      <w:r>
        <w:rPr>
          <w:b/>
        </w:rPr>
        <w:t>engine interface</w:t>
      </w:r>
      <w:r>
        <w:t xml:space="preserve"> (Synthea / commercial platform / AI framework    swappable behind it), storage + access control, the fixed </w:t>
      </w:r>
      <w:r>
        <w:rPr>
          <w:b/>
        </w:rPr>
        <w:t>validation/gate stage</w:t>
      </w:r>
      <w:r>
        <w:t xml:space="preserve">, and the    data-flow boundary that enforces no-real-PHI-in-shared-harness. Capture it as the config    </w:t>
      </w:r>
      <w:r>
        <w:rPr>
          <w:rFonts w:ascii="Consolas" w:hAnsi="Consolas"/>
          <w:sz w:val="19"/>
        </w:rPr>
        <w:t>kpirollup.py --refarch</w:t>
      </w:r>
      <w:r>
        <w:t xml:space="preserve"> validates.</w:t>
      </w:r>
    </w:p>
    <w:p>
      <w:pPr>
        <w:pStyle w:val="ListNumber"/>
      </w:pPr>
      <w:r>
        <w:rPr>
          <w:b/>
        </w:rPr>
        <w:t>Define the KPI framework</w:t>
      </w:r>
      <w:r>
        <w:t xml:space="preserve"> → </w:t>
      </w:r>
      <w:r>
        <w:rPr>
          <w:rFonts w:ascii="Consolas" w:hAnsi="Consolas"/>
          <w:sz w:val="19"/>
        </w:rPr>
        <w:t>KPI Framework – Sub-Function – v1</w:t>
      </w:r>
      <w:r>
        <w:t>. Adopt the catalog below;</w:t>
      </w:r>
    </w:p>
    <w:p>
      <w:r>
        <w:t xml:space="preserve">   give each KPI a definition, target, owner, and baseline slot.</w:t>
      </w:r>
    </w:p>
    <w:p>
      <w:r>
        <w:t xml:space="preserve">   </w:t>
      </w:r>
      <w:r>
        <w:rPr>
          <w:b/>
        </w:rPr>
        <w:t>Delivery-quality KPIs</w:t>
      </w:r>
    </w:p>
    <w:p>
      <w:pPr>
        <w:pStyle w:val="ListBullet"/>
      </w:pPr>
      <w:r>
        <w:t>*Validation pass rate* — % of datasets passing all gates on first submission.</w:t>
      </w:r>
    </w:p>
    <w:p>
      <w:pPr>
        <w:pStyle w:val="ListBullet"/>
      </w:pPr>
      <w:r>
        <w:t>*Defect escape rate* — issues found by consumers ÷ total issues (lower is better).</w:t>
      </w:r>
    </w:p>
    <w:p>
      <w:pPr>
        <w:pStyle w:val="ListBullet"/>
      </w:pPr>
      <w:r>
        <w:t>*Rework rate* — % of requests requiring a second generation/validation cycle.</w:t>
      </w:r>
    </w:p>
    <w:p>
      <w:pPr>
        <w:pStyle w:val="ListBullet"/>
      </w:pPr>
      <w:r>
        <w:t>*Gate cycle time* — median time in the validation stage.</w:t>
      </w:r>
    </w:p>
    <w:p>
      <w:r>
        <w:t xml:space="preserve">   </w:t>
      </w:r>
      <w:r>
        <w:rPr>
          <w:b/>
        </w:rPr>
        <w:t>Engineering-productivity KPIs</w:t>
      </w:r>
    </w:p>
    <w:p>
      <w:pPr>
        <w:pStyle w:val="ListBullet"/>
      </w:pPr>
      <w:r>
        <w:t>*Request lead time* — intake-accepted to release (median + p85).</w:t>
      </w:r>
    </w:p>
    <w:p>
      <w:pPr>
        <w:pStyle w:val="ListBullet"/>
      </w:pPr>
      <w:r>
        <w:t>*Throughput* — requests released per period.</w:t>
      </w:r>
    </w:p>
    <w:p>
      <w:pPr>
        <w:pStyle w:val="ListBullet"/>
      </w:pPr>
      <w:r>
        <w:t>*Flow efficiency* — active time ÷ total lead time.</w:t>
      </w:r>
    </w:p>
    <w:p>
      <w:pPr>
        <w:pStyle w:val="ListBullet"/>
      </w:pPr>
      <w:r>
        <w:t>*WIP* — mean requests in progress (watch against pod capacity from step 6).</w:t>
      </w:r>
    </w:p>
    <w:p>
      <w:r>
        <w:rPr>
          <w:b/>
        </w:rPr>
        <w:t>Gate B (Design→Build):</w:t>
      </w:r>
      <w:r>
        <w:t xml:space="preserve"> charter, pod design, intake scheme, reference architecture (validated by </w:t>
      </w:r>
      <w:r>
        <w:rPr>
          <w:rFonts w:ascii="Consolas" w:hAnsi="Consolas"/>
          <w:sz w:val="19"/>
        </w:rPr>
        <w:t>kpirollup.py --refarch</w:t>
      </w:r>
      <w:r>
        <w:t xml:space="preserve">), and KPI framework all exist and are agreed. Reference architecture config must pass </w:t>
      </w:r>
      <w:r>
        <w:rPr>
          <w:rFonts w:ascii="Consolas" w:hAnsi="Consolas"/>
          <w:sz w:val="19"/>
        </w:rPr>
        <w:t>kpirollup.py --refarch</w:t>
      </w:r>
      <w:r>
        <w:t xml:space="preserve"> with </w:t>
      </w:r>
      <w:r>
        <w:rPr>
          <w:b/>
        </w:rPr>
        <w:t>no ERROR-level findings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Stage 3 — Generate/Build</w:t>
      </w:r>
    </w:p>
    <w:p>
      <w:r>
        <w:rPr>
          <w:b/>
        </w:rPr>
        <w:t>Goal:</w:t>
      </w:r>
      <w:r>
        <w:t xml:space="preserve"> the environment and engine stood up; one pilot request run end-to-end.</w:t>
      </w:r>
    </w:p>
    <w:p>
      <w:pPr>
        <w:pStyle w:val="ListNumber"/>
      </w:pPr>
      <w:r>
        <w:rPr>
          <w:b/>
        </w:rPr>
        <w:t>Stand up the isolated environment and engine</w:t>
      </w:r>
      <w:r>
        <w:t xml:space="preserve"> per </w:t>
      </w:r>
      <w:r>
        <w:rPr>
          <w:rFonts w:ascii="Consolas" w:hAnsi="Consolas"/>
          <w:sz w:val="19"/>
        </w:rPr>
        <w:t>Reference Architecture – Sub-Function – v1</w:t>
      </w:r>
      <w:r>
        <w:t>.</w:t>
      </w:r>
    </w:p>
    <w:p>
      <w:r>
        <w:t xml:space="preserve">    Install the Python data environment; wire the first engine (e.g. Synthea or a commercial platform)     behind the engine interface. Verify the environment is not connected to production PHI stores.</w:t>
      </w:r>
    </w:p>
    <w:p>
      <w:pPr>
        <w:pStyle w:val="ListNumber"/>
      </w:pPr>
      <w:r>
        <w:rPr>
          <w:b/>
        </w:rPr>
        <w:t>Accept the pilot request through intake.</w:t>
      </w:r>
      <w:r>
        <w:t xml:space="preserve"> Log it in the queue; confirm </w:t>
      </w:r>
      <w:r>
        <w:rPr>
          <w:rFonts w:ascii="Consolas" w:hAnsi="Consolas"/>
          <w:sz w:val="19"/>
        </w:rPr>
        <w:t>intakequeue.py</w:t>
      </w:r>
    </w:p>
    <w:p>
      <w:r>
        <w:t xml:space="preserve">    prioritizes and reports it cleanly.</w:t>
      </w:r>
    </w:p>
    <w:p>
      <w:pPr>
        <w:pStyle w:val="ListNumber"/>
      </w:pPr>
      <w:r>
        <w:rPr>
          <w:b/>
        </w:rPr>
        <w:t>Profile the target/reference</w:t>
      </w:r>
      <w:r>
        <w:t xml:space="preserve"> with </w:t>
      </w:r>
      <w:r>
        <w:rPr>
          <w:rFonts w:ascii="Consolas" w:hAnsi="Consolas"/>
          <w:sz w:val="19"/>
        </w:rPr>
        <w:t>datasetprofile.py</w:t>
      </w:r>
      <w:r>
        <w:t xml:space="preserve"> against the agreed reference statistics</w:t>
      </w:r>
    </w:p>
    <w:p>
      <w:r>
        <w:t xml:space="preserve">    (read-only, minimized) to establish the fidelity comparison baseline for the target domains.</w:t>
      </w:r>
    </w:p>
    <w:p>
      <w:pPr>
        <w:pStyle w:val="ListNumber"/>
      </w:pPr>
      <w:r>
        <w:rPr>
          <w:b/>
        </w:rPr>
        <w:t>Generate the pilot dataset</w:t>
      </w:r>
      <w:r>
        <w:t xml:space="preserve"> → </w:t>
      </w:r>
      <w:r>
        <w:rPr>
          <w:rFonts w:ascii="Consolas" w:hAnsi="Consolas"/>
          <w:sz w:val="19"/>
        </w:rPr>
        <w:t>Synthetic EHR – Pilot – v1</w:t>
      </w:r>
      <w:r>
        <w:t xml:space="preserve"> against the chosen target model</w:t>
      </w:r>
    </w:p>
    <w:p>
      <w:r>
        <w:t xml:space="preserve">    and in-scope domains, written </w:t>
      </w:r>
      <w:r>
        <w:rPr>
          <w:b/>
        </w:rPr>
        <w:t>only</w:t>
      </w:r>
      <w:r>
        <w:t xml:space="preserve"> to the isolated environment. (If your engine is Synthea or a     commercial platform, run it per that vendor's documentation; treat its output as the named dataset.)</w:t>
      </w:r>
    </w:p>
    <w:p>
      <w:r>
        <w:rPr>
          <w:b/>
        </w:rPr>
        <w:t>Gate C (Build→Validate):</w:t>
      </w:r>
      <w:r>
        <w:t xml:space="preserve"> </w:t>
      </w:r>
      <w:r>
        <w:rPr>
          <w:rFonts w:ascii="Consolas" w:hAnsi="Consolas"/>
          <w:sz w:val="19"/>
        </w:rPr>
        <w:t>Synthetic EHR – Pilot – v1</w:t>
      </w:r>
      <w:r>
        <w:t xml:space="preserve"> exists in the isolated environment, conforms structurally to the target model, and contains the in-scope domains. No real PHI present.</w:t>
      </w:r>
    </w:p>
    <w:p>
      <w:r>
        <w:t>__________________________________________________</w:t>
      </w:r>
    </w:p>
    <w:p>
      <w:pPr>
        <w:pStyle w:val="Heading2"/>
      </w:pPr>
      <w:r>
        <w:t>Stage 4 — Validate</w:t>
      </w:r>
    </w:p>
    <w:p>
      <w:r>
        <w:rPr>
          <w:b/>
        </w:rPr>
        <w:t>Goal:</w:t>
      </w:r>
      <w:r>
        <w:t xml:space="preserve"> evidence the dataset is fit and safe; a release decision at the gate.</w:t>
      </w:r>
    </w:p>
    <w:p>
      <w:pPr>
        <w:pStyle w:val="ListNumber"/>
      </w:pPr>
      <w:r>
        <w:rPr>
          <w:b/>
        </w:rPr>
        <w:t>Run the fidelity/coverage report.</w:t>
      </w:r>
      <w:r>
        <w:t xml:space="preserve"> Execute </w:t>
      </w:r>
      <w:r>
        <w:rPr>
          <w:rFonts w:ascii="Consolas" w:hAnsi="Consolas"/>
          <w:sz w:val="19"/>
        </w:rPr>
        <w:t>datasetprofile.py</w:t>
      </w:r>
      <w:r>
        <w:t xml:space="preserve"> comparing</w:t>
      </w:r>
    </w:p>
    <w:p>
      <w:r>
        <w:t xml:space="preserve">    </w:t>
      </w:r>
      <w:r>
        <w:rPr>
          <w:rFonts w:ascii="Consolas" w:hAnsi="Consolas"/>
          <w:sz w:val="19"/>
        </w:rPr>
        <w:t>Synthetic EHR – Pilot – v1</w:t>
      </w:r>
      <w:r>
        <w:t xml:space="preserve"> to the reference baseline from step 12; produce the coverage and     distributional-fidelity section of the validation record.</w:t>
      </w:r>
    </w:p>
    <w:p>
      <w:pPr>
        <w:pStyle w:val="ListNumber"/>
      </w:pPr>
      <w:r>
        <w:rPr>
          <w:b/>
        </w:rPr>
        <w:t>Run the privacy/validation check.</w:t>
      </w:r>
      <w:r>
        <w:t xml:space="preserve"> Execute </w:t>
      </w:r>
      <w:r>
        <w:rPr>
          <w:rFonts w:ascii="Consolas" w:hAnsi="Consolas"/>
          <w:sz w:val="19"/>
        </w:rPr>
        <w:t>privacycheck.py</w:t>
      </w:r>
      <w:r>
        <w:t xml:space="preserve"> on the dataset to screen for</w:t>
      </w:r>
    </w:p>
    <w:p>
      <w:r>
        <w:t xml:space="preserve">    direct-identifier leakage, uniqueness/quasi-identifier risk signals, and exact copies of reference     rows. This produces </w:t>
      </w:r>
      <w:r>
        <w:rPr>
          <w:b/>
        </w:rPr>
        <w:t>technical evidence and a pass/fail signal only</w:t>
      </w:r>
      <w:r>
        <w:t xml:space="preserve"> — the disclosure-risk     </w:t>
      </w:r>
      <w:r>
        <w:rPr>
          <w:b/>
        </w:rPr>
        <w:t>determination</w:t>
      </w:r>
      <w:r>
        <w:t xml:space="preserve"> is deferred to the privacy officer.</w:t>
      </w:r>
    </w:p>
    <w:p>
      <w:pPr>
        <w:pStyle w:val="ListNumber"/>
      </w:pPr>
      <w:r>
        <w:rPr>
          <w:b/>
        </w:rPr>
        <w:t>Assemble `Validation Record – Pilot – v1`</w:t>
      </w:r>
      <w:r>
        <w:t xml:space="preserve"> — the fidelity/coverage results, the privacy screen</w:t>
      </w:r>
    </w:p>
    <w:p>
      <w:r>
        <w:t xml:space="preserve">    results, the gate decision, and the named reviewers.</w:t>
      </w:r>
    </w:p>
    <w:p>
      <w:r>
        <w:rPr>
          <w:b/>
        </w:rPr>
        <w:t>Gate D (the release gate — pass/fail):</w:t>
      </w:r>
    </w:p>
    <w:p>
      <w:pPr>
        <w:pStyle w:val="ListBullet"/>
      </w:pPr>
      <w:r>
        <w:rPr>
          <w:b/>
        </w:rPr>
        <w:t>Fidelity/coverage:</w:t>
      </w:r>
      <w:r>
        <w:t xml:space="preserve"> meets the pilot's agreed thresholds (coverage of in-scope domains ≥ target;</w:t>
      </w:r>
    </w:p>
    <w:p>
      <w:r>
        <w:t xml:space="preserve">  distributional distance within tolerance where a reference exists).</w:t>
      </w:r>
    </w:p>
    <w:p>
      <w:pPr>
        <w:pStyle w:val="ListBullet"/>
      </w:pPr>
      <w:r>
        <w:rPr>
          <w:b/>
        </w:rPr>
        <w:t>Privacy:</w:t>
      </w:r>
      <w:r>
        <w:t xml:space="preserve"> </w:t>
      </w:r>
      <w:r>
        <w:rPr>
          <w:rFonts w:ascii="Consolas" w:hAnsi="Consolas"/>
          <w:sz w:val="19"/>
        </w:rPr>
        <w:t>privacycheck.py</w:t>
      </w:r>
      <w:r>
        <w:t xml:space="preserve"> reports </w:t>
      </w:r>
      <w:r>
        <w:rPr>
          <w:b/>
        </w:rPr>
        <w:t>no direct identifiers</w:t>
      </w:r>
      <w:r>
        <w:t xml:space="preserve">, </w:t>
      </w:r>
      <w:r>
        <w:rPr>
          <w:b/>
        </w:rPr>
        <w:t>no exact reference-row copies</w:t>
      </w:r>
      <w:r>
        <w:t>,</w:t>
      </w:r>
    </w:p>
    <w:p>
      <w:r>
        <w:t xml:space="preserve">  and quasi-identifier risk </w:t>
      </w:r>
      <w:r>
        <w:rPr>
          <w:b/>
        </w:rPr>
        <w:t>below the agreed threshold</w:t>
      </w:r>
      <w:r>
        <w:t>; privacy officer accepts the evidence.</w:t>
      </w:r>
    </w:p>
    <w:p>
      <w:pPr>
        <w:pStyle w:val="ListBullet"/>
      </w:pPr>
      <w:r>
        <w:rPr>
          <w:b/>
        </w:rPr>
        <w:t>Decision:</w:t>
      </w:r>
      <w:r>
        <w:t xml:space="preserve"> PASS → release to the consuming AI/QA use case. FAIL → </w:t>
      </w:r>
      <w:r>
        <w:rPr>
          <w:b/>
        </w:rPr>
        <w:t>rollback</w:t>
      </w:r>
      <w:r>
        <w:t>: quarantine</w:t>
      </w:r>
    </w:p>
    <w:p>
      <w:r>
        <w:t xml:space="preserve">  </w:t>
      </w:r>
      <w:r>
        <w:rPr>
          <w:rFonts w:ascii="Consolas" w:hAnsi="Consolas"/>
          <w:sz w:val="19"/>
        </w:rPr>
        <w:t>Synthetic EHR – Pilot – v1</w:t>
      </w:r>
      <w:r>
        <w:t xml:space="preserve"> in the isolated environment, record the failing gate in the validation   record, and return the request to the Generation pod for a second cycle (counts against *rework   rate*). Never release on a failed privacy gate.</w:t>
      </w:r>
    </w:p>
    <w:p>
      <w:r>
        <w:t>__________________________________________________</w:t>
      </w:r>
    </w:p>
    <w:p>
      <w:pPr>
        <w:pStyle w:val="Heading2"/>
      </w:pPr>
      <w:r>
        <w:t>Stage 5 — Expand</w:t>
      </w:r>
    </w:p>
    <w:p>
      <w:r>
        <w:rPr>
          <w:b/>
        </w:rPr>
        <w:t>Goal:</w:t>
      </w:r>
      <w:r>
        <w:t xml:space="preserve"> turn the pilot into a scaling, measured service.</w:t>
      </w:r>
    </w:p>
    <w:p>
      <w:pPr>
        <w:pStyle w:val="ListNumber"/>
      </w:pPr>
      <w:r>
        <w:rPr>
          <w:b/>
        </w:rPr>
        <w:t>Baseline the KPIs.</w:t>
      </w:r>
      <w:r>
        <w:t xml:space="preserve"> Compute the first </w:t>
      </w:r>
      <w:r>
        <w:rPr>
          <w:rFonts w:ascii="Consolas" w:hAnsi="Consolas"/>
          <w:sz w:val="19"/>
        </w:rPr>
        <w:t>KPI Framework – Sub-Function – v1</w:t>
      </w:r>
      <w:r>
        <w:t xml:space="preserve"> rollup with</w:t>
      </w:r>
    </w:p>
    <w:p>
      <w:r>
        <w:t xml:space="preserve">    </w:t>
      </w:r>
      <w:r>
        <w:rPr>
          <w:rFonts w:ascii="Consolas" w:hAnsi="Consolas"/>
          <w:sz w:val="19"/>
        </w:rPr>
        <w:t>kpirollup.py</w:t>
      </w:r>
      <w:r>
        <w:t xml:space="preserve"> from the intake/validation data of the pilot. This is the trend anchor.</w:t>
      </w:r>
    </w:p>
    <w:p>
      <w:pPr>
        <w:pStyle w:val="ListNumber"/>
      </w:pPr>
      <w:r>
        <w:rPr>
          <w:b/>
        </w:rPr>
        <w:t>Onboard the next request types and programs</w:t>
      </w:r>
      <w:r>
        <w:t xml:space="preserve"> through the same intake and gates; add engines</w:t>
      </w:r>
    </w:p>
    <w:p>
      <w:r>
        <w:t xml:space="preserve">    behind the engine interface as needed (re-run </w:t>
      </w:r>
      <w:r>
        <w:rPr>
          <w:rFonts w:ascii="Consolas" w:hAnsi="Consolas"/>
          <w:sz w:val="19"/>
        </w:rPr>
        <w:t>kpirollup.py --refarch</w:t>
      </w:r>
      <w:r>
        <w:t xml:space="preserve"> on any architecture change).</w:t>
      </w:r>
    </w:p>
    <w:p>
      <w:pPr>
        <w:pStyle w:val="ListNumber"/>
      </w:pPr>
      <w:r>
        <w:rPr>
          <w:b/>
        </w:rPr>
        <w:t>Re-run the maturity self-assessment</w:t>
      </w:r>
      <w:r>
        <w:t xml:space="preserve"> (</w:t>
      </w:r>
      <w:r>
        <w:rPr>
          <w:rFonts w:ascii="Consolas" w:hAnsi="Consolas"/>
          <w:sz w:val="19"/>
        </w:rPr>
        <w:t>maturityassess.py</w:t>
      </w:r>
      <w:r>
        <w:t>) on cadence, compare to</w:t>
      </w:r>
    </w:p>
    <w:p>
      <w:r>
        <w:t xml:space="preserve">    </w:t>
      </w:r>
      <w:r>
        <w:rPr>
          <w:rFonts w:ascii="Consolas" w:hAnsi="Consolas"/>
          <w:sz w:val="19"/>
        </w:rPr>
        <w:t>Maturity Baseline – Sub-Function – v1</w:t>
      </w:r>
      <w:r>
        <w:t xml:space="preserve">, and record the next target in     </w:t>
      </w:r>
      <w:r>
        <w:rPr>
          <w:rFonts w:ascii="Consolas" w:hAnsi="Consolas"/>
          <w:sz w:val="19"/>
        </w:rPr>
        <w:t>Expansion Plan – Sub-Function – v1</w:t>
      </w:r>
      <w:r>
        <w:t>.</w:t>
      </w:r>
    </w:p>
    <w:p>
      <w:pPr>
        <w:pStyle w:val="ListNumber"/>
      </w:pPr>
      <w:r>
        <w:rPr>
          <w:b/>
        </w:rPr>
        <w:t>Review KPIs on cadence</w:t>
      </w:r>
      <w:r>
        <w:t xml:space="preserve"> with the sponsor; watch WIP against pod capacity (</w:t>
      </w:r>
      <w:r>
        <w:rPr>
          <w:rFonts w:ascii="Consolas" w:hAnsi="Consolas"/>
          <w:sz w:val="19"/>
        </w:rPr>
        <w:t>intakequeue.py --capacity</w:t>
      </w:r>
      <w:r>
        <w:t>) and</w:t>
      </w:r>
    </w:p>
    <w:p>
      <w:r>
        <w:t xml:space="preserve">    re-scope or re-staff before lead time degrades.</w:t>
      </w:r>
    </w:p>
    <w:p>
      <w:r>
        <w:rPr>
          <w:b/>
        </w:rPr>
        <w:t>Steady state:</w:t>
      </w:r>
      <w:r>
        <w:t xml:space="preserve"> every request enters through </w:t>
      </w:r>
      <w:r>
        <w:rPr>
          <w:rFonts w:ascii="Consolas" w:hAnsi="Consolas"/>
          <w:sz w:val="19"/>
        </w:rPr>
        <w:t>Intake Scheme – Sub-Function – v1</w:t>
      </w:r>
      <w:r>
        <w:t xml:space="preserve">, produces a named dataset, ships with a </w:t>
      </w:r>
      <w:r>
        <w:rPr>
          <w:rFonts w:ascii="Consolas" w:hAnsi="Consolas"/>
          <w:sz w:val="19"/>
        </w:rPr>
        <w:t>Validation Record</w:t>
      </w:r>
      <w:r>
        <w:t>, and contributes to the KPI trend — a repeatable, measured service.</w:t>
      </w:r>
    </w:p>
    <w:p>
      <w:pPr>
        <w:pStyle w:val="Heading1"/>
      </w:pPr>
      <w:r>
        <w:t>Testing &amp; Validation</w:t>
      </w:r>
    </w:p>
    <w:p>
      <w:r>
        <w:t xml:space="preserve">These procedures validate both the </w:t>
      </w:r>
      <w:r>
        <w:rPr>
          <w:b/>
        </w:rPr>
        <w:t>operating model</w:t>
      </w:r>
      <w:r>
        <w:t xml:space="preserve"> (is the sub-function set up correctly?) and each </w:t>
      </w:r>
      <w:r>
        <w:rPr>
          <w:b/>
        </w:rPr>
        <w:t>dataset</w:t>
      </w:r>
      <w:r>
        <w:t xml:space="preserve"> it produces (is the output fit and safe?). Each test states its </w:t>
      </w:r>
      <w:r>
        <w:rPr>
          <w:b/>
        </w:rPr>
        <w:t>expected pass/fail signal</w:t>
      </w:r>
      <w:r>
        <w:t>. Run the operating-model tests once at standup and on cadence; run the per-dataset tests at the Validate gate (Gate D) for every request.</w:t>
      </w:r>
    </w:p>
    <w:p>
      <w:pPr>
        <w:ind w:left="432"/>
      </w:pPr>
      <w:r>
        <w:rPr>
          <w:i/>
          <w:color w:val="2E86C1"/>
        </w:rPr>
        <w:t>No real PHI in a shared harness/twin/AI test environment. Privacy tests produce technical evidence; the disclosure-risk determination is the privacy officer's.</w:t>
      </w:r>
    </w:p>
    <w:p>
      <w:r>
        <w:t>__________________________________________________</w:t>
      </w:r>
    </w:p>
    <w:p>
      <w:pPr>
        <w:pStyle w:val="Heading2"/>
      </w:pPr>
      <w:r>
        <w:t>A. Operating-model validation (run at standup and on review cadence)</w:t>
      </w:r>
    </w:p>
    <w:p>
      <w:pPr>
        <w:pStyle w:val="Heading3"/>
      </w:pPr>
      <w:r>
        <w:t>A1. Maturity baseline is captured</w:t>
      </w:r>
    </w:p>
    <w:p>
      <w:pPr>
        <w:pStyle w:val="ListBullet"/>
      </w:pPr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maturityassess.py</w:t>
      </w:r>
      <w:r>
        <w:t xml:space="preserve"> with the agreed dimension scores.</w:t>
      </w:r>
    </w:p>
    <w:p>
      <w:pPr>
        <w:pStyle w:val="ListBullet"/>
      </w:pPr>
      <w:r>
        <w:rPr>
          <w:b/>
        </w:rPr>
        <w:t>Pass:</w:t>
      </w:r>
      <w:r>
        <w:t xml:space="preserve"> Produces </w:t>
      </w:r>
      <w:r>
        <w:rPr>
          <w:rFonts w:ascii="Consolas" w:hAnsi="Consolas"/>
          <w:sz w:val="19"/>
        </w:rPr>
        <w:t>Maturity Baseline – Sub-Function – v1</w:t>
      </w:r>
      <w:r>
        <w:t xml:space="preserve"> with a level per dimension and an overall</w:t>
      </w:r>
    </w:p>
    <w:p>
      <w:r>
        <w:t xml:space="preserve">  level; the printed summary matches the recorded charter target.</w:t>
      </w:r>
    </w:p>
    <w:p>
      <w:pPr>
        <w:pStyle w:val="ListBullet"/>
      </w:pPr>
      <w:r>
        <w:rPr>
          <w:b/>
        </w:rPr>
        <w:t>Fail:</w:t>
      </w:r>
      <w:r>
        <w:t xml:space="preserve"> Missing dimensions or an unset target level → complete the assessment before Design closes.</w:t>
      </w:r>
    </w:p>
    <w:p>
      <w:pPr>
        <w:pStyle w:val="Heading3"/>
      </w:pPr>
      <w:r>
        <w:t>A2. Reference architecture config is valid</w:t>
      </w:r>
    </w:p>
    <w:p>
      <w:pPr>
        <w:pStyle w:val="ListBullet"/>
      </w:pPr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kpirollup.py --refarch --config &lt;arch&gt;.json</w:t>
      </w:r>
      <w:r>
        <w:t xml:space="preserve"> against</w:t>
      </w:r>
    </w:p>
    <w:p>
      <w:r>
        <w:t xml:space="preserve">  </w:t>
      </w:r>
      <w:r>
        <w:rPr>
          <w:rFonts w:ascii="Consolas" w:hAnsi="Consolas"/>
          <w:sz w:val="19"/>
        </w:rPr>
        <w:t>Reference Architecture – Sub-Function – v1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Exit code 0, </w:t>
      </w:r>
      <w:r>
        <w:rPr>
          <w:b/>
        </w:rPr>
        <w:t>no ERROR findings</w:t>
      </w:r>
      <w:r>
        <w:t xml:space="preserve"> — required tiers present, an engine interface defined,</w:t>
      </w:r>
    </w:p>
    <w:p>
      <w:r>
        <w:t xml:space="preserve">  the isolation/no-real-PHI boundary asserted, and a validation/gate stage present.</w:t>
      </w:r>
    </w:p>
    <w:p>
      <w:pPr>
        <w:pStyle w:val="ListBullet"/>
      </w:pPr>
      <w:r>
        <w:rPr>
          <w:b/>
        </w:rPr>
        <w:t>Fail:</w:t>
      </w:r>
      <w:r>
        <w:t xml:space="preserve"> Any ERROR finding (e.g. missing isolation boundary, no gate stage) → fix the architecture;</w:t>
      </w:r>
    </w:p>
    <w:p>
      <w:r>
        <w:t xml:space="preserve">  Gate B cannot close.</w:t>
      </w:r>
    </w:p>
    <w:p>
      <w:pPr>
        <w:pStyle w:val="Heading3"/>
      </w:pPr>
      <w:r>
        <w:t>A3. Intake queue is well-formed and prioritized</w:t>
      </w:r>
    </w:p>
    <w:p>
      <w:pPr>
        <w:pStyle w:val="ListBullet"/>
      </w:pPr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intakequeue.py --input &lt;queue&gt;.csv</w:t>
      </w:r>
      <w:r>
        <w:t xml:space="preserve"> on the current queue.</w:t>
      </w:r>
    </w:p>
    <w:p>
      <w:pPr>
        <w:pStyle w:val="ListBullet"/>
      </w:pPr>
      <w:r>
        <w:rPr>
          <w:b/>
        </w:rPr>
        <w:t>Pass:</w:t>
      </w:r>
      <w:r>
        <w:t xml:space="preserve"> All rows parse; each request gets a priority score and rank; capacity-vs-demand summary</w:t>
      </w:r>
    </w:p>
    <w:p>
      <w:r>
        <w:t xml:space="preserve">  prints. No rows rejected for missing required fields.</w:t>
      </w:r>
    </w:p>
    <w:p>
      <w:pPr>
        <w:pStyle w:val="ListBullet"/>
      </w:pPr>
      <w:r>
        <w:rPr>
          <w:b/>
        </w:rPr>
        <w:t>Fail:</w:t>
      </w:r>
      <w:r>
        <w:t xml:space="preserve"> Rejected rows or unscored requests → correct the intake data/schema.</w:t>
      </w:r>
    </w:p>
    <w:p>
      <w:pPr>
        <w:pStyle w:val="Heading3"/>
      </w:pPr>
      <w:r>
        <w:t>A4. Pod capacity covers expected demand</w:t>
      </w:r>
    </w:p>
    <w:p>
      <w:pPr>
        <w:pStyle w:val="ListBullet"/>
      </w:pPr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intakequeue.py --capacity</w:t>
      </w:r>
      <w:r>
        <w:t xml:space="preserve"> with pod FTE and expected request mix.</w:t>
      </w:r>
    </w:p>
    <w:p>
      <w:pPr>
        <w:pStyle w:val="ListBullet"/>
      </w:pPr>
      <w:r>
        <w:rPr>
          <w:b/>
        </w:rPr>
        <w:t>Pass:</w:t>
      </w:r>
      <w:r>
        <w:t xml:space="preserve"> Modeled utilization for each pod ≤ the agreed ceiling (default 85%); no pod structurally</w:t>
      </w:r>
    </w:p>
    <w:p>
      <w:r>
        <w:t xml:space="preserve">  over-committed.</w:t>
      </w:r>
    </w:p>
    <w:p>
      <w:pPr>
        <w:pStyle w:val="ListBullet"/>
      </w:pPr>
      <w:r>
        <w:rPr>
          <w:b/>
        </w:rPr>
        <w:t>Fail:</w:t>
      </w:r>
      <w:r>
        <w:t xml:space="preserve"> Any pod &gt; ceiling → re-staff or re-scope before committing the charter.</w:t>
      </w:r>
    </w:p>
    <w:p>
      <w:pPr>
        <w:pStyle w:val="Heading3"/>
      </w:pPr>
      <w:r>
        <w:t>A5. KPI rollup computes against definitions</w:t>
      </w:r>
    </w:p>
    <w:p>
      <w:pPr>
        <w:pStyle w:val="ListBullet"/>
      </w:pPr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kpirollup.py</w:t>
      </w:r>
      <w:r>
        <w:t xml:space="preserve"> on the pilot's intake + validation records.</w:t>
      </w:r>
    </w:p>
    <w:p>
      <w:pPr>
        <w:pStyle w:val="ListBullet"/>
      </w:pPr>
      <w:r>
        <w:rPr>
          <w:b/>
        </w:rPr>
        <w:t>Pass:</w:t>
      </w:r>
      <w:r>
        <w:t xml:space="preserve"> Every KPI in </w:t>
      </w:r>
      <w:r>
        <w:rPr>
          <w:rFonts w:ascii="Consolas" w:hAnsi="Consolas"/>
          <w:sz w:val="19"/>
        </w:rPr>
        <w:t>KPI Framework – Sub-Function – v1</w:t>
      </w:r>
      <w:r>
        <w:t xml:space="preserve"> computes to a number with its baseline</w:t>
      </w:r>
    </w:p>
    <w:p>
      <w:r>
        <w:t xml:space="preserve">  recorded; delivery-quality and productivity sections both populate.</w:t>
      </w:r>
    </w:p>
    <w:p>
      <w:pPr>
        <w:pStyle w:val="ListBullet"/>
      </w:pPr>
      <w:r>
        <w:rPr>
          <w:b/>
        </w:rPr>
        <w:t>Fail:</w:t>
      </w:r>
      <w:r>
        <w:t xml:space="preserve"> A KPI cannot compute (missing timestamps/fields) → fix the source data capture in intake.</w:t>
      </w:r>
    </w:p>
    <w:p>
      <w:r>
        <w:t>__________________________________________________</w:t>
      </w:r>
    </w:p>
    <w:p>
      <w:pPr>
        <w:pStyle w:val="Heading2"/>
      </w:pPr>
      <w:r>
        <w:t>B. Per-dataset validation (run at Gate D for every dataset)</w:t>
      </w:r>
    </w:p>
    <w:p>
      <w:r>
        <w:t xml:space="preserve">Applied to the pilot as </w:t>
      </w:r>
      <w:r>
        <w:rPr>
          <w:rFonts w:ascii="Consolas" w:hAnsi="Consolas"/>
          <w:sz w:val="19"/>
        </w:rPr>
        <w:t>Synthetic EHR – Pilot – v1</w:t>
      </w:r>
      <w:r>
        <w:t>; applied by name to every later dataset.</w:t>
      </w:r>
    </w:p>
    <w:p>
      <w:pPr>
        <w:pStyle w:val="Heading3"/>
      </w:pPr>
      <w:r>
        <w:t>B1. Structural / schema conformance</w:t>
      </w:r>
    </w:p>
    <w:p>
      <w:pPr>
        <w:pStyle w:val="ListBullet"/>
      </w:pPr>
      <w:r>
        <w:rPr>
          <w:b/>
        </w:rPr>
        <w:t>Procedure:</w:t>
      </w:r>
      <w:r>
        <w:t xml:space="preserve"> </w:t>
      </w:r>
      <w:r>
        <w:rPr>
          <w:rFonts w:ascii="Consolas" w:hAnsi="Consolas"/>
          <w:sz w:val="19"/>
        </w:rPr>
        <w:t>datasetprofile.py --dataset &lt;data&gt; --mode structure</w:t>
      </w:r>
      <w:r>
        <w:t xml:space="preserve"> against the target model.</w:t>
      </w:r>
    </w:p>
    <w:p>
      <w:pPr>
        <w:pStyle w:val="ListBullet"/>
      </w:pPr>
      <w:r>
        <w:rPr>
          <w:b/>
        </w:rPr>
        <w:t>Pass:</w:t>
      </w:r>
      <w:r>
        <w:t xml:space="preserve"> All in-scope domains present; required fields typed correctly; referential links</w:t>
      </w:r>
    </w:p>
    <w:p>
      <w:r>
        <w:t xml:space="preserve">  (patient→encounter→observation) resolve.</w:t>
      </w:r>
    </w:p>
    <w:p>
      <w:pPr>
        <w:pStyle w:val="ListBullet"/>
      </w:pPr>
      <w:r>
        <w:rPr>
          <w:b/>
        </w:rPr>
        <w:t>Fail:</w:t>
      </w:r>
      <w:r>
        <w:t xml:space="preserve"> Missing domain or broken link → regenerate (counts as rework).</w:t>
      </w:r>
    </w:p>
    <w:p>
      <w:pPr>
        <w:pStyle w:val="Heading3"/>
      </w:pPr>
      <w:r>
        <w:t>B2. Coverage</w:t>
      </w:r>
    </w:p>
    <w:p>
      <w:pPr>
        <w:pStyle w:val="ListBullet"/>
      </w:pPr>
      <w:r>
        <w:rPr>
          <w:b/>
        </w:rPr>
        <w:t>Procedure:</w:t>
      </w:r>
      <w:r>
        <w:t xml:space="preserve"> </w:t>
      </w:r>
      <w:r>
        <w:rPr>
          <w:rFonts w:ascii="Consolas" w:hAnsi="Consolas"/>
          <w:sz w:val="19"/>
        </w:rPr>
        <w:t>datasetprofile.py --dataset &lt;data&gt; --mode coverage</w:t>
      </w:r>
      <w:r>
        <w:t xml:space="preserve"> against the pilot's coverage</w:t>
      </w:r>
    </w:p>
    <w:p>
      <w:r>
        <w:t xml:space="preserve">  targets (value sets / categories that must appear).</w:t>
      </w:r>
    </w:p>
    <w:p>
      <w:pPr>
        <w:pStyle w:val="ListBullet"/>
      </w:pPr>
      <w:r>
        <w:rPr>
          <w:b/>
        </w:rPr>
        <w:t>Pass:</w:t>
      </w:r>
      <w:r>
        <w:t xml:space="preserve"> Coverage of in-scope categories ≥ the agreed target (default ≥ 90% of required categories</w:t>
      </w:r>
    </w:p>
    <w:p>
      <w:r>
        <w:t xml:space="preserve">  represented).</w:t>
      </w:r>
    </w:p>
    <w:p>
      <w:pPr>
        <w:pStyle w:val="ListBullet"/>
      </w:pPr>
      <w:r>
        <w:rPr>
          <w:b/>
        </w:rPr>
        <w:t>Fail:</w:t>
      </w:r>
      <w:r>
        <w:t xml:space="preserve"> Below target → extend scenarios/generation and re-run.</w:t>
      </w:r>
    </w:p>
    <w:p>
      <w:pPr>
        <w:pStyle w:val="Heading3"/>
      </w:pPr>
      <w:r>
        <w:t>B3. Distributional fidelity (requires a reference)</w:t>
      </w:r>
    </w:p>
    <w:p>
      <w:pPr>
        <w:pStyle w:val="ListBullet"/>
      </w:pPr>
      <w:r>
        <w:rPr>
          <w:b/>
        </w:rPr>
        <w:t>Procedure:</w:t>
      </w:r>
      <w:r>
        <w:t xml:space="preserve"> </w:t>
      </w:r>
      <w:r>
        <w:rPr>
          <w:rFonts w:ascii="Consolas" w:hAnsi="Consolas"/>
          <w:sz w:val="19"/>
        </w:rPr>
        <w:t>datasetprofile.py --dataset &lt;data&gt; --reference &lt;ref-stats&gt; --mode fidelity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Distributional distance per compared field within tolerance (default: normalized distance</w:t>
      </w:r>
    </w:p>
    <w:p>
      <w:r>
        <w:t xml:space="preserve">  ≤ 0.10 or as agreed). </w:t>
      </w:r>
      <w:r>
        <w:rPr>
          <w:b/>
        </w:rPr>
        <w:t>If no reference exists, this test is reported as N/A — not passed</w:t>
      </w:r>
      <w:r>
        <w:t xml:space="preserve"> — and no   distributional-fidelity claim is made.</w:t>
      </w:r>
    </w:p>
    <w:p>
      <w:pPr>
        <w:pStyle w:val="ListBullet"/>
      </w:pPr>
      <w:r>
        <w:rPr>
          <w:b/>
        </w:rPr>
        <w:t>Fail:</w:t>
      </w:r>
      <w:r>
        <w:t xml:space="preserve"> Distance beyond tolerance → tune the engine/parameters and re-run.</w:t>
      </w:r>
    </w:p>
    <w:p>
      <w:pPr>
        <w:pStyle w:val="Heading3"/>
      </w:pPr>
      <w:r>
        <w:t>B4. Privacy — direct-identifier screen</w:t>
      </w:r>
    </w:p>
    <w:p>
      <w:pPr>
        <w:pStyle w:val="ListBullet"/>
      </w:pPr>
      <w:r>
        <w:rPr>
          <w:b/>
        </w:rPr>
        <w:t>Procedure:</w:t>
      </w:r>
      <w:r>
        <w:t xml:space="preserve"> </w:t>
      </w:r>
      <w:r>
        <w:rPr>
          <w:rFonts w:ascii="Consolas" w:hAnsi="Consolas"/>
          <w:sz w:val="19"/>
        </w:rPr>
        <w:t>privacycheck.py --dataset &lt;data&gt; --check identifiers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No direct identifiers (names, MRNs, SSNs, contact fields, dates-of-birth in identifying</w:t>
      </w:r>
    </w:p>
    <w:p>
      <w:r>
        <w:t xml:space="preserve">  form) present in the synthetic output.</w:t>
      </w:r>
    </w:p>
    <w:p>
      <w:pPr>
        <w:pStyle w:val="ListBullet"/>
      </w:pPr>
      <w:r>
        <w:rPr>
          <w:b/>
        </w:rPr>
        <w:t>Fail:</w:t>
      </w:r>
      <w:r>
        <w:t xml:space="preserve"> Any direct identifier → </w:t>
      </w:r>
      <w:r>
        <w:rPr>
          <w:b/>
        </w:rPr>
        <w:t>block release</w:t>
      </w:r>
      <w:r>
        <w:t>; investigate the engine/config leak.</w:t>
      </w:r>
    </w:p>
    <w:p>
      <w:pPr>
        <w:pStyle w:val="Heading3"/>
      </w:pPr>
      <w:r>
        <w:t>B5. Privacy — reference-copy / memorization screen</w:t>
      </w:r>
    </w:p>
    <w:p>
      <w:pPr>
        <w:pStyle w:val="ListBullet"/>
      </w:pPr>
      <w:r>
        <w:rPr>
          <w:b/>
        </w:rPr>
        <w:t>Procedure:</w:t>
      </w:r>
      <w:r>
        <w:t xml:space="preserve"> </w:t>
      </w:r>
      <w:r>
        <w:rPr>
          <w:rFonts w:ascii="Consolas" w:hAnsi="Consolas"/>
          <w:sz w:val="19"/>
        </w:rPr>
        <w:t>privacycheck.py --dataset &lt;data&gt; --reference &lt;ref&gt; --check copies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No synthetic record is an exact (or near-exact) copy of a reference record.</w:t>
      </w:r>
    </w:p>
    <w:p>
      <w:pPr>
        <w:pStyle w:val="ListBullet"/>
      </w:pPr>
      <w:r>
        <w:rPr>
          <w:b/>
        </w:rPr>
        <w:t>Fail:</w:t>
      </w:r>
      <w:r>
        <w:t xml:space="preserve"> Any exact copy → </w:t>
      </w:r>
      <w:r>
        <w:rPr>
          <w:b/>
        </w:rPr>
        <w:t>block release</w:t>
      </w:r>
      <w:r>
        <w:t>; the engine is leaking reference rows.</w:t>
      </w:r>
    </w:p>
    <w:p>
      <w:pPr>
        <w:pStyle w:val="Heading3"/>
      </w:pPr>
      <w:r>
        <w:t>B6. Privacy — quasi-identifier / uniqueness risk signal</w:t>
      </w:r>
    </w:p>
    <w:p>
      <w:pPr>
        <w:pStyle w:val="ListBullet"/>
      </w:pPr>
      <w:r>
        <w:rPr>
          <w:b/>
        </w:rPr>
        <w:t>Procedure:</w:t>
      </w:r>
      <w:r>
        <w:t xml:space="preserve"> </w:t>
      </w:r>
      <w:r>
        <w:rPr>
          <w:rFonts w:ascii="Consolas" w:hAnsi="Consolas"/>
          <w:sz w:val="19"/>
        </w:rPr>
        <w:t>privacycheck.py --dataset &lt;data&gt; --check uniqueness --k &lt;k&gt;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Share of records that are unique on the quasi-identifier set is **below the agreed</w:t>
      </w:r>
    </w:p>
    <w:p>
      <w:r>
        <w:t xml:space="preserve">  threshold** (default: k-anonymity with k ≥ agreed value; report the fraction violating it).</w:t>
      </w:r>
    </w:p>
    <w:p>
      <w:pPr>
        <w:pStyle w:val="ListBullet"/>
      </w:pPr>
      <w:r>
        <w:rPr>
          <w:b/>
        </w:rPr>
        <w:t>Fail / escalate:</w:t>
      </w:r>
      <w:r>
        <w:t xml:space="preserve"> Above threshold → escalate the evidence to the privacy officer for the</w:t>
      </w:r>
    </w:p>
    <w:p>
      <w:r>
        <w:t xml:space="preserve">  disclosure-risk </w:t>
      </w:r>
      <w:r>
        <w:rPr>
          <w:b/>
        </w:rPr>
        <w:t>determination</w:t>
      </w:r>
      <w:r>
        <w:t>; do not self-clear.</w:t>
      </w:r>
    </w:p>
    <w:p>
      <w:r>
        <w:rPr>
          <w:b/>
        </w:rPr>
        <w:t>Gate D result:</w:t>
      </w:r>
      <w:r>
        <w:t xml:space="preserve"> all B1–B6 must PASS (or fidelity N/A with explicit acknowledgement) </w:t>
      </w:r>
      <w:r>
        <w:rPr>
          <w:b/>
        </w:rPr>
        <w:t>and</w:t>
      </w:r>
      <w:r>
        <w:t xml:space="preserve"> the privacy officer must accept B4–B6 evidence before </w:t>
      </w:r>
      <w:r>
        <w:rPr>
          <w:rFonts w:ascii="Consolas" w:hAnsi="Consolas"/>
          <w:sz w:val="19"/>
        </w:rPr>
        <w:t>Synthetic EHR – Pilot – v1</w:t>
      </w:r>
      <w:r>
        <w:t xml:space="preserve"> is released. Any privacy fail is a hard block with rollback per </w:t>
      </w:r>
      <w:r>
        <w:rPr>
          <w:rFonts w:ascii="Consolas" w:hAnsi="Consolas"/>
          <w:sz w:val="19"/>
        </w:rPr>
        <w:t>03-implementation.md</w:t>
      </w:r>
      <w:r>
        <w:t>.</w:t>
      </w:r>
    </w:p>
    <w:p>
      <w:pPr>
        <w:pStyle w:val="Heading1"/>
      </w:pPr>
      <w:r>
        <w:t>Troubleshooting</w:t>
      </w:r>
    </w:p>
    <w:p>
      <w:r>
        <w:t xml:space="preserve">Common failure modes when standing up and operating the synthetic-data sub-function, and how to resolve them. Grouped by stage. Named artifacts and tools follow </w:t>
      </w:r>
      <w:r>
        <w:rPr>
          <w:rFonts w:ascii="Consolas" w:hAnsi="Consolas"/>
          <w:sz w:val="19"/>
        </w:rPr>
        <w:t>03-implementation.md</w:t>
      </w:r>
      <w:r>
        <w:t>.</w:t>
      </w:r>
    </w:p>
    <w:p>
      <w:pPr>
        <w:ind w:left="432"/>
      </w:pPr>
      <w:r>
        <w:rPr>
          <w:i/>
          <w:color w:val="2E86C1"/>
        </w:rPr>
        <w:t>Any privacy failure is a hard block with rollback — never "troubleshoot around" it by releasing. Regulatory/legal determinations stay with privacy/compliance/legal.</w:t>
      </w:r>
    </w:p>
    <w:p>
      <w:pPr>
        <w:pStyle w:val="Heading2"/>
      </w:pPr>
      <w:r>
        <w:t>Standup / operating model</w:t>
      </w:r>
    </w:p>
    <w:p>
      <w:r>
        <w:rPr>
          <w:b/>
        </w:rPr>
        <w:t>Requests keep arriving outside the intake queue.</w:t>
      </w:r>
    </w:p>
    <w:p>
      <w:pPr>
        <w:pStyle w:val="ListBullet"/>
      </w:pPr>
      <w:r>
        <w:t>*Cause:* No enforced single front door; requesters use relationships.</w:t>
      </w:r>
    </w:p>
    <w:p>
      <w:pPr>
        <w:pStyle w:val="ListBullet"/>
      </w:pPr>
      <w:r>
        <w:t xml:space="preserve">*Fix:* Route every request — including sponsor "favors" — through </w:t>
      </w:r>
      <w:r>
        <w:rPr>
          <w:rFonts w:ascii="Consolas" w:hAnsi="Consolas"/>
          <w:sz w:val="19"/>
        </w:rPr>
        <w:t>Intake Scheme – Sub-Function – v1</w:t>
      </w:r>
      <w:r>
        <w:t>.</w:t>
      </w:r>
    </w:p>
    <w:p>
      <w:r>
        <w:t xml:space="preserve">  Log expedites as priority overrides so they still appear in </w:t>
      </w:r>
      <w:r>
        <w:rPr>
          <w:rFonts w:ascii="Consolas" w:hAnsi="Consolas"/>
          <w:sz w:val="19"/>
        </w:rPr>
        <w:t>intakequeue.py</w:t>
      </w:r>
      <w:r>
        <w:t xml:space="preserve"> and the KPIs. If it is   not in the queue, it does not get done.</w:t>
      </w:r>
    </w:p>
    <w:p>
      <w:r>
        <w:rPr>
          <w:b/>
        </w:rPr>
        <w:t>`intakequeue.py` rejects rows.</w:t>
      </w:r>
    </w:p>
    <w:p>
      <w:pPr>
        <w:pStyle w:val="ListBullet"/>
      </w:pPr>
      <w:r>
        <w:t>*Cause:* Missing required fields or out-of-range scores (value/urgency/effort/risk must be 1–5).</w:t>
      </w:r>
    </w:p>
    <w:p>
      <w:pPr>
        <w:pStyle w:val="ListBullet"/>
      </w:pPr>
      <w:r>
        <w:t xml:space="preserve">*Fix:* Correct the intake data to match the schema (see </w:t>
      </w:r>
      <w:r>
        <w:rPr>
          <w:rFonts w:ascii="Consolas" w:hAnsi="Consolas"/>
          <w:sz w:val="19"/>
        </w:rPr>
        <w:t>REQUIRED_FIELDS</w:t>
      </w:r>
      <w:r>
        <w:t xml:space="preserve"> in the tool). A rejected</w:t>
      </w:r>
    </w:p>
    <w:p>
      <w:r>
        <w:t xml:space="preserve">  row is unscoped work — do not let it silently proceed.</w:t>
      </w:r>
    </w:p>
    <w:p>
      <w:r>
        <w:rPr>
          <w:b/>
        </w:rPr>
        <w:t>A pod shows OVER-COMMITTED (or NO-CAPACITY) in `intakequeue.py --capacity`.</w:t>
      </w:r>
    </w:p>
    <w:p>
      <w:pPr>
        <w:pStyle w:val="ListBullet"/>
      </w:pPr>
      <w:r>
        <w:t>*Cause:* Committed FTE cannot cover the demand mix at the utilization ceiling (default 85%).</w:t>
      </w:r>
    </w:p>
    <w:p>
      <w:pPr>
        <w:pStyle w:val="ListBullet"/>
      </w:pPr>
      <w:r>
        <w:t>*Fix:* Re-staff, re-scope, or defer lower-priority requests before committing the charter. Do not</w:t>
      </w:r>
    </w:p>
    <w:p>
      <w:r>
        <w:t xml:space="preserve">  commit to demand the capacity model rejects; that is how lead time silently degrades.</w:t>
      </w:r>
    </w:p>
    <w:p>
      <w:r>
        <w:rPr>
          <w:b/>
        </w:rPr>
        <w:t>`kpirollup.py --refarch` reports ERROR findings.</w:t>
      </w:r>
    </w:p>
    <w:p>
      <w:pPr>
        <w:pStyle w:val="ListBullet"/>
      </w:pPr>
      <w:r>
        <w:t>*Cause:* The reference-architecture config is missing a required element — most often the</w:t>
      </w:r>
    </w:p>
    <w:p>
      <w:r>
        <w:t xml:space="preserve">  </w:t>
      </w:r>
      <w:r>
        <w:rPr>
          <w:rFonts w:ascii="Consolas" w:hAnsi="Consolas"/>
          <w:sz w:val="19"/>
        </w:rPr>
        <w:t>isolation_boundary</w:t>
      </w:r>
      <w:r>
        <w:t xml:space="preserve"> assertion, a defined </w:t>
      </w:r>
      <w:r>
        <w:rPr>
          <w:rFonts w:ascii="Consolas" w:hAnsi="Consolas"/>
          <w:sz w:val="19"/>
        </w:rPr>
        <w:t>engine_interface</w:t>
      </w:r>
      <w:r>
        <w:t xml:space="preserve">, or the </w:t>
      </w:r>
      <w:r>
        <w:rPr>
          <w:rFonts w:ascii="Consolas" w:hAnsi="Consolas"/>
          <w:sz w:val="19"/>
        </w:rPr>
        <w:t>gate_stage</w:t>
      </w:r>
      <w:r>
        <w:t>.</w:t>
      </w:r>
    </w:p>
    <w:p>
      <w:pPr>
        <w:pStyle w:val="ListBullet"/>
      </w:pPr>
      <w:r>
        <w:t xml:space="preserve">*Fix:* Complete the config. The </w:t>
      </w:r>
      <w:r>
        <w:rPr>
          <w:b/>
        </w:rPr>
        <w:t>no-real-PHI isolation boundary</w:t>
      </w:r>
      <w:r>
        <w:t xml:space="preserve"> and a present gate stage are</w:t>
      </w:r>
    </w:p>
    <w:p>
      <w:r>
        <w:t xml:space="preserve">  hard requirements; Gate B cannot close with any ERROR finding.</w:t>
      </w:r>
    </w:p>
    <w:p>
      <w:r>
        <w:rPr>
          <w:b/>
        </w:rPr>
        <w:t>Maturity level looks stuck at 1–2 despite good tooling.</w:t>
      </w:r>
    </w:p>
    <w:p>
      <w:pPr>
        <w:pStyle w:val="ListBullet"/>
      </w:pPr>
      <w:r>
        <w:t xml:space="preserve">*Cause:* </w:t>
      </w:r>
      <w:r>
        <w:rPr>
          <w:rFonts w:ascii="Consolas" w:hAnsi="Consolas"/>
          <w:sz w:val="19"/>
        </w:rPr>
        <w:t>maturityassess.py</w:t>
      </w:r>
      <w:r>
        <w:t xml:space="preserve"> caps overall maturity by the weakest of validation/quality and</w:t>
      </w:r>
    </w:p>
    <w:p>
      <w:r>
        <w:t xml:space="preserve">  privacy/governance — strong engineering cannot compensate for missing gates.</w:t>
      </w:r>
    </w:p>
    <w:p>
      <w:pPr>
        <w:pStyle w:val="ListBullet"/>
      </w:pPr>
      <w:r>
        <w:t>*Fix:* Raise the gate-critical dimensions (stand up the validation record and privacy screens)</w:t>
      </w:r>
    </w:p>
    <w:p>
      <w:r>
        <w:t xml:space="preserve">  before expecting the overall level to move.</w:t>
      </w:r>
    </w:p>
    <w:p>
      <w:pPr>
        <w:pStyle w:val="Heading2"/>
      </w:pPr>
      <w:r>
        <w:t>Generation / build</w:t>
      </w:r>
    </w:p>
    <w:p>
      <w:r>
        <w:rPr>
          <w:b/>
        </w:rPr>
        <w:t>Generated dataset fails structural conformance (B1).</w:t>
      </w:r>
    </w:p>
    <w:p>
      <w:pPr>
        <w:pStyle w:val="ListBullet"/>
      </w:pPr>
      <w:r>
        <w:t>*Cause:* Engine output does not match the target model (missing domain, broken</w:t>
      </w:r>
    </w:p>
    <w:p>
      <w:r>
        <w:t xml:space="preserve">  patient→encounter→observation links).</w:t>
      </w:r>
    </w:p>
    <w:p>
      <w:pPr>
        <w:pStyle w:val="ListBullet"/>
      </w:pPr>
      <w:r>
        <w:t xml:space="preserve">*Fix:* Correct the engine mapping/config to the target model; regenerate </w:t>
      </w:r>
      <w:r>
        <w:rPr>
          <w:rFonts w:ascii="Consolas" w:hAnsi="Consolas"/>
          <w:sz w:val="19"/>
        </w:rPr>
        <w:t>Synthetic EHR – Pilot – v1</w:t>
      </w:r>
    </w:p>
    <w:p>
      <w:r>
        <w:t xml:space="preserve">  (counts as rework). If the engine is Synthea or a commercial platform, verify the mapping against   that vendor's documentation for your version.</w:t>
      </w:r>
    </w:p>
    <w:p>
      <w:r>
        <w:rPr>
          <w:b/>
        </w:rPr>
        <w:t>Coverage below target (B2).</w:t>
      </w:r>
    </w:p>
    <w:p>
      <w:pPr>
        <w:pStyle w:val="ListBullet"/>
      </w:pPr>
      <w:r>
        <w:t>*Cause:* Scenario set or generation parameters do not exercise all required categories/value sets.</w:t>
      </w:r>
    </w:p>
    <w:p>
      <w:pPr>
        <w:pStyle w:val="ListBullet"/>
      </w:pPr>
      <w:r>
        <w:t>*Fix:* Extend the scenario suite or generation parameters to include the missing categories reported</w:t>
      </w:r>
    </w:p>
    <w:p>
      <w:r>
        <w:t xml:space="preserve">  by </w:t>
      </w:r>
      <w:r>
        <w:rPr>
          <w:rFonts w:ascii="Consolas" w:hAnsi="Consolas"/>
          <w:sz w:val="19"/>
        </w:rPr>
        <w:t>datasetprofile.py --mode coverage</w:t>
      </w:r>
      <w:r>
        <w:t>, then re-run.</w:t>
      </w:r>
    </w:p>
    <w:p>
      <w:r>
        <w:rPr>
          <w:b/>
        </w:rPr>
        <w:t>Engine swap broke the pipeline.</w:t>
      </w:r>
    </w:p>
    <w:p>
      <w:pPr>
        <w:pStyle w:val="ListBullet"/>
      </w:pPr>
      <w:r>
        <w:t>*Cause:* Vendor-specific behavior leaked outside the engine interface.</w:t>
      </w:r>
    </w:p>
    <w:p>
      <w:pPr>
        <w:pStyle w:val="ListBullet"/>
      </w:pPr>
      <w:r>
        <w:t>*Fix:* Keep all engine specifics behind the reference-architecture engine interface; the intake,</w:t>
      </w:r>
    </w:p>
    <w:p>
      <w:r>
        <w:t xml:space="preserve">  validation, and KPI stages must not know which engine ran. Re-validate the architecture with   </w:t>
      </w:r>
      <w:r>
        <w:rPr>
          <w:rFonts w:ascii="Consolas" w:hAnsi="Consolas"/>
          <w:sz w:val="19"/>
        </w:rPr>
        <w:t>kpirollup.py --refarch</w:t>
      </w:r>
      <w:r>
        <w:t xml:space="preserve"> after any engine change.</w:t>
      </w:r>
    </w:p>
    <w:p>
      <w:pPr>
        <w:pStyle w:val="Heading2"/>
      </w:pPr>
      <w:r>
        <w:t>Validation / privacy</w:t>
      </w:r>
    </w:p>
    <w:p>
      <w:r>
        <w:rPr>
          <w:b/>
        </w:rPr>
        <w:t>`datasetprofile.py` fidelity shows N/A.</w:t>
      </w:r>
    </w:p>
    <w:p>
      <w:pPr>
        <w:pStyle w:val="ListBullet"/>
      </w:pPr>
      <w:r>
        <w:t xml:space="preserve">*Cause:* No </w:t>
      </w:r>
      <w:r>
        <w:rPr>
          <w:rFonts w:ascii="Consolas" w:hAnsi="Consolas"/>
          <w:sz w:val="19"/>
        </w:rPr>
        <w:t>--reference</w:t>
      </w:r>
      <w:r>
        <w:t xml:space="preserve"> supplied — expected when no governed reference or agreed distribution</w:t>
      </w:r>
    </w:p>
    <w:p>
      <w:r>
        <w:t xml:space="preserve">  exists.</w:t>
      </w:r>
    </w:p>
    <w:p>
      <w:pPr>
        <w:pStyle w:val="ListBullet"/>
      </w:pPr>
      <w:r>
        <w:t xml:space="preserve">*Fix:* This is </w:t>
      </w:r>
      <w:r>
        <w:rPr>
          <w:b/>
        </w:rPr>
        <w:t>not</w:t>
      </w:r>
      <w:r>
        <w:t xml:space="preserve"> a pass and </w:t>
      </w:r>
      <w:r>
        <w:rPr>
          <w:b/>
        </w:rPr>
        <w:t>not</w:t>
      </w:r>
      <w:r>
        <w:t xml:space="preserve"> a failure: report distributional fidelity as N/A and make</w:t>
      </w:r>
    </w:p>
    <w:p>
      <w:r>
        <w:t xml:space="preserve">  no fidelity claim. Coverage and structure still gate. Obtain a governed/minimized reference (or agree   published distributions) if a fidelity claim is required.</w:t>
      </w:r>
    </w:p>
    <w:p>
      <w:r>
        <w:rPr>
          <w:b/>
        </w:rPr>
        <w:t>Fidelity distance is out of tolerance (B3).</w:t>
      </w:r>
    </w:p>
    <w:p>
      <w:pPr>
        <w:pStyle w:val="ListBullet"/>
      </w:pPr>
      <w:r>
        <w:t>*Cause:* Synthetic distributions diverge from the reference beyond the agreed tolerance.</w:t>
      </w:r>
    </w:p>
    <w:p>
      <w:pPr>
        <w:pStyle w:val="ListBullet"/>
      </w:pPr>
      <w:r>
        <w:t>*Fix:* Tune engine parameters (prevalence, age/sex mix) and re-run. Do not loosen the tolerance to</w:t>
      </w:r>
    </w:p>
    <w:p>
      <w:r>
        <w:t xml:space="preserve">  force a pass without sponsor agreement.</w:t>
      </w:r>
    </w:p>
    <w:p>
      <w:r>
        <w:rPr>
          <w:b/>
        </w:rPr>
        <w:t>`privacycheck.py` reports HARD FAIL on identifiers (B4).</w:t>
      </w:r>
    </w:p>
    <w:p>
      <w:pPr>
        <w:pStyle w:val="ListBullet"/>
      </w:pPr>
      <w:r>
        <w:t>*Cause:* A direct-identifier field name or a value matching an SSN/email/phone pattern is present.</w:t>
      </w:r>
    </w:p>
    <w:p>
      <w:pPr>
        <w:pStyle w:val="ListBullet"/>
      </w:pPr>
      <w:r>
        <w:t xml:space="preserve">*Fix:* </w:t>
      </w:r>
      <w:r>
        <w:rPr>
          <w:b/>
        </w:rPr>
        <w:t>Block release.</w:t>
      </w:r>
      <w:r>
        <w:t xml:space="preserve"> Find and remove the leak in the engine/config; direct identifiers must</w:t>
      </w:r>
    </w:p>
    <w:p>
      <w:r>
        <w:t xml:space="preserve">  never appear in synthetic output. Regenerate and re-screen.</w:t>
      </w:r>
    </w:p>
    <w:p>
      <w:r>
        <w:rPr>
          <w:b/>
        </w:rPr>
        <w:t>`privacycheck.py` reports HARD FAIL on copies (B5).</w:t>
      </w:r>
    </w:p>
    <w:p>
      <w:pPr>
        <w:pStyle w:val="ListBullet"/>
      </w:pPr>
      <w:r>
        <w:t>*Cause:* Synthetic rows are exact copies of reference rows — the engine is memorizing/leaking real</w:t>
      </w:r>
    </w:p>
    <w:p>
      <w:r>
        <w:t xml:space="preserve">  data.</w:t>
      </w:r>
    </w:p>
    <w:p>
      <w:pPr>
        <w:pStyle w:val="ListBullet"/>
      </w:pPr>
      <w:r>
        <w:t xml:space="preserve">*Fix:* </w:t>
      </w:r>
      <w:r>
        <w:rPr>
          <w:b/>
        </w:rPr>
        <w:t>Block release.</w:t>
      </w:r>
      <w:r>
        <w:t xml:space="preserve"> Investigate the engine's use of reference data (it should learn</w:t>
      </w:r>
    </w:p>
    <w:p>
      <w:r>
        <w:t xml:space="preserve">  distributions, not copy rows). This is a serious safety issue; fix before any further generation.</w:t>
      </w:r>
    </w:p>
    <w:p>
      <w:r>
        <w:rPr>
          <w:b/>
        </w:rPr>
        <w:t>`privacycheck.py` reports ESCALATE on uniqueness (B6).</w:t>
      </w:r>
    </w:p>
    <w:p>
      <w:pPr>
        <w:pStyle w:val="ListBullet"/>
      </w:pPr>
      <w:r>
        <w:t>*Cause:* Too many records are unique on the quasi-identifier set (below the agreed k).</w:t>
      </w:r>
    </w:p>
    <w:p>
      <w:pPr>
        <w:pStyle w:val="ListBullet"/>
      </w:pPr>
      <w:r>
        <w:t xml:space="preserve">*Fix:* Escalate the evidence to the </w:t>
      </w:r>
      <w:r>
        <w:rPr>
          <w:b/>
        </w:rPr>
        <w:t>privacy officer</w:t>
      </w:r>
      <w:r>
        <w:t xml:space="preserve"> for the disclosure-risk determination — do</w:t>
      </w:r>
    </w:p>
    <w:p>
      <w:r>
        <w:t xml:space="preserve">  not self-clear. Mitigations (generalization, suppression, larger cohorts) are applied only with the   privacy officer's direction.</w:t>
      </w:r>
    </w:p>
    <w:p>
      <w:r>
        <w:rPr>
          <w:b/>
        </w:rPr>
        <w:t>Everything passes but the consuming team reports the data is unusable.</w:t>
      </w:r>
    </w:p>
    <w:p>
      <w:pPr>
        <w:pStyle w:val="ListBullet"/>
      </w:pPr>
      <w:r>
        <w:t>*Cause:* Coverage/fidelity gates passed but the scenarios do not match the actual AI/QA use case.</w:t>
      </w:r>
    </w:p>
    <w:p>
      <w:pPr>
        <w:pStyle w:val="ListBullet"/>
      </w:pPr>
      <w:r>
        <w:t xml:space="preserve">*Fix:* Return to intake — the </w:t>
      </w:r>
      <w:r>
        <w:rPr>
          <w:rFonts w:ascii="Consolas" w:hAnsi="Consolas"/>
          <w:sz w:val="19"/>
        </w:rPr>
        <w:t>use_case</w:t>
      </w:r>
      <w:r>
        <w:t xml:space="preserve"> scoping was incomplete. Re-scope with the consuming team;</w:t>
      </w:r>
    </w:p>
    <w:p>
      <w:r>
        <w:t xml:space="preserve">  this is an intake-quality problem, and it will show up as *defect escape rate* in </w:t>
      </w:r>
      <w:r>
        <w:rPr>
          <w:rFonts w:ascii="Consolas" w:hAnsi="Consolas"/>
          <w:sz w:val="19"/>
        </w:rPr>
        <w:t>kpirollup.py</w:t>
      </w:r>
      <w:r>
        <w:t>.</w:t>
      </w:r>
    </w:p>
    <w:p>
      <w:pPr>
        <w:pStyle w:val="Heading2"/>
      </w:pPr>
      <w:r>
        <w:t>KPIs / measurement</w:t>
      </w:r>
    </w:p>
    <w:p>
      <w:r>
        <w:rPr>
          <w:b/>
        </w:rPr>
        <w:t>KPIs cannot be computed (`kpirollup.py` errors or zeros).</w:t>
      </w:r>
    </w:p>
    <w:p>
      <w:pPr>
        <w:pStyle w:val="ListBullet"/>
      </w:pPr>
      <w:r>
        <w:t>*Cause:* Records are missing timestamps or validation outcomes.</w:t>
      </w:r>
    </w:p>
    <w:p>
      <w:pPr>
        <w:pStyle w:val="ListBullet"/>
      </w:pPr>
      <w:r>
        <w:t>*Fix:* Ensure intake and validation capture the fields the tool expects (accepted/released times,</w:t>
      </w:r>
    </w:p>
    <w:p>
      <w:r>
        <w:t xml:space="preserve">  first-pass, cycles, gate time, issues). Fix the capture, not the tool.</w:t>
      </w:r>
    </w:p>
    <w:p>
      <w:r>
        <w:rPr>
          <w:b/>
        </w:rPr>
        <w:t>KPIs look good but the sponsor doesn't trust them.</w:t>
      </w:r>
    </w:p>
    <w:p>
      <w:pPr>
        <w:pStyle w:val="ListBullet"/>
      </w:pPr>
      <w:r>
        <w:t>*Cause:* Side-channel work bypasses intake, so the metrics cover only part of reality.</w:t>
      </w:r>
    </w:p>
    <w:p>
      <w:pPr>
        <w:pStyle w:val="ListBullet"/>
      </w:pPr>
      <w:r>
        <w:t>*Fix:* Close the side channels (see the first item). A measured service requires that *all* work</w:t>
      </w:r>
    </w:p>
    <w:p>
      <w:r>
        <w:t xml:space="preserve">  flows through intake; otherwise the numbers are unrepresentative.</w:t>
      </w:r>
    </w:p>
    <w:p>
      <w:pPr>
        <w:pStyle w:val="Heading1"/>
      </w:pPr>
      <w:r>
        <w:t>Best Practices</w:t>
      </w:r>
    </w:p>
    <w:p>
      <w:r>
        <w:t>Durable practices for running the synthetic-data sub-function as a repeatable, measured service. These outlast any single engine or program.</w:t>
      </w:r>
    </w:p>
    <w:p>
      <w:pPr>
        <w:pStyle w:val="Heading2"/>
      </w:pPr>
      <w:r>
        <w:t>Operating model</w:t>
      </w:r>
    </w:p>
    <w:p>
      <w:pPr>
        <w:pStyle w:val="ListBullet"/>
      </w:pPr>
      <w:r>
        <w:rPr>
          <w:b/>
        </w:rPr>
        <w:t>One front door.</w:t>
      </w:r>
      <w:r>
        <w:t xml:space="preserve"> Every request enters through </w:t>
      </w:r>
      <w:r>
        <w:rPr>
          <w:rFonts w:ascii="Consolas" w:hAnsi="Consolas"/>
          <w:sz w:val="19"/>
        </w:rPr>
        <w:t>Intake Scheme – Sub-Function – v1</w:t>
      </w:r>
      <w:r>
        <w:t xml:space="preserve"> — no side</w:t>
      </w:r>
    </w:p>
    <w:p>
      <w:r>
        <w:t xml:space="preserve">  channels. Side-channel work is invisible to the KPIs and corrodes prioritization. If the sponsor   wants something expedited, expedite it *through* intake with a documented priority override.</w:t>
      </w:r>
    </w:p>
    <w:p>
      <w:pPr>
        <w:pStyle w:val="ListBullet"/>
      </w:pPr>
      <w:r>
        <w:rPr>
          <w:b/>
        </w:rPr>
        <w:t>Pods own outcomes, not tasks.</w:t>
      </w:r>
      <w:r>
        <w:t xml:space="preserve"> Keep the Validation &amp; Governance pod's release decision</w:t>
      </w:r>
    </w:p>
    <w:p>
      <w:r>
        <w:t xml:space="preserve">  independent from the Generation pod. The team that builds the dataset should not be the sole judge   of whether it passes the gate.</w:t>
      </w:r>
    </w:p>
    <w:p>
      <w:pPr>
        <w:pStyle w:val="ListBullet"/>
      </w:pPr>
      <w:r>
        <w:rPr>
          <w:b/>
        </w:rPr>
        <w:t>Charter what you will *not* do.</w:t>
      </w:r>
      <w:r>
        <w:t xml:space="preserve"> The </w:t>
      </w:r>
      <w:r>
        <w:rPr>
          <w:rFonts w:ascii="Consolas" w:hAnsi="Consolas"/>
          <w:sz w:val="19"/>
        </w:rPr>
        <w:t>Capability Charter</w:t>
      </w:r>
      <w:r>
        <w:t xml:space="preserve"> is as much about scope exclusions</w:t>
      </w:r>
    </w:p>
    <w:p>
      <w:r>
        <w:t xml:space="preserve">  (production data platform, legal determinations, unbounded ad-hoc pulls) as inclusions. A shared   service dies from unbounded scope.</w:t>
      </w:r>
    </w:p>
    <w:p>
      <w:pPr>
        <w:pStyle w:val="ListBullet"/>
      </w:pPr>
      <w:r>
        <w:rPr>
          <w:b/>
        </w:rPr>
        <w:t>Size before you commit.</w:t>
      </w:r>
      <w:r>
        <w:t xml:space="preserve"> Run </w:t>
      </w:r>
      <w:r>
        <w:rPr>
          <w:rFonts w:ascii="Consolas" w:hAnsi="Consolas"/>
          <w:sz w:val="19"/>
        </w:rPr>
        <w:t>podcapacity.py</w:t>
      </w:r>
      <w:r>
        <w:t xml:space="preserve"> before accepting a wave of new demand; commit only</w:t>
      </w:r>
    </w:p>
    <w:p>
      <w:r>
        <w:t xml:space="preserve">  to what utilization ≤ ceiling supports. Protect flow efficiency by capping WIP.</w:t>
      </w:r>
    </w:p>
    <w:p>
      <w:pPr>
        <w:pStyle w:val="Heading2"/>
      </w:pPr>
      <w:r>
        <w:t>Engineering</w:t>
      </w:r>
    </w:p>
    <w:p>
      <w:pPr>
        <w:pStyle w:val="ListBullet"/>
      </w:pPr>
      <w:r>
        <w:rPr>
          <w:b/>
        </w:rPr>
        <w:t>Engine-agnostic behind an interface.</w:t>
      </w:r>
      <w:r>
        <w:t xml:space="preserve"> Treat Synthea, commercial platforms, and AI/model</w:t>
      </w:r>
    </w:p>
    <w:p>
      <w:r>
        <w:t xml:space="preserve">  frameworks as swappable engines behind the reference architecture's engine interface. Never scatter   a vendor's console specifics through your pipeline; when a step is version-specific, cite the   vendor's documentation and flag "verify against your version."</w:t>
      </w:r>
    </w:p>
    <w:p>
      <w:pPr>
        <w:pStyle w:val="ListBullet"/>
      </w:pPr>
      <w:r>
        <w:rPr>
          <w:b/>
        </w:rPr>
        <w:t>Everything is named and versioned.</w:t>
      </w:r>
      <w:r>
        <w:t xml:space="preserve"> Datasets, configs, and validation records use the</w:t>
      </w:r>
    </w:p>
    <w:p>
      <w:r>
        <w:t xml:space="preserve"> 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convention and carry a version. </w:t>
      </w:r>
      <w:r>
        <w:rPr>
          <w:rFonts w:ascii="Consolas" w:hAnsi="Consolas"/>
          <w:sz w:val="19"/>
        </w:rPr>
        <w:t>Synthetic EHR – Pilot – v1</w:t>
      </w:r>
      <w:r>
        <w:t xml:space="preserve"> and   </w:t>
      </w:r>
      <w:r>
        <w:rPr>
          <w:rFonts w:ascii="Consolas" w:hAnsi="Consolas"/>
          <w:sz w:val="19"/>
        </w:rPr>
        <w:t>Synthetic EHR – Pilot – v2</w:t>
      </w:r>
      <w:r>
        <w:t xml:space="preserve"> must be distinguishable and traceable to their validation records.</w:t>
      </w:r>
    </w:p>
    <w:p>
      <w:pPr>
        <w:pStyle w:val="ListBullet"/>
      </w:pPr>
      <w:r>
        <w:rPr>
          <w:b/>
        </w:rPr>
        <w:t>Configuration as data.</w:t>
      </w:r>
      <w:r>
        <w:t xml:space="preserve"> Keep the reference architecture, intake scheme, and KPI definitions as</w:t>
      </w:r>
    </w:p>
    <w:p>
      <w:r>
        <w:t xml:space="preserve">  machine-readable config that the tools validate (</w:t>
      </w:r>
      <w:r>
        <w:rPr>
          <w:rFonts w:ascii="Consolas" w:hAnsi="Consolas"/>
          <w:sz w:val="19"/>
        </w:rPr>
        <w:t>refarchvalidate.py</w:t>
      </w:r>
      <w:r>
        <w:t xml:space="preserve">, </w:t>
      </w:r>
      <w:r>
        <w:rPr>
          <w:rFonts w:ascii="Consolas" w:hAnsi="Consolas"/>
          <w:sz w:val="19"/>
        </w:rPr>
        <w:t>intakequeue.py</w:t>
      </w:r>
      <w:r>
        <w:t xml:space="preserve">,   </w:t>
      </w:r>
      <w:r>
        <w:rPr>
          <w:rFonts w:ascii="Consolas" w:hAnsi="Consolas"/>
          <w:sz w:val="19"/>
        </w:rPr>
        <w:t>kpirollup.py</w:t>
      </w:r>
      <w:r>
        <w:t>) — not as prose only. Re-validate on every change.</w:t>
      </w:r>
    </w:p>
    <w:p>
      <w:pPr>
        <w:pStyle w:val="ListBullet"/>
      </w:pPr>
      <w:r>
        <w:rPr>
          <w:b/>
        </w:rPr>
        <w:t>Reproducibility.</w:t>
      </w:r>
      <w:r>
        <w:t xml:space="preserve"> Record the engine, parameters, and seed for every dataset so a validation</w:t>
      </w:r>
    </w:p>
    <w:p>
      <w:r>
        <w:t xml:space="preserve">  result can be reproduced.</w:t>
      </w:r>
    </w:p>
    <w:p>
      <w:pPr>
        <w:pStyle w:val="Heading2"/>
      </w:pPr>
      <w:r>
        <w:t>Validation &amp; quality</w:t>
      </w:r>
    </w:p>
    <w:p>
      <w:pPr>
        <w:pStyle w:val="ListBullet"/>
      </w:pPr>
      <w:r>
        <w:rPr>
          <w:b/>
        </w:rPr>
        <w:t>No release without a validation record.</w:t>
      </w:r>
      <w:r>
        <w:t xml:space="preserve"> A dataset ships with </w:t>
      </w:r>
      <w:r>
        <w:rPr>
          <w:rFonts w:ascii="Consolas" w:hAnsi="Consolas"/>
          <w:sz w:val="19"/>
        </w:rPr>
        <w:t>Validation Record – &lt;Scope&gt; – v&lt;n&gt;</w:t>
      </w:r>
    </w:p>
    <w:p>
      <w:r>
        <w:t xml:space="preserve">  or it does not ship. "Looks fine" is not evidence.</w:t>
      </w:r>
    </w:p>
    <w:p>
      <w:pPr>
        <w:pStyle w:val="ListBullet"/>
      </w:pPr>
      <w:r>
        <w:rPr>
          <w:b/>
        </w:rPr>
        <w:t>Fidelity claims require a reference.</w:t>
      </w:r>
      <w:r>
        <w:t xml:space="preserve"> If there is no governed reference or agreed published</w:t>
      </w:r>
    </w:p>
    <w:p>
      <w:r>
        <w:t xml:space="preserve">  distribution, report distributional fidelity as </w:t>
      </w:r>
      <w:r>
        <w:rPr>
          <w:b/>
        </w:rPr>
        <w:t>N/A</w:t>
      </w:r>
      <w:r>
        <w:t>, not as a pass. Coverage and structure still   gate.</w:t>
      </w:r>
    </w:p>
    <w:p>
      <w:pPr>
        <w:pStyle w:val="ListBullet"/>
      </w:pPr>
      <w:r>
        <w:rPr>
          <w:b/>
        </w:rPr>
        <w:t>Trend the quality KPIs, not just the point value.</w:t>
      </w:r>
      <w:r>
        <w:t xml:space="preserve"> A single validation pass rate says little;</w:t>
      </w:r>
    </w:p>
    <w:p>
      <w:r>
        <w:t xml:space="preserve">  the trend of pass rate, defect escape, and rework is the signal that the sub-function is maturing.</w:t>
      </w:r>
    </w:p>
    <w:p>
      <w:pPr>
        <w:pStyle w:val="Heading2"/>
      </w:pPr>
      <w:r>
        <w:t>Privacy &amp; safety (non-negotiable)</w:t>
      </w:r>
    </w:p>
    <w:p>
      <w:pPr>
        <w:pStyle w:val="ListBullet"/>
      </w:pPr>
      <w:r>
        <w:rPr>
          <w:b/>
        </w:rPr>
        <w:t>Never real PHI in a shared harness/twin/AI test environment.</w:t>
      </w:r>
      <w:r>
        <w:t xml:space="preserve"> This is architectural, not a</w:t>
      </w:r>
    </w:p>
    <w:p>
      <w:r>
        <w:t xml:space="preserve">  policy sticker — the reference architecture's data-flow boundary enforces it, and </w:t>
      </w:r>
      <w:r>
        <w:rPr>
          <w:rFonts w:ascii="Consolas" w:hAnsi="Consolas"/>
          <w:sz w:val="19"/>
        </w:rPr>
        <w:t>refarchvalidate.py</w:t>
      </w:r>
      <w:r>
        <w:t xml:space="preserve">   checks that the boundary is asserted.</w:t>
      </w:r>
    </w:p>
    <w:p>
      <w:pPr>
        <w:pStyle w:val="ListBullet"/>
      </w:pPr>
      <w:r>
        <w:rPr>
          <w:b/>
        </w:rPr>
        <w:t>Reference data is read-only and minimized.</w:t>
      </w:r>
      <w:r>
        <w:t xml:space="preserve"> When measuring fidelity against real statistics,</w:t>
      </w:r>
    </w:p>
    <w:p>
      <w:r>
        <w:t xml:space="preserve">  access is read-only, minimized to the fields needed, and under the governing privacy controls.</w:t>
      </w:r>
    </w:p>
    <w:p>
      <w:pPr>
        <w:pStyle w:val="ListBullet"/>
      </w:pPr>
      <w:r>
        <w:rPr>
          <w:b/>
        </w:rPr>
        <w:t>Tools are safe by default.</w:t>
      </w:r>
      <w:r>
        <w:t xml:space="preserve"> Every script defaults to dry-run for anything that writes, never</w:t>
      </w:r>
    </w:p>
    <w:p>
      <w:r>
        <w:t xml:space="preserve">  writes synthetic output to shared locations by default, and never emits real data values in reports.</w:t>
      </w:r>
    </w:p>
    <w:p>
      <w:pPr>
        <w:pStyle w:val="ListBullet"/>
      </w:pPr>
      <w:r>
        <w:rPr>
          <w:b/>
        </w:rPr>
        <w:t>The determination is not yours.</w:t>
      </w:r>
      <w:r>
        <w:t xml:space="preserve"> Privacy screens produce evidence and a technical pass/fail;</w:t>
      </w:r>
    </w:p>
    <w:p>
      <w:r>
        <w:t xml:space="preserve">  HIPAA/HITRUST de-identification determinations, IRB/privacy sign-off, and disclosure-risk acceptance   belong to privacy/compliance/legal. Escalate; do not self-clear a quasi-identifier risk.</w:t>
      </w:r>
    </w:p>
    <w:p>
      <w:pPr>
        <w:pStyle w:val="Heading2"/>
      </w:pPr>
      <w:r>
        <w:t>Maturity &amp; scaling</w:t>
      </w:r>
    </w:p>
    <w:p>
      <w:pPr>
        <w:pStyle w:val="ListBullet"/>
      </w:pPr>
      <w:r>
        <w:rPr>
          <w:b/>
        </w:rPr>
        <w:t>Assess on a cadence.</w:t>
      </w:r>
      <w:r>
        <w:t xml:space="preserve"> Re-run </w:t>
      </w:r>
      <w:r>
        <w:rPr>
          <w:rFonts w:ascii="Consolas" w:hAnsi="Consolas"/>
          <w:sz w:val="19"/>
        </w:rPr>
        <w:t>maturityassess.py</w:t>
      </w:r>
      <w:r>
        <w:t xml:space="preserve"> at each review; advance one level deliberately</w:t>
      </w:r>
    </w:p>
    <w:p>
      <w:r>
        <w:t xml:space="preserve">  rather than declaring maturity you have not evidenced.</w:t>
      </w:r>
    </w:p>
    <w:p>
      <w:pPr>
        <w:pStyle w:val="ListBullet"/>
      </w:pPr>
      <w:r>
        <w:rPr>
          <w:b/>
        </w:rPr>
        <w:t>Expand by request type, then by program.</w:t>
      </w:r>
      <w:r>
        <w:t xml:space="preserve"> Prove a new request type end-to-end (through gates)</w:t>
      </w:r>
    </w:p>
    <w:p>
      <w:r>
        <w:t xml:space="preserve">  before offering it broadly. Growth that outruns the gates produces escaped defects and privacy risk.</w:t>
      </w:r>
    </w:p>
    <w:p>
      <w:pPr>
        <w:pStyle w:val="ListBullet"/>
      </w:pPr>
      <w:r>
        <w:rPr>
          <w:b/>
        </w:rPr>
        <w:t>Keep the baseline honest.</w:t>
      </w:r>
      <w:r>
        <w:t xml:space="preserve"> The Assess-stage baseline is the yardstick; do not quietly redefine</w:t>
      </w:r>
    </w:p>
    <w:p>
      <w:r>
        <w:t xml:space="preserve">  KPIs to look better. A downward trend in rework and defect escape is the credible story to the   sponsor.</w:t>
      </w:r>
    </w:p>
    <w:p>
      <w:pPr>
        <w:pStyle w:val="Heading1"/>
      </w:pPr>
      <w:r>
        <w:t>Deliverables Summary</w:t>
      </w:r>
    </w:p>
    <w:p>
      <w:r>
        <w:t xml:space="preserve">What the buyer gets: a complete, self-guided package to stand up a </w:t>
      </w:r>
      <w:r>
        <w:rPr>
          <w:b/>
        </w:rPr>
        <w:t>synthetic data sub-function</w:t>
      </w:r>
      <w:r>
        <w:t xml:space="preserve"> inside quality engineering as a repeatable, measured service — the operating-model documentation plus five working Python tools.</w:t>
      </w:r>
    </w:p>
    <w:p>
      <w:pPr>
        <w:pStyle w:val="Heading2"/>
      </w:pPr>
      <w:r>
        <w:t>Documentation</w:t>
      </w:r>
    </w:p>
    <w:p>
      <w:pPr>
        <w:pStyle w:val="ListBullet"/>
      </w:pPr>
      <w:r>
        <w:rPr>
          <w:b/>
        </w:rPr>
        <w:t>Solution Overview</w:t>
      </w:r>
      <w:r>
        <w:t xml:space="preserve"> — the sub-function's mission, scope, target model (FHIR/OMOP/native), how it</w:t>
      </w:r>
    </w:p>
    <w:p>
      <w:r>
        <w:t xml:space="preserve">  serves AI/QA, the operating model, benefits, and limitations.</w:t>
      </w:r>
    </w:p>
    <w:p>
      <w:pPr>
        <w:pStyle w:val="ListBullet"/>
      </w:pPr>
      <w:r>
        <w:rPr>
          <w:b/>
        </w:rPr>
        <w:t>Requirements Guide</w:t>
      </w:r>
      <w:r>
        <w:t xml:space="preserve"> — the six category-wide requirements plus six solution-specific prerequisites</w:t>
      </w:r>
    </w:p>
    <w:p>
      <w:r>
        <w:t xml:space="preserve">  (sponsor/charter, pod structure, intake scheme, KPI framework, reference architecture, maturity   target), each with how to *verify* and *implement if missing*.</w:t>
      </w:r>
    </w:p>
    <w:p>
      <w:pPr>
        <w:pStyle w:val="ListBullet"/>
      </w:pPr>
      <w:r>
        <w:rPr>
          <w:b/>
        </w:rPr>
        <w:t>Implementation / Operating Model &amp; Roadmap</w:t>
      </w:r>
      <w:r>
        <w:t xml:space="preserve"> — the ordered standup following</w:t>
      </w:r>
    </w:p>
    <w:p>
      <w:r>
        <w:t xml:space="preserve">  Assess → Design → Generate/Build → Validate → Expand: pod/squad design, intake and prioritization,   reference architecture, the KPI catalog, and explicit pass/fail gates with rollback. Every artifact   is named (</w:t>
      </w:r>
      <w:r>
        <w:rPr>
          <w:rFonts w:ascii="Consolas" w:hAnsi="Consolas"/>
          <w:sz w:val="19"/>
        </w:rPr>
        <w:t>Capability Charter – Sub-Function – v1</w:t>
      </w:r>
      <w:r>
        <w:t xml:space="preserve">, </w:t>
      </w:r>
      <w:r>
        <w:rPr>
          <w:rFonts w:ascii="Consolas" w:hAnsi="Consolas"/>
          <w:sz w:val="19"/>
        </w:rPr>
        <w:t>Synthetic EHR – Pilot – v1</w:t>
      </w:r>
      <w:r>
        <w:t>, etc.).</w:t>
      </w:r>
    </w:p>
    <w:p>
      <w:pPr>
        <w:pStyle w:val="ListBullet"/>
      </w:pPr>
      <w:r>
        <w:rPr>
          <w:b/>
        </w:rPr>
        <w:t>Testing &amp; Validation</w:t>
      </w:r>
      <w:r>
        <w:t xml:space="preserve"> — operating-model tests and per-dataset fidelity/coverage/privacy gates,</w:t>
      </w:r>
    </w:p>
    <w:p>
      <w:r>
        <w:t xml:space="preserve">  each with an expected pass/fail signal.</w:t>
      </w:r>
    </w:p>
    <w:p>
      <w:pPr>
        <w:pStyle w:val="ListBullet"/>
      </w:pPr>
      <w:r>
        <w:rPr>
          <w:b/>
        </w:rPr>
        <w:t>Troubleshooting</w:t>
      </w:r>
      <w:r>
        <w:t xml:space="preserve"> — common standup and dataset failure modes and their resolutions.</w:t>
      </w:r>
    </w:p>
    <w:p>
      <w:pPr>
        <w:pStyle w:val="ListBullet"/>
      </w:pPr>
      <w:r>
        <w:rPr>
          <w:b/>
        </w:rPr>
        <w:t>Best Practices</w:t>
      </w:r>
      <w:r>
        <w:t xml:space="preserve"> — durable practices for operating and scaling the sub-function.</w:t>
      </w:r>
    </w:p>
    <w:p>
      <w:pPr>
        <w:pStyle w:val="ListBullet"/>
      </w:pPr>
      <w:r>
        <w:rPr>
          <w:b/>
        </w:rPr>
        <w:t>Capability document template</w:t>
      </w:r>
      <w:r>
        <w:t xml:space="preserve"> — the charter/operating-model structure embedded in the</w:t>
      </w:r>
    </w:p>
    <w:p>
      <w:r>
        <w:t xml:space="preserve">  implementation guide, ready to fill in.</w:t>
      </w:r>
    </w:p>
    <w:p>
      <w:pPr>
        <w:pStyle w:val="Heading2"/>
      </w:pPr>
      <w:r>
        <w:t>The 5 Python tools (`SYNFUNC-Scripts.zip`)</w:t>
      </w:r>
    </w:p>
    <w:p>
      <w:r>
        <w:t xml:space="preserve">All tools are Python 3.10+, standard-library-first, and </w:t>
      </w:r>
      <w:r>
        <w:rPr>
          <w:b/>
        </w:rPr>
        <w:t>safe by default</w:t>
      </w:r>
      <w:r>
        <w:t xml:space="preserve"> (dry-run for anything that writes; never write synthetic output to shared locations; never emit real data values).</w:t>
      </w:r>
    </w:p>
    <w:p>
      <w:pPr>
        <w:pStyle w:val="ListNumber"/>
      </w:pPr>
      <w:r>
        <w:rPr>
          <w:rFonts w:ascii="Consolas" w:hAnsi="Consolas"/>
          <w:sz w:val="19"/>
        </w:rPr>
        <w:t>maturityassess.py</w:t>
      </w:r>
      <w:r>
        <w:t xml:space="preserve"> — Capability &amp; maturity self-assessment. Scores the sub-function across</w:t>
      </w:r>
    </w:p>
    <w:p>
      <w:r>
        <w:t xml:space="preserve">   dimensions (operating model, engineering, validation/quality, privacy/governance, adoption),    computes an overall maturity level, and emits </w:t>
      </w:r>
      <w:r>
        <w:rPr>
          <w:rFonts w:ascii="Consolas" w:hAnsi="Consolas"/>
          <w:sz w:val="19"/>
        </w:rPr>
        <w:t>Maturity Baseline – Sub-Function – v1</w:t>
      </w:r>
      <w:r>
        <w:t>.</w:t>
      </w:r>
    </w:p>
    <w:p>
      <w:pPr>
        <w:pStyle w:val="ListNumber"/>
      </w:pPr>
      <w:r>
        <w:rPr>
          <w:rFonts w:ascii="Consolas" w:hAnsi="Consolas"/>
          <w:sz w:val="19"/>
        </w:rPr>
        <w:t>intakequeue.py</w:t>
      </w:r>
      <w:r>
        <w:t xml:space="preserve"> — Intake-queue analyzer &amp; pod-capacity helper. Ingests a request queue,</w:t>
      </w:r>
    </w:p>
    <w:p>
      <w:r>
        <w:t xml:space="preserve">   validates the intake schema, applies the value/urgency/effort/risk prioritization scoring model,    ranks the queue, and models demand against pod FTE (per-pod utilization vs. a ceiling) to flag    over-commitment for the charter and expansion waves.</w:t>
      </w:r>
    </w:p>
    <w:p>
      <w:pPr>
        <w:pStyle w:val="ListNumber"/>
      </w:pPr>
      <w:r>
        <w:rPr>
          <w:rFonts w:ascii="Consolas" w:hAnsi="Consolas"/>
          <w:sz w:val="19"/>
        </w:rPr>
        <w:t>datasetprofile.py</w:t>
      </w:r>
      <w:r>
        <w:t xml:space="preserve"> — Fidelity/coverage report. Profiles a synthetic dataset for structural</w:t>
      </w:r>
    </w:p>
    <w:p>
      <w:r>
        <w:t xml:space="preserve">   conformance, in-scope coverage, and (when a reference is supplied) distributional fidelity, with an    explicit N/A when no reference exists. Produces the fidelity/coverage section of the validation    record.</w:t>
      </w:r>
    </w:p>
    <w:p>
      <w:pPr>
        <w:pStyle w:val="ListNumber"/>
      </w:pPr>
      <w:r>
        <w:rPr>
          <w:rFonts w:ascii="Consolas" w:hAnsi="Consolas"/>
          <w:sz w:val="19"/>
        </w:rPr>
        <w:t>privacycheck.py</w:t>
      </w:r>
      <w:r>
        <w:t xml:space="preserve"> — Privacy/validation check. Screens a synthetic dataset for direct-identifier</w:t>
      </w:r>
    </w:p>
    <w:p>
      <w:r>
        <w:t xml:space="preserve">   leakage, exact reference-row copies (memorization), and quasi-identifier/uniqueness risk    (k-anonymity signal). Produces technical evidence and a pass/fail signal; defers the disclosure-risk    determination to the privacy officer.</w:t>
      </w:r>
    </w:p>
    <w:p>
      <w:pPr>
        <w:pStyle w:val="ListNumber"/>
      </w:pPr>
      <w:r>
        <w:rPr>
          <w:rFonts w:ascii="Consolas" w:hAnsi="Consolas"/>
          <w:sz w:val="19"/>
        </w:rPr>
        <w:t>kpirollup.py</w:t>
      </w:r>
      <w:r>
        <w:t xml:space="preserve"> — KPI computation &amp; rollup + reference-architecture config validator. Computes</w:t>
      </w:r>
    </w:p>
    <w:p>
      <w:r>
        <w:t xml:space="preserve">   the delivery-quality and productivity KPIs from intake + validation records, and (in </w:t>
      </w:r>
      <w:r>
        <w:rPr>
          <w:rFonts w:ascii="Consolas" w:hAnsi="Consolas"/>
          <w:sz w:val="19"/>
        </w:rPr>
        <w:t>--refarch</w:t>
      </w:r>
      <w:r>
        <w:t xml:space="preserve">    mode) validates the reference-architecture config for the required tiers, engine interface, gate    stage, and the no-real-PHI isolation boundary.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datasetprofile.py</w:t>
      </w:r>
    </w:p>
    <w:p>
      <w:pPr>
        <w:pStyle w:val="Heading2"/>
      </w:pPr>
      <w:r>
        <w:t>intakequeue.py</w:t>
      </w:r>
    </w:p>
    <w:p>
      <w:pPr>
        <w:pStyle w:val="Heading2"/>
      </w:pPr>
      <w:r>
        <w:t>kpirollup.py</w:t>
      </w:r>
    </w:p>
    <w:p>
      <w:pPr>
        <w:pStyle w:val="Heading2"/>
      </w:pPr>
      <w:r>
        <w:t>maturityassess.py</w:t>
      </w:r>
    </w:p>
    <w:p>
      <w:pPr>
        <w:pStyle w:val="Heading2"/>
      </w:pPr>
      <w:r>
        <w:t>privacycheck.py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