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Digital-Twin &amp; Synthetic-Data Partner/Vendor Integration Framework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Outcome.</w:t>
      </w:r>
      <w:r>
        <w:t xml:space="preserve"> Partner digital-twin and synthetic-data capabilities — evaluated, integrated, and kept </w:t>
      </w:r>
      <w:r>
        <w:rPr>
          <w:b/>
        </w:rPr>
        <w:t>portable</w:t>
      </w:r>
      <w:r>
        <w:t xml:space="preserve"> — so they are leveraged consistently across programs without vendor lock-in. Instead of one-off, hand-wired integrations that quietly harden into dependencies, each partner capability becomes a </w:t>
      </w:r>
      <w:r>
        <w:rPr>
          <w:b/>
        </w:rPr>
        <w:t>swappable component behind a stable, testable contract</w:t>
      </w:r>
      <w:r>
        <w:t>.</w:t>
      </w:r>
    </w:p>
    <w:p>
      <w:r>
        <w:rPr>
          <w:b/>
        </w:rPr>
        <w:t>Approach.</w:t>
      </w:r>
      <w:r>
        <w:t xml:space="preserve"> The framework standardizes the boundary between your environment and any external vendor and applies the house model </w:t>
      </w:r>
      <w:r>
        <w:rPr>
          <w:b/>
        </w:rPr>
        <w:t>Assess → Design → Generate/Build → Validate → Expand</w:t>
      </w:r>
      <w:r>
        <w:t>, pilot-first:</w:t>
      </w:r>
    </w:p>
    <w:p>
      <w:pPr>
        <w:pStyle w:val="ListBullet"/>
      </w:pPr>
      <w:r>
        <w:rPr>
          <w:b/>
        </w:rPr>
        <w:t>Assess</w:t>
      </w:r>
      <w:r>
        <w:t xml:space="preserve"> — score candidate vendors on agreed weighted criteria (fidelity, privacy posture,</w:t>
      </w:r>
    </w:p>
    <w:p>
      <w:r>
        <w:t xml:space="preserve">  interoperability, portability, support, cost) with a repeatable scorecard; select on evidence.</w:t>
      </w:r>
    </w:p>
    <w:p>
      <w:pPr>
        <w:pStyle w:val="ListBullet"/>
      </w:pPr>
      <w:r>
        <w:rPr>
          <w:b/>
        </w:rPr>
        <w:t>Design</w:t>
      </w:r>
      <w:r>
        <w:t xml:space="preserve"> — declare a </w:t>
      </w:r>
      <w:r>
        <w:rPr>
          <w:b/>
        </w:rPr>
        <w:t>target-model interface contract</w:t>
      </w:r>
      <w:r>
        <w:t xml:space="preserve"> (FHIR / OMOP / native) and isolate</w:t>
      </w:r>
    </w:p>
    <w:p>
      <w:r>
        <w:t xml:space="preserve">  all vendor-specific code to exactly two thin adapters (data-in, data-out); document the exit   path up front.</w:t>
      </w:r>
    </w:p>
    <w:p>
      <w:pPr>
        <w:pStyle w:val="ListBullet"/>
      </w:pPr>
      <w:r>
        <w:rPr>
          <w:b/>
        </w:rPr>
        <w:t>Generate/Build</w:t>
      </w:r>
      <w:r>
        <w:t xml:space="preserve"> — run the vendor to produce synthetic output (or execute a twin/scenario)</w:t>
      </w:r>
    </w:p>
    <w:p>
      <w:r>
        <w:t xml:space="preserve">  into an </w:t>
      </w:r>
      <w:r>
        <w:rPr>
          <w:b/>
        </w:rPr>
        <w:t>isolated non-production</w:t>
      </w:r>
      <w:r>
        <w:t xml:space="preserve"> environment, shaped to the target-model contract.</w:t>
      </w:r>
    </w:p>
    <w:p>
      <w:pPr>
        <w:pStyle w:val="ListBullet"/>
      </w:pPr>
      <w:r>
        <w:rPr>
          <w:b/>
        </w:rPr>
        <w:t>Validate</w:t>
      </w:r>
      <w:r>
        <w:t xml:space="preserve"> — five explicit pass/fail gates: contract conformance, adapter conformance,</w:t>
      </w:r>
    </w:p>
    <w:p>
      <w:r>
        <w:t xml:space="preserve">  fidelity/coverage, privacy/disclosure-risk, and portability/lock-in. Any failure blocks   expansion and triggers a documented rollback.</w:t>
      </w:r>
    </w:p>
    <w:p>
      <w:pPr>
        <w:pStyle w:val="ListBullet"/>
      </w:pPr>
      <w:r>
        <w:rPr>
          <w:b/>
        </w:rPr>
        <w:t>Expand</w:t>
      </w:r>
      <w:r>
        <w:t xml:space="preserve"> — reuse the exact same contract + adapter pattern across domains, programs, and a</w:t>
      </w:r>
    </w:p>
    <w:p>
      <w:r>
        <w:t xml:space="preserve">  second vendor.</w:t>
      </w:r>
    </w:p>
    <w:p>
      <w:r>
        <w:t xml:space="preserve">Five </w:t>
      </w:r>
      <w:r>
        <w:rPr>
          <w:b/>
        </w:rPr>
        <w:t>Python</w:t>
      </w:r>
      <w:r>
        <w:t xml:space="preserve"> tools operationalize the gates (scorecard, contract validator, adapter conformance checker, privacy validation check, portability/lock-in assessor). They are standard-library-first, safe by default, and make no network calls.</w:t>
      </w:r>
    </w:p>
    <w:p>
      <w:r>
        <w:rPr>
          <w:b/>
        </w:rPr>
        <w:t>Why it is safe.</w:t>
      </w:r>
      <w:r>
        <w:t xml:space="preserve"> All integration and validation run in an </w:t>
      </w:r>
      <w:r>
        <w:rPr>
          <w:b/>
        </w:rPr>
        <w:t>isolated non-production environment</w:t>
      </w:r>
      <w:r>
        <w:t xml:space="preserve">, and </w:t>
      </w:r>
      <w:r>
        <w:rPr>
          <w:b/>
        </w:rPr>
        <w:t>no real PHI is ever placed into the shared harness, twin, or AI test environment</w:t>
      </w:r>
      <w:r>
        <w:t xml:space="preserve">. Vendor capabilities are integrated at the </w:t>
      </w:r>
      <w:r>
        <w:rPr>
          <w:b/>
        </w:rPr>
        <w:t>pattern level</w:t>
      </w:r>
      <w:r>
        <w:t xml:space="preserve"> — version-specific details are verified against the vendor's documentation, never invented. The privacy and fidelity gates produce </w:t>
      </w:r>
      <w:r>
        <w:rPr>
          <w:b/>
        </w:rPr>
        <w:t>evidence</w:t>
      </w:r>
      <w:r>
        <w:t xml:space="preserve">; the regulatory and disclosure-risk </w:t>
      </w:r>
      <w:r>
        <w:rPr>
          <w:b/>
        </w:rPr>
        <w:t>determinations remain with the organization's privacy, compliance, and legal functions</w:t>
      </w:r>
      <w:r>
        <w:t>. The result is partner capability that is consistent, contract-defined, portable — and defensible.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is</w:t>
      </w:r>
    </w:p>
    <w:p>
      <w:r>
        <w:t xml:space="preserve">Digital-twin and synthetic-data capabilities frequently arrive from </w:t>
      </w:r>
      <w:r>
        <w:rPr>
          <w:b/>
        </w:rPr>
        <w:t>external partners</w:t>
      </w:r>
      <w:r>
        <w:t xml:space="preserve"> — a synthetic-EHR generator, a hospital-twin simulation platform, a scenario/adversarial data service, or an AI/model framework that consumes synthetic data. Each partner solves a real problem, but integrating them *well* — consistently across programs, and without locking the organization into a single vendor — is the hard part.</w:t>
      </w:r>
    </w:p>
    <w:p>
      <w:r>
        <w:t xml:space="preserve">This solution is the </w:t>
      </w:r>
      <w:r>
        <w:rPr>
          <w:b/>
        </w:rPr>
        <w:t>partner/vendor integration framework</w:t>
      </w:r>
      <w:r>
        <w:t xml:space="preserve"> for those capabilities. It defines four things and gives you five Python tools to operationalize them:</w:t>
      </w:r>
    </w:p>
    <w:p>
      <w:pPr>
        <w:pStyle w:val="ListNumber"/>
      </w:pPr>
      <w:r>
        <w:rPr>
          <w:b/>
        </w:rPr>
        <w:t>How to evaluate</w:t>
      </w:r>
      <w:r>
        <w:t xml:space="preserve"> a digital-twin / synthetic-data vendor against a repeatable scorecard</w:t>
      </w:r>
    </w:p>
    <w:p>
      <w:r>
        <w:t xml:space="preserve">   (fidelity, privacy posture, interoperability, portability, support, cost).</w:t>
      </w:r>
    </w:p>
    <w:p>
      <w:pPr>
        <w:pStyle w:val="ListNumber"/>
      </w:pPr>
      <w:r>
        <w:rPr>
          <w:b/>
        </w:rPr>
        <w:t>The integration patterns</w:t>
      </w:r>
      <w:r>
        <w:t xml:space="preserve"> for plugging a vendor into your test harness and AI test</w:t>
      </w:r>
    </w:p>
    <w:p>
      <w:r>
        <w:t xml:space="preserve">   environments — data-in, data-out, and interface/contract patterns — at the architectural    level, so the *shape* of the integration is standard even when the vendor changes.</w:t>
      </w:r>
    </w:p>
    <w:p>
      <w:pPr>
        <w:pStyle w:val="ListNumber"/>
      </w:pPr>
      <w:r>
        <w:rPr>
          <w:b/>
        </w:rPr>
        <w:t>The data and interface contracts</w:t>
      </w:r>
      <w:r>
        <w:t xml:space="preserve"> — an explicit schema/interface definition the vendor</w:t>
      </w:r>
    </w:p>
    <w:p>
      <w:r>
        <w:t xml:space="preserve">   output must satisfy and your harness expects — so integrations are testable, not    hand-wired.</w:t>
      </w:r>
    </w:p>
    <w:p>
      <w:pPr>
        <w:pStyle w:val="ListNumber"/>
      </w:pPr>
      <w:r>
        <w:rPr>
          <w:b/>
        </w:rPr>
        <w:t>The anti-lock-in / portability criteria</w:t>
      </w:r>
      <w:r>
        <w:t xml:space="preserve"> — the concrete signals (open target models,</w:t>
      </w:r>
    </w:p>
    <w:p>
      <w:r>
        <w:t xml:space="preserve">   exportable artifacts, adapter isolation, exit cost) that keep a partner capability    replaceable.</w:t>
      </w:r>
    </w:p>
    <w:p>
      <w:r>
        <w:t xml:space="preserve">It is </w:t>
      </w:r>
      <w:r>
        <w:rPr>
          <w:b/>
        </w:rPr>
        <w:t>not</w:t>
      </w:r>
      <w:r>
        <w:t xml:space="preserve"> a build of any specific vendor's product, and it does </w:t>
      </w:r>
      <w:r>
        <w:rPr>
          <w:b/>
        </w:rPr>
        <w:t>not</w:t>
      </w:r>
      <w:r>
        <w:t xml:space="preserve"> invent vendor console internals. Vendors — Synthea-style generators, commercial synthetic-data platforms, hospital-twin engines, AI/model frameworks — are referenced by </w:t>
      </w:r>
      <w:r>
        <w:rPr>
          <w:b/>
        </w:rPr>
        <w:t>capability and pattern</w:t>
      </w:r>
      <w:r>
        <w:t>; anything version-specific is flagged "verify against your version / the vendor's documentation."</w:t>
      </w:r>
    </w:p>
    <w:p>
      <w:pPr>
        <w:pStyle w:val="Heading2"/>
      </w:pPr>
      <w:r>
        <w:t>How it works</w:t>
      </w:r>
    </w:p>
    <w:p>
      <w:r>
        <w:t xml:space="preserve">The framework standardizes the boundary between *your* environment and *any* partner capability, so the vendor becomes a </w:t>
      </w:r>
      <w:r>
        <w:rPr>
          <w:b/>
        </w:rPr>
        <w:t>swappable component behind a stable contract</w:t>
      </w:r>
      <w:r>
        <w:t xml:space="preserve"> instead of a hard dependency woven through your harness.</w:t>
      </w:r>
    </w:p>
    <w:p>
      <w:pPr>
        <w:pStyle w:val="ListBullet"/>
      </w:pPr>
      <w:r>
        <w:rPr>
          <w:b/>
        </w:rPr>
        <w:t>Target model as the lingua franca.</w:t>
      </w:r>
      <w:r>
        <w:t xml:space="preserve"> Every integration is expressed against a target</w:t>
      </w:r>
    </w:p>
    <w:p>
      <w:r>
        <w:t xml:space="preserve">  clinical data model / standard — </w:t>
      </w:r>
      <w:r>
        <w:rPr>
          <w:b/>
        </w:rPr>
        <w:t>FHIR</w:t>
      </w:r>
      <w:r>
        <w:t xml:space="preserve">, </w:t>
      </w:r>
      <w:r>
        <w:rPr>
          <w:b/>
        </w:rPr>
        <w:t>OMOP CDM</w:t>
      </w:r>
      <w:r>
        <w:t>, or the source system's own schema   (see the global requirements). Vendors that emit or accept the target model integrate   cheaply and stay portable; vendors that only speak a proprietary shape are adapted at a   single, isolated boundary and scored down on portability.</w:t>
      </w:r>
    </w:p>
    <w:p>
      <w:pPr>
        <w:pStyle w:val="ListBullet"/>
      </w:pPr>
      <w:r>
        <w:rPr>
          <w:b/>
        </w:rPr>
        <w:t>One adapter boundary per direction.</w:t>
      </w:r>
      <w:r>
        <w:t xml:space="preserve"> Vendor-specific code is isolated to a thin</w:t>
      </w:r>
    </w:p>
    <w:p>
      <w:r>
        <w:t xml:space="preserve">  </w:t>
      </w:r>
      <w:r>
        <w:rPr>
          <w:b/>
        </w:rPr>
        <w:t>data-in adapter</w:t>
      </w:r>
      <w:r>
        <w:t xml:space="preserve"> (your reference stats / seeds → the vendor) and a </w:t>
      </w:r>
      <w:r>
        <w:rPr>
          <w:b/>
        </w:rPr>
        <w:t>data-out adapter</w:t>
      </w:r>
      <w:r>
        <w:t xml:space="preserve">   (the vendor's output → your target model + harness). Your harness and AI test environments   only ever see the target-model contract, never the vendor's native shape.</w:t>
      </w:r>
    </w:p>
    <w:p>
      <w:pPr>
        <w:pStyle w:val="ListBullet"/>
      </w:pPr>
      <w:r>
        <w:rPr>
          <w:b/>
        </w:rPr>
        <w:t>Contracts are executable.</w:t>
      </w:r>
      <w:r>
        <w:t xml:space="preserve"> The interface contract (schema + required fields + interface</w:t>
      </w:r>
    </w:p>
    <w:p>
      <w:r>
        <w:t xml:space="preserve">  conventions) and the adapter conformance rules are checked by the included Python tools, so   a vendor either conforms or the integration fails a gate — no silent drift.</w:t>
      </w:r>
    </w:p>
    <w:p>
      <w:pPr>
        <w:pStyle w:val="ListBullet"/>
      </w:pPr>
      <w:r>
        <w:rPr>
          <w:b/>
        </w:rPr>
        <w:t>Portability is measured, not assumed.</w:t>
      </w:r>
      <w:r>
        <w:t xml:space="preserve"> A lock-in risk assessor turns the anti-lock-in</w:t>
      </w:r>
    </w:p>
    <w:p>
      <w:r>
        <w:t xml:space="preserve">  criteria into a score and a documented </w:t>
      </w:r>
      <w:r>
        <w:rPr>
          <w:b/>
        </w:rPr>
        <w:t>exit path</w:t>
      </w:r>
      <w:r>
        <w:t xml:space="preserve"> for each vendor.</w:t>
      </w:r>
    </w:p>
    <w:p>
      <w:pPr>
        <w:pStyle w:val="Heading2"/>
      </w:pPr>
      <w:r>
        <w:t>Target model</w:t>
      </w:r>
    </w:p>
    <w:p>
      <w:r>
        <w:t xml:space="preserve">Integrations are authored against a defined </w:t>
      </w:r>
      <w:r>
        <w:rPr>
          <w:b/>
        </w:rPr>
        <w:t>target clinical data model / interoperability standard</w:t>
      </w:r>
      <w:r>
        <w:t xml:space="preserve"> — </w:t>
      </w:r>
      <w:r>
        <w:rPr>
          <w:b/>
        </w:rPr>
        <w:t>FHIR R4</w:t>
      </w:r>
      <w:r>
        <w:t xml:space="preserve">, </w:t>
      </w:r>
      <w:r>
        <w:rPr>
          <w:b/>
        </w:rPr>
        <w:t>OMOP CDM</w:t>
      </w:r>
      <w:r>
        <w:t>, or the source system's native schema — chosen per the global requirements (Requirement 2). The framework is model-agnostic: you declare the target model once in the integration config, and the contracts, adapters, and validation are expressed relative to it. Where a vendor's native output differs, the data-out adapter maps it to the target model and the conformance checker proves the mapping is complete.</w:t>
      </w:r>
    </w:p>
    <w:p>
      <w:pPr>
        <w:pStyle w:val="Heading2"/>
      </w:pPr>
      <w:r>
        <w:t>The deployment model — Assess → Design → Generate/Build → Validate → Expand</w:t>
      </w:r>
    </w:p>
    <w:p>
      <w:r>
        <w:t>This solution follows the house model for every Synthetic solution, applied to *partner integration*:</w:t>
      </w:r>
    </w:p>
    <w:p>
      <w:pPr>
        <w:pStyle w:val="ListBullet"/>
      </w:pPr>
      <w:r>
        <w:rPr>
          <w:b/>
        </w:rPr>
        <w:t>Assess</w:t>
      </w:r>
      <w:r>
        <w:t xml:space="preserve"> — inventory candidate vendors and the integration need; score each candidate with</w:t>
      </w:r>
    </w:p>
    <w:p>
      <w:r>
        <w:t xml:space="preserve">  the vendor-evaluation scorecard against your weighted criteria. Produce   </w:t>
      </w:r>
      <w:r>
        <w:rPr>
          <w:rFonts w:ascii="Consolas" w:hAnsi="Consolas"/>
          <w:sz w:val="19"/>
        </w:rPr>
        <w:t>Vendor Evaluation – Candidate Set – Assess</w:t>
      </w:r>
      <w:r>
        <w:t>.</w:t>
      </w:r>
    </w:p>
    <w:p>
      <w:pPr>
        <w:pStyle w:val="ListBullet"/>
      </w:pPr>
      <w:r>
        <w:rPr>
          <w:b/>
        </w:rPr>
        <w:t>Design</w:t>
      </w:r>
      <w:r>
        <w:t xml:space="preserve"> — define the target-model </w:t>
      </w:r>
      <w:r>
        <w:rPr>
          <w:b/>
        </w:rPr>
        <w:t>interface contract</w:t>
      </w:r>
      <w:r>
        <w:t xml:space="preserve"> and the two adapter boundaries</w:t>
      </w:r>
    </w:p>
    <w:p>
      <w:r>
        <w:t xml:space="preserve">  (data-in, data-out) for the selected vendor; specify the portability/exit requirements.   Produce </w:t>
      </w:r>
      <w:r>
        <w:rPr>
          <w:rFonts w:ascii="Consolas" w:hAnsi="Consolas"/>
          <w:sz w:val="19"/>
        </w:rPr>
        <w:t>Integration Contract – &lt;Vendor Capability&gt; – Design</w:t>
      </w:r>
      <w:r>
        <w:t>.</w:t>
      </w:r>
    </w:p>
    <w:p>
      <w:pPr>
        <w:pStyle w:val="ListBullet"/>
      </w:pPr>
      <w:r>
        <w:rPr>
          <w:b/>
        </w:rPr>
        <w:t>Generate/Build</w:t>
      </w:r>
      <w:r>
        <w:t xml:space="preserve"> — implement the thin adapters and run the vendor to emit synthetic</w:t>
      </w:r>
    </w:p>
    <w:p>
      <w:r>
        <w:t xml:space="preserve">  output (or execute a twin/scenario) into the </w:t>
      </w:r>
      <w:r>
        <w:rPr>
          <w:b/>
        </w:rPr>
        <w:t>isolated non-production</w:t>
      </w:r>
      <w:r>
        <w:t xml:space="preserve"> environment.   Produce </w:t>
      </w:r>
      <w:r>
        <w:rPr>
          <w:rFonts w:ascii="Consolas" w:hAnsi="Consolas"/>
          <w:sz w:val="19"/>
        </w:rPr>
        <w:t>Vendor Output – Pilot – v1</w:t>
      </w:r>
      <w:r>
        <w:t>.</w:t>
      </w:r>
    </w:p>
    <w:p>
      <w:pPr>
        <w:pStyle w:val="ListBullet"/>
      </w:pPr>
      <w:r>
        <w:rPr>
          <w:b/>
        </w:rPr>
        <w:t>Validate</w:t>
      </w:r>
      <w:r>
        <w:t xml:space="preserve"> — run the pass/fail gates: contract conformance, adapter conformance,</w:t>
      </w:r>
    </w:p>
    <w:p>
      <w:r>
        <w:t xml:space="preserve">  fidelity/coverage, privacy/validation, and the portability/lock-in score. Produce   </w:t>
      </w:r>
      <w:r>
        <w:rPr>
          <w:rFonts w:ascii="Consolas" w:hAnsi="Consolas"/>
          <w:sz w:val="19"/>
        </w:rPr>
        <w:t>Integration Validation – Pilot – v1</w:t>
      </w:r>
      <w:r>
        <w:t>. Any failed gate blocks expansion and triggers the   documented rollback.</w:t>
      </w:r>
    </w:p>
    <w:p>
      <w:pPr>
        <w:pStyle w:val="ListBullet"/>
      </w:pPr>
      <w:r>
        <w:rPr>
          <w:b/>
        </w:rPr>
        <w:t>Expand</w:t>
      </w:r>
      <w:r>
        <w:t xml:space="preserve"> — once the pilot passes all gates, extend the same contract + adapter pattern to</w:t>
      </w:r>
    </w:p>
    <w:p>
      <w:r>
        <w:t xml:space="preserve">  additional domains, programs, or a second vendor — reusing the exact artifact names.</w:t>
      </w:r>
    </w:p>
    <w:p>
      <w:pPr>
        <w:pStyle w:val="Heading2"/>
      </w:pPr>
      <w:r>
        <w:t>Benefits</w:t>
      </w:r>
    </w:p>
    <w:p>
      <w:pPr>
        <w:pStyle w:val="ListBullet"/>
      </w:pPr>
      <w:r>
        <w:t xml:space="preserve">Partner twin / synthetic-data capabilities are leveraged </w:t>
      </w:r>
      <w:r>
        <w:rPr>
          <w:b/>
        </w:rPr>
        <w:t>consistently across programs</w:t>
      </w:r>
      <w:r>
        <w:t>,</w:t>
      </w:r>
    </w:p>
    <w:p>
      <w:r>
        <w:t xml:space="preserve">  not re-integrated one-off each time.</w:t>
      </w:r>
    </w:p>
    <w:p>
      <w:pPr>
        <w:pStyle w:val="ListBullet"/>
      </w:pPr>
      <w:r>
        <w:t xml:space="preserve">Every integration is </w:t>
      </w:r>
      <w:r>
        <w:rPr>
          <w:b/>
        </w:rPr>
        <w:t>contract-defined and testable</w:t>
      </w:r>
      <w:r>
        <w:t>, so vendor drift is caught at a gate.</w:t>
      </w:r>
    </w:p>
    <w:p>
      <w:pPr>
        <w:pStyle w:val="ListBullet"/>
      </w:pPr>
      <w:r>
        <w:t xml:space="preserve">Vendors stay </w:t>
      </w:r>
      <w:r>
        <w:rPr>
          <w:b/>
        </w:rPr>
        <w:t>portable</w:t>
      </w:r>
      <w:r>
        <w:t xml:space="preserve"> — a documented exit path and adapter isolation mean a second or</w:t>
      </w:r>
    </w:p>
    <w:p>
      <w:r>
        <w:t xml:space="preserve">  replacement vendor touches only the adapter, not the harness.</w:t>
      </w:r>
    </w:p>
    <w:p>
      <w:pPr>
        <w:pStyle w:val="ListBullet"/>
      </w:pPr>
      <w:r>
        <w:rPr>
          <w:b/>
        </w:rPr>
        <w:t>Safe by construction</w:t>
      </w:r>
      <w:r>
        <w:t xml:space="preserve"> — no real PHI in the shared harness/twin/AI test environment; the</w:t>
      </w:r>
    </w:p>
    <w:p>
      <w:r>
        <w:t xml:space="preserve">  isolated environment and privacy gates bound residual disclosure risk.</w:t>
      </w:r>
    </w:p>
    <w:p>
      <w:pPr>
        <w:pStyle w:val="Heading2"/>
      </w:pPr>
      <w:r>
        <w:t>Limitations</w:t>
      </w:r>
    </w:p>
    <w:p>
      <w:pPr>
        <w:pStyle w:val="ListBullet"/>
      </w:pPr>
      <w:r>
        <w:t xml:space="preserve">The framework gives the </w:t>
      </w:r>
      <w:r>
        <w:rPr>
          <w:b/>
        </w:rPr>
        <w:t>technical method and evidence</w:t>
      </w:r>
      <w:r>
        <w:t xml:space="preserve">; it does </w:t>
      </w:r>
      <w:r>
        <w:rPr>
          <w:b/>
        </w:rPr>
        <w:t>not</w:t>
      </w:r>
      <w:r>
        <w:t xml:space="preserve"> make</w:t>
      </w:r>
    </w:p>
    <w:p>
      <w:r>
        <w:t xml:space="preserve">  regulatory/legal determinations. HIPAA/HITRUST de-identification determinations, IRB /   privacy-office sign-off, and disclosure-risk acceptance are </w:t>
      </w:r>
      <w:r>
        <w:rPr>
          <w:b/>
        </w:rPr>
        <w:t>deferred to the   organization's privacy, compliance, and legal functions</w:t>
      </w:r>
      <w:r>
        <w:t>.</w:t>
      </w:r>
    </w:p>
    <w:p>
      <w:pPr>
        <w:pStyle w:val="ListBullet"/>
      </w:pPr>
      <w:r>
        <w:t xml:space="preserve">Vendor capabilities are integrated at the </w:t>
      </w:r>
      <w:r>
        <w:rPr>
          <w:b/>
        </w:rPr>
        <w:t>pattern level</w:t>
      </w:r>
      <w:r>
        <w:t>. Version-specific console steps,</w:t>
      </w:r>
    </w:p>
    <w:p>
      <w:r>
        <w:t xml:space="preserve">  API surfaces, and licensing terms must be </w:t>
      </w:r>
      <w:r>
        <w:rPr>
          <w:b/>
        </w:rPr>
        <w:t>verified against your version and the vendor's   documentation</w:t>
      </w:r>
      <w:r>
        <w:t xml:space="preserve"> — this solution never invents them.</w:t>
      </w:r>
    </w:p>
    <w:p>
      <w:pPr>
        <w:pStyle w:val="ListBullet"/>
      </w:pPr>
      <w:r>
        <w:t xml:space="preserve">Fidelity claims are only as good as the </w:t>
      </w:r>
      <w:r>
        <w:rPr>
          <w:b/>
        </w:rPr>
        <w:t>reference</w:t>
      </w:r>
      <w:r>
        <w:t xml:space="preserve"> available (global Requirement 6);</w:t>
      </w:r>
    </w:p>
    <w:p>
      <w:r>
        <w:t xml:space="preserve">  where real data cannot be used, agreed reference distributions bound what can be asserted.</w:t>
      </w:r>
    </w:p>
    <w:p>
      <w:pPr>
        <w:pStyle w:val="ListBullet"/>
      </w:pPr>
      <w:r>
        <w:t xml:space="preserve">The tools are </w:t>
      </w:r>
      <w:r>
        <w:rPr>
          <w:b/>
        </w:rPr>
        <w:t>standard-library-first</w:t>
      </w:r>
      <w:r>
        <w:t xml:space="preserve"> engineering aids, not a certified validation suite;</w:t>
      </w:r>
    </w:p>
    <w:p>
      <w:r>
        <w:t xml:space="preserve">  they produce evidence for human decision-makers, not approvals.</w:t>
      </w:r>
    </w:p>
    <w:p>
      <w:pPr>
        <w:pStyle w:val="Heading1"/>
      </w:pPr>
      <w:r>
        <w:t>Requirements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the partner/vendor integration framework. They build on — and do </w:t>
      </w:r>
      <w:r>
        <w:rPr>
          <w:b/>
        </w:rPr>
        <w:t>not</w:t>
      </w:r>
      <w:r>
        <w:t xml:space="preserve"> repeat — the six category-wide requirements in </w:t>
      </w:r>
      <w:r>
        <w:rPr>
          <w:rFonts w:ascii="Consolas" w:hAnsi="Consolas"/>
          <w:sz w:val="19"/>
        </w:rPr>
        <w:t>global-requirements-synthetic.md</w:t>
      </w:r>
      <w:r>
        <w:t xml:space="preserve"> (a Python data environment; a target clinical data model/standard; an isolated non-production test environment; privacy/governance stakeholders and policy; AI/QA use cases and a pilot scope; read-only minimized reference access for fidelity). Confirm those six first, then verify the following.</w:t>
      </w:r>
    </w:p>
    <w:p>
      <w:pPr>
        <w:ind w:left="432"/>
      </w:pPr>
      <w:r>
        <w:rPr>
          <w:i/>
          <w:color w:val="2E86C1"/>
        </w:rPr>
        <w:t>Boundary reminder. Vendor capabilities are integrated at the pattern level; version- specific console/API details are verified against the vendor's documentation, never invented. Regulatory/legal determinations are deferred to privacy/compliance/legal. Never place real PHI into the shared harness, twin, or AI test environment.</w:t>
      </w:r>
    </w:p>
    <w:p>
      <w:pPr>
        <w:pStyle w:val="Heading2"/>
      </w:pPr>
      <w:r>
        <w:t>1. A candidate vendor set with obtainable evaluation artifacts</w:t>
      </w:r>
    </w:p>
    <w:p>
      <w:pPr>
        <w:pStyle w:val="ListBullet"/>
      </w:pPr>
      <w:r>
        <w:rPr>
          <w:b/>
        </w:rPr>
        <w:t>Description:</w:t>
      </w:r>
      <w:r>
        <w:t xml:space="preserve"> A named set of </w:t>
      </w:r>
      <w:r>
        <w:rPr>
          <w:b/>
        </w:rPr>
        <w:t>candidate</w:t>
      </w:r>
      <w:r>
        <w:t xml:space="preserve"> digital-twin / synthetic-data vendors (or</w:t>
      </w:r>
    </w:p>
    <w:p>
      <w:r>
        <w:t xml:space="preserve">  capabilities) in scope for evaluation, and — for each — access to the artifacts needed to   score them: sample output, a schema/interface description, data-handling documentation, and   export/portability terms.</w:t>
      </w:r>
    </w:p>
    <w:p>
      <w:pPr>
        <w:pStyle w:val="ListBullet"/>
      </w:pPr>
      <w:r>
        <w:rPr>
          <w:b/>
        </w:rPr>
        <w:t>Why required:</w:t>
      </w:r>
      <w:r>
        <w:t xml:space="preserve"> The evaluation scorecard and the portability assessor need real inputs per</w:t>
      </w:r>
    </w:p>
    <w:p>
      <w:r>
        <w:t xml:space="preserve">  candidate; scoring on marketing claims alone is not defensible.</w:t>
      </w:r>
    </w:p>
    <w:p>
      <w:pPr>
        <w:pStyle w:val="ListBullet"/>
      </w:pPr>
      <w:r>
        <w:rPr>
          <w:b/>
        </w:rPr>
        <w:t>How to verify:</w:t>
      </w:r>
      <w:r>
        <w:t xml:space="preserve"> For each candidate you can produce (a) a small sample of its output, (b)</w:t>
      </w:r>
    </w:p>
    <w:p>
      <w:r>
        <w:t xml:space="preserve">  its documented output schema/interface, and (c) a statement of its export formats and exit   terms.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Request evaluation samples and documentation from each</w:t>
      </w:r>
    </w:p>
    <w:p>
      <w:r>
        <w:t xml:space="preserve">  vendor (NDA/eval agreements as needed), or use the vendor's published reference material.   Record what is unavailable — missing evidence is itself a scorecard signal.</w:t>
      </w:r>
    </w:p>
    <w:p>
      <w:pPr>
        <w:pStyle w:val="Heading2"/>
      </w:pPr>
      <w:r>
        <w:t>2. A declared target-model interface contract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interface contract</w:t>
      </w:r>
      <w:r>
        <w:t xml:space="preserve"> the integration is authored against: the target</w:t>
      </w:r>
    </w:p>
    <w:p>
      <w:r>
        <w:t xml:space="preserve">  clinical data model (FHIR / OMOP / native — from global Requirement 2), the required   entities/fields in scope, and the interface conventions (file formats, identifiers,   encoding, reference/foreign-key rules).</w:t>
      </w:r>
    </w:p>
    <w:p>
      <w:pPr>
        <w:pStyle w:val="ListBullet"/>
      </w:pPr>
      <w:r>
        <w:rPr>
          <w:b/>
        </w:rPr>
        <w:t>Why required:</w:t>
      </w:r>
      <w:r>
        <w:t xml:space="preserve"> The contract is the stable boundary between your harness and any vendor;</w:t>
      </w:r>
    </w:p>
    <w:p>
      <w:r>
        <w:t xml:space="preserve">  the conformance tooling checks vendor output against it. Without a declared contract there   is nothing to validate portability or conformance against.</w:t>
      </w:r>
    </w:p>
    <w:p>
      <w:pPr>
        <w:pStyle w:val="ListBullet"/>
      </w:pPr>
      <w:r>
        <w:rPr>
          <w:b/>
        </w:rPr>
        <w:t>How to verify:</w:t>
      </w:r>
      <w:r>
        <w:t xml:space="preserve"> A machine-readable contract file exists (a small JSON, validated by</w:t>
      </w:r>
    </w:p>
    <w:p>
      <w:r>
        <w:t xml:space="preserve">  </w:t>
      </w:r>
      <w:r>
        <w:rPr>
          <w:rFonts w:ascii="Consolas" w:hAnsi="Consolas"/>
          <w:sz w:val="19"/>
        </w:rPr>
        <w:t>integration_contract_validator.py</w:t>
      </w:r>
      <w:r>
        <w:t>) listing target model, entities, required fields, and   interface rules.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Author the contract from the target model and in-scope</w:t>
      </w:r>
    </w:p>
    <w:p>
      <w:r>
        <w:t xml:space="preserve">  domains before designing the adapters (Implementation step 2).</w:t>
      </w:r>
    </w:p>
    <w:p>
      <w:pPr>
        <w:pStyle w:val="Heading2"/>
      </w:pPr>
      <w:r>
        <w:t>3. Two isolated adapter boundaries (data-in, data-out)</w:t>
      </w:r>
    </w:p>
    <w:p>
      <w:pPr>
        <w:pStyle w:val="ListBullet"/>
      </w:pPr>
      <w:r>
        <w:rPr>
          <w:b/>
        </w:rPr>
        <w:t>Description:</w:t>
      </w:r>
      <w:r>
        <w:t xml:space="preserve"> A place in your architecture to host </w:t>
      </w:r>
      <w:r>
        <w:rPr>
          <w:b/>
        </w:rPr>
        <w:t>exactly two</w:t>
      </w:r>
      <w:r>
        <w:t xml:space="preserve"> thin vendor-specific</w:t>
      </w:r>
    </w:p>
    <w:p>
      <w:r>
        <w:t xml:space="preserve">  adapters — a </w:t>
      </w:r>
      <w:r>
        <w:rPr>
          <w:b/>
        </w:rPr>
        <w:t>data-in</w:t>
      </w:r>
      <w:r>
        <w:t xml:space="preserve"> adapter (your seeds/reference stats → vendor inputs) and a   </w:t>
      </w:r>
      <w:r>
        <w:rPr>
          <w:b/>
        </w:rPr>
        <w:t>data-out</w:t>
      </w:r>
      <w:r>
        <w:t xml:space="preserve"> adapter (vendor output → target-model contract). Vendor-specific code lives   </w:t>
      </w:r>
      <w:r>
        <w:rPr>
          <w:b/>
        </w:rPr>
        <w:t>only</w:t>
      </w:r>
      <w:r>
        <w:t xml:space="preserve"> here; the harness and AI test environments consume only the target-model contract.</w:t>
      </w:r>
    </w:p>
    <w:p>
      <w:pPr>
        <w:pStyle w:val="ListBullet"/>
      </w:pPr>
      <w:r>
        <w:rPr>
          <w:b/>
        </w:rPr>
        <w:t>Why required:</w:t>
      </w:r>
      <w:r>
        <w:t xml:space="preserve"> Adapter isolation is what keeps a vendor swappable; scattering vendor SDK</w:t>
      </w:r>
    </w:p>
    <w:p>
      <w:r>
        <w:t xml:space="preserve">  calls through the harness is the primary lock-in failure mode.</w:t>
      </w:r>
    </w:p>
    <w:p>
      <w:pPr>
        <w:pStyle w:val="ListBullet"/>
      </w:pPr>
      <w:r>
        <w:rPr>
          <w:b/>
        </w:rPr>
        <w:t>How to verify:</w:t>
      </w:r>
      <w:r>
        <w:t xml:space="preserve"> The harness has a single import path to each adapter and no other module</w:t>
      </w:r>
    </w:p>
    <w:p>
      <w:r>
        <w:t xml:space="preserve">  references the vendor's native shape or SDK directly.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Refactor to route all vendor interaction through the two</w:t>
      </w:r>
    </w:p>
    <w:p>
      <w:r>
        <w:t xml:space="preserve">  adapter modules before the pilot integration.</w:t>
      </w:r>
    </w:p>
    <w:p>
      <w:pPr>
        <w:pStyle w:val="Heading2"/>
      </w:pPr>
      <w:r>
        <w:t>4. Evaluation criteria with agreed weights and thresholds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weighted criteria</w:t>
      </w:r>
      <w:r>
        <w:t xml:space="preserve"> the organization will score vendors on (fidelity,</w:t>
      </w:r>
    </w:p>
    <w:p>
      <w:r>
        <w:t xml:space="preserve">  privacy posture, interoperability, portability, support, cost, and any program-specific   criteria) with agreed weights and the minimum acceptable thresholds/gates.</w:t>
      </w:r>
    </w:p>
    <w:p>
      <w:pPr>
        <w:pStyle w:val="ListBullet"/>
      </w:pPr>
      <w:r>
        <w:rPr>
          <w:b/>
        </w:rPr>
        <w:t>Why required:</w:t>
      </w:r>
      <w:r>
        <w:t xml:space="preserve"> A scorecard is only defensible if the weights and pass thresholds are</w:t>
      </w:r>
    </w:p>
    <w:p>
      <w:r>
        <w:t xml:space="preserve">  agreed </w:t>
      </w:r>
      <w:r>
        <w:rPr>
          <w:b/>
        </w:rPr>
        <w:t>before</w:t>
      </w:r>
      <w:r>
        <w:t xml:space="preserve"> scoring; otherwise selection looks post-hoc.</w:t>
      </w:r>
    </w:p>
    <w:p>
      <w:pPr>
        <w:pStyle w:val="ListBullet"/>
      </w:pPr>
      <w:r>
        <w:rPr>
          <w:b/>
        </w:rPr>
        <w:t>How to verify:</w:t>
      </w:r>
      <w:r>
        <w:t xml:space="preserve"> A criteria/weights file exists and is signed off by the technical and</w:t>
      </w:r>
    </w:p>
    <w:p>
      <w:r>
        <w:t xml:space="preserve">  governance stakeholders (global Requirement 4).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Facilitate a short weighting workshop; capture weights and</w:t>
      </w:r>
    </w:p>
    <w:p>
      <w:r>
        <w:t xml:space="preserve">  thresholds in the config the scorecard tool reads.</w:t>
      </w:r>
    </w:p>
    <w:p>
      <w:pPr>
        <w:pStyle w:val="Heading2"/>
      </w:pPr>
      <w:r>
        <w:t>5. A privacy/validation reference and disclosure-risk threshold for vendor output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reference</w:t>
      </w:r>
      <w:r>
        <w:t xml:space="preserve"> (read-only, minimized real stats or agreed reference</w:t>
      </w:r>
    </w:p>
    <w:p>
      <w:r>
        <w:t xml:space="preserve">  distributions — global Requirement 6) and the </w:t>
      </w:r>
      <w:r>
        <w:rPr>
          <w:b/>
        </w:rPr>
        <w:t>disclosure-risk threshold</w:t>
      </w:r>
      <w:r>
        <w:t xml:space="preserve"> the organization   will hold *vendor-produced* synthetic output to, plus the quasi-identifier set to check.</w:t>
      </w:r>
    </w:p>
    <w:p>
      <w:pPr>
        <w:pStyle w:val="ListBullet"/>
      </w:pPr>
      <w:r>
        <w:rPr>
          <w:b/>
        </w:rPr>
        <w:t>Why required:</w:t>
      </w:r>
      <w:r>
        <w:t xml:space="preserve"> The privacy/validation gate must judge partner output by the same</w:t>
      </w:r>
    </w:p>
    <w:p>
      <w:r>
        <w:t xml:space="preserve">  standard as internally generated data; the threshold and quasi-identifiers are governance   decisions, not tool defaults.</w:t>
      </w:r>
    </w:p>
    <w:p>
      <w:pPr>
        <w:pStyle w:val="ListBullet"/>
      </w:pPr>
      <w:r>
        <w:rPr>
          <w:b/>
        </w:rPr>
        <w:t>How to verify:</w:t>
      </w:r>
      <w:r>
        <w:t xml:space="preserve"> The quasi-identifier list, reference source, and the numeric threshold</w:t>
      </w:r>
    </w:p>
    <w:p>
      <w:r>
        <w:t xml:space="preserve">  are documented and approved.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them with privacy/governance before running the</w:t>
      </w:r>
    </w:p>
    <w:p>
      <w:r>
        <w:t xml:space="preserve">  privacy gate; the tool reports evidence but the </w:t>
      </w:r>
      <w:r>
        <w:rPr>
          <w:b/>
        </w:rPr>
        <w:t>acceptance</w:t>
      </w:r>
      <w:r>
        <w:t xml:space="preserve"> is deferred to those   stakeholders.</w:t>
      </w:r>
    </w:p>
    <w:p>
      <w:pPr>
        <w:pStyle w:val="Heading2"/>
      </w:pPr>
      <w:r>
        <w:t>6. A documented exit/rollback expectation per vendor</w:t>
      </w:r>
    </w:p>
    <w:p>
      <w:pPr>
        <w:pStyle w:val="ListBullet"/>
      </w:pPr>
      <w:r>
        <w:rPr>
          <w:b/>
        </w:rPr>
        <w:t>Description:</w:t>
      </w:r>
      <w:r>
        <w:t xml:space="preserve"> For each vendor to be integrated, an agreed expectation of the </w:t>
      </w:r>
      <w:r>
        <w:rPr>
          <w:b/>
        </w:rPr>
        <w:t>exit path</w:t>
      </w:r>
    </w:p>
    <w:p>
      <w:r>
        <w:t xml:space="preserve">  (export formats, artifact ownership, contractual portability) and the </w:t>
      </w:r>
      <w:r>
        <w:rPr>
          <w:b/>
        </w:rPr>
        <w:t>rollback</w:t>
      </w:r>
      <w:r>
        <w:t xml:space="preserve"> if a gate   fails (revert to prior vendor/state, quarantine outputs).</w:t>
      </w:r>
    </w:p>
    <w:p>
      <w:pPr>
        <w:pStyle w:val="ListBullet"/>
      </w:pPr>
      <w:r>
        <w:rPr>
          <w:b/>
        </w:rPr>
        <w:t>Why required:</w:t>
      </w:r>
      <w:r>
        <w:t xml:space="preserve"> Anti-lock-in is only real if the exit is defined up front; the portability</w:t>
      </w:r>
    </w:p>
    <w:p>
      <w:r>
        <w:t xml:space="preserve">  assessor scores against it and the deployment model requires a rollback at each gate.</w:t>
      </w:r>
    </w:p>
    <w:p>
      <w:pPr>
        <w:pStyle w:val="ListBullet"/>
      </w:pPr>
      <w:r>
        <w:rPr>
          <w:b/>
        </w:rPr>
        <w:t>How to verify:</w:t>
      </w:r>
      <w:r>
        <w:t xml:space="preserve"> An exit/rollback note exists per candidate and is referenced by the</w:t>
      </w:r>
    </w:p>
    <w:p>
      <w:r>
        <w:t xml:space="preserve">  portability score.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Capture the exit terms during evaluation (Requirement 1)</w:t>
      </w:r>
    </w:p>
    <w:p>
      <w:r>
        <w:t xml:space="preserve">  and the rollback during Design (Implementation step 2).</w:t>
      </w:r>
    </w:p>
    <w:p>
      <w:pPr>
        <w:pStyle w:val="Heading1"/>
      </w:pPr>
      <w:r>
        <w:t>Global Requirements — Synthetic Data &amp; AI Test-Enablement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Synthetic</w:t>
      </w:r>
      <w:r>
        <w:t xml:space="preserve"> category (synthetic clinical data, hospital-twin simulation, and safe AI test enablement). Verify each before starting a solution's steps.</w:t>
      </w:r>
    </w:p>
    <w:p>
      <w:pPr>
        <w:ind w:left="432"/>
      </w:pPr>
      <w:r>
        <w:rPr>
          <w:i/>
          <w:color w:val="2E86C1"/>
        </w:rPr>
        <w:t>Safety, vendor &amp; regulatory boundary (applies to every Synthetic solution). These solutions generate and validate synthetic (artificial) data and run in isolated non-production test environments. Never place real Protected Health Information (PHI) into a shared synthetic harness, twin, or AI test environment — where real data is touched at all it is read-only, minimized, and handled under the governing privacy controls. Synthetic-data and digital-twin tools (e.g. Synthea, and commercial platforms) and AI/model frameworks are integrated at the pattern/architectural level; specific vendor console internals are cited or deferred to that vendor's documentation, never invented. Regulatory and legal interpretation (HIPAA/HITRUST de-identification determinations, IRB/privacy-office sign-off, disclosure risk acceptance, and any ITAR/NERC/NRC or contract constraints) is deferred to the organization's privacy, compliance, and legal functions — the solutions provide the technical method and evidence, not legal determinations.</w:t>
      </w:r>
    </w:p>
    <w:p>
      <w:pPr>
        <w:pStyle w:val="Heading2"/>
      </w:pPr>
      <w:r>
        <w:t>1. A Python data/engineering environment</w:t>
      </w:r>
    </w:p>
    <w:p>
      <w:pPr>
        <w:pStyle w:val="ListBullet"/>
      </w:pPr>
      <w:r>
        <w:rPr>
          <w:b/>
        </w:rPr>
        <w:t>Description:</w:t>
      </w:r>
      <w:r>
        <w:t xml:space="preserve"> A supported </w:t>
      </w:r>
      <w:r>
        <w:rPr>
          <w:b/>
        </w:rPr>
        <w:t>Python</w:t>
      </w:r>
      <w:r>
        <w:t xml:space="preserve"> environment (e.g. 3.10+) with the standard data toolchain</w:t>
      </w:r>
    </w:p>
    <w:p>
      <w:r>
        <w:t xml:space="preserve">  (data frames, statistics, and the synthetic-data / validation libraries the solution uses).</w:t>
      </w:r>
    </w:p>
    <w:p>
      <w:pPr>
        <w:pStyle w:val="ListBullet"/>
      </w:pPr>
      <w:r>
        <w:rPr>
          <w:b/>
        </w:rPr>
        <w:t>Why required:</w:t>
      </w:r>
      <w:r>
        <w:t xml:space="preserve"> The automation and reusable assets are authored in Python (generation,</w:t>
      </w:r>
    </w:p>
    <w:p>
      <w:r>
        <w:t xml:space="preserve">  de-identification, fidelity/utility metrics, scenario runners).</w:t>
      </w:r>
    </w:p>
    <w:p>
      <w:pPr>
        <w:pStyle w:val="ListBullet"/>
      </w:pPr>
      <w:r>
        <w:rPr>
          <w:b/>
        </w:rPr>
        <w:t>How to verify:</w:t>
      </w:r>
      <w:r>
        <w:t xml:space="preserve"> Confirm Python + the required packages install and run in the target environment.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environment and install dependencies before starting.</w:t>
      </w:r>
    </w:p>
    <w:p>
      <w:pPr>
        <w:pStyle w:val="Heading2"/>
      </w:pPr>
      <w:r>
        <w:t>2. A target clinical data model / standard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clinical data model or interoperability standard</w:t>
      </w:r>
      <w:r>
        <w:t xml:space="preserve"> to generate against —</w:t>
      </w:r>
    </w:p>
    <w:p>
      <w:r>
        <w:t xml:space="preserve">  e.g. </w:t>
      </w:r>
      <w:r>
        <w:rPr>
          <w:b/>
        </w:rPr>
        <w:t>FHIR</w:t>
      </w:r>
      <w:r>
        <w:t xml:space="preserve">, </w:t>
      </w:r>
      <w:r>
        <w:rPr>
          <w:b/>
        </w:rPr>
        <w:t>OMOP CDM</w:t>
      </w:r>
      <w:r>
        <w:t>, or the source system's own schema — plus the fields/domains in scope   (patients, encounters, conditions, medications, labs, vitals, notes, etc.).</w:t>
      </w:r>
    </w:p>
    <w:p>
      <w:pPr>
        <w:pStyle w:val="ListBullet"/>
      </w:pPr>
      <w:r>
        <w:rPr>
          <w:b/>
        </w:rPr>
        <w:t>Why required:</w:t>
      </w:r>
      <w:r>
        <w:t xml:space="preserve"> Realistic synthetic data and a credible hospital twin require a target schema and</w:t>
      </w:r>
    </w:p>
    <w:p>
      <w:r>
        <w:t xml:space="preserve">  clinically plausible relationships; validation is measured against it.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model/standard and the in-scope domains with the AI/QA teams.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Select and document the target model before generating.</w:t>
      </w:r>
    </w:p>
    <w:p>
      <w:pPr>
        <w:pStyle w:val="Heading2"/>
      </w:pPr>
      <w:r>
        <w:t>3. An isolated non-production test environment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segregated, non-production</w:t>
      </w:r>
      <w:r>
        <w:t xml:space="preserve"> environment (compute + storage) for the synthetic</w:t>
      </w:r>
    </w:p>
    <w:p>
      <w:r>
        <w:t xml:space="preserve">  harness, hospital twin, and AI test runs — separate from production and from real-PHI systems.</w:t>
      </w:r>
    </w:p>
    <w:p>
      <w:pPr>
        <w:pStyle w:val="ListBullet"/>
      </w:pPr>
      <w:r>
        <w:rPr>
          <w:b/>
        </w:rPr>
        <w:t>Why required:</w:t>
      </w:r>
      <w:r>
        <w:t xml:space="preserve"> Safe evaluation of AI solutions before broader adoption depends on isolation; it</w:t>
      </w:r>
    </w:p>
    <w:p>
      <w:r>
        <w:t xml:space="preserve">  also bounds any residual disclosure risk.</w:t>
      </w:r>
    </w:p>
    <w:p>
      <w:pPr>
        <w:pStyle w:val="ListBullet"/>
      </w:pPr>
      <w:r>
        <w:rPr>
          <w:b/>
        </w:rPr>
        <w:t>How to verify:</w:t>
      </w:r>
      <w:r>
        <w:t xml:space="preserve"> Confirm the environment is isolated, access-controlled, and not connected to</w:t>
      </w:r>
    </w:p>
    <w:p>
      <w:r>
        <w:t xml:space="preserve">  production PHI stores.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/ obtain the isolated environment before running.</w:t>
      </w:r>
    </w:p>
    <w:p>
      <w:pPr>
        <w:pStyle w:val="Heading2"/>
      </w:pPr>
      <w:r>
        <w:t>4. Privacy, governance &amp; compliance stakeholders and policy</w:t>
      </w:r>
    </w:p>
    <w:p>
      <w:pPr>
        <w:pStyle w:val="ListBullet"/>
      </w:pPr>
      <w:r>
        <w:rPr>
          <w:b/>
        </w:rPr>
        <w:t>Description:</w:t>
      </w:r>
      <w:r>
        <w:t xml:space="preserve"> The governing </w:t>
      </w:r>
      <w:r>
        <w:rPr>
          <w:b/>
        </w:rPr>
        <w:t>privacy, data-governance, and compliance</w:t>
      </w:r>
      <w:r>
        <w:t xml:space="preserve"> policies and the named</w:t>
      </w:r>
    </w:p>
    <w:p>
      <w:r>
        <w:t xml:space="preserve">  stakeholders (privacy officer, security, and — where real source data or de-identification claims are   involved — IRB/legal) whose requirements the work must satisfy.</w:t>
      </w:r>
    </w:p>
    <w:p>
      <w:pPr>
        <w:pStyle w:val="ListBullet"/>
      </w:pPr>
      <w:r>
        <w:rPr>
          <w:b/>
        </w:rPr>
        <w:t>Why required:</w:t>
      </w:r>
      <w:r>
        <w:t xml:space="preserve"> Regulated healthcare data constraints, de-identification acceptance, and enterprise</w:t>
      </w:r>
    </w:p>
    <w:p>
      <w:r>
        <w:t xml:space="preserve">  data governance are policy decisions the technical method must align to, not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disclosure-risk threshold, and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policies and stakeholders before generating or</w:t>
      </w:r>
    </w:p>
    <w:p>
      <w:r>
        <w:t xml:space="preserve">  releasing test data.</w:t>
      </w:r>
    </w:p>
    <w:p>
      <w:pPr>
        <w:pStyle w:val="Heading2"/>
      </w:pPr>
      <w:r>
        <w:t>5. AI/QA use cases and a pilot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AI use cases and QA scenarios</w:t>
      </w:r>
      <w:r>
        <w:t xml:space="preserve"> the synthetic data / twin must support, and a</w:t>
      </w:r>
    </w:p>
    <w:p>
      <w:r>
        <w:t xml:space="preserve">  </w:t>
      </w:r>
      <w:r>
        <w:rPr>
          <w:b/>
        </w:rPr>
        <w:t>pilot scope</w:t>
      </w:r>
      <w:r>
        <w:t xml:space="preserve"> to validate on before broader rollout.</w:t>
      </w:r>
    </w:p>
    <w:p>
      <w:pPr>
        <w:pStyle w:val="ListBullet"/>
      </w:pPr>
      <w:r>
        <w:rPr>
          <w:b/>
        </w:rPr>
        <w:t>Why required:</w:t>
      </w:r>
      <w:r>
        <w:t xml:space="preserve"> Fidelity, coverage, and scenario design are driven by the AI use cases; every</w:t>
      </w:r>
    </w:p>
    <w:p>
      <w:r>
        <w:t xml:space="preserve">  solution follows an </w:t>
      </w:r>
      <w:r>
        <w:rPr>
          <w:b/>
        </w:rPr>
        <w:t>Assess → Design → Generate/Build → Validate → Expand</w:t>
      </w:r>
      <w:r>
        <w:t xml:space="preserve"> model proven on a pilot.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AI use cases, evaluation goals, and a named pilot.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Elicit the use cases and define the pilot before building the harness.</w:t>
      </w:r>
    </w:p>
    <w:p>
      <w:pPr>
        <w:pStyle w:val="Heading2"/>
      </w:pPr>
      <w:r>
        <w:t>6. Reference/real-data access for fidelity (read-only, minimized)</w:t>
      </w:r>
    </w:p>
    <w:p>
      <w:pPr>
        <w:pStyle w:val="ListBullet"/>
      </w:pPr>
      <w:r>
        <w:rPr>
          <w:b/>
        </w:rPr>
        <w:t>Description:</w:t>
      </w:r>
      <w:r>
        <w:t xml:space="preserve"> Where synthetic </w:t>
      </w:r>
      <w:r>
        <w:rPr>
          <w:b/>
        </w:rPr>
        <w:t>fidelity/utility</w:t>
      </w:r>
      <w:r>
        <w:t xml:space="preserve"> must be measured against reality, **read-only,</w:t>
      </w:r>
    </w:p>
    <w:p>
      <w:r>
        <w:t xml:space="preserve">  minimized** access to reference statistics or a governed real dataset (under the privacy controls in   §4) — or agreed reference distributions where real data cannot be used.</w:t>
      </w:r>
    </w:p>
    <w:p>
      <w:pPr>
        <w:pStyle w:val="ListBullet"/>
      </w:pPr>
      <w:r>
        <w:rPr>
          <w:b/>
        </w:rPr>
        <w:t>Why required:</w:t>
      </w:r>
      <w:r>
        <w:t xml:space="preserve"> Fidelity and validation assets compare synthetic output to real-world distributions</w:t>
      </w:r>
    </w:p>
    <w:p>
      <w:r>
        <w:t xml:space="preserve">  and relationships; without a reference the claims are unfounded.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reference source and its access/governance terms.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reference approach (governed real stats vs. published</w:t>
      </w:r>
    </w:p>
    <w:p>
      <w:r>
        <w:t xml:space="preserve">  reference distributions) before validating.</w:t>
      </w:r>
    </w:p>
    <w:p>
      <w:r>
        <w:t xml:space="preserve">*The deployment model across every Synthetic solution is the same: </w:t>
      </w:r>
      <w:r>
        <w:rPr>
          <w:b/>
        </w:rPr>
        <w:t>Assess → Design → Generate/Build → Validate → Expand</w:t>
      </w:r>
      <w:r>
        <w:t xml:space="preserve">, with explicit pass/fail (fidelity/privacy) gates and a documented rollback. Automation and reusable assets are delivered as </w:t>
      </w:r>
      <w:r>
        <w:rPr>
          <w:b/>
        </w:rPr>
        <w:t>Python</w:t>
      </w:r>
      <w:r>
        <w:t xml:space="preserve"> — never real PHI is written to a shared harness, twin, or AI test environment.*</w:t>
      </w:r>
    </w:p>
    <w:p>
      <w:pPr>
        <w:pStyle w:val="Heading1"/>
      </w:pPr>
      <w:r>
        <w:t>Implementation</w:t>
      </w:r>
    </w:p>
    <w:p>
      <w:r>
        <w:t xml:space="preserve">Follow these ordered steps to evaluate a digital-twin / synthetic-data vendor, define the integration contract and adapters, run a pilot integration, and validate it against the pass/fail gates before expanding. The flow follows the house model </w:t>
      </w:r>
      <w:r>
        <w:rPr>
          <w:b/>
        </w:rPr>
        <w:t>Assess → Design → Generate/Build → Validate → Expand</w:t>
      </w:r>
      <w:r>
        <w:t xml:space="preserve">, is </w:t>
      </w:r>
      <w:r>
        <w:rPr>
          <w:b/>
        </w:rPr>
        <w:t>pilot-first</w:t>
      </w:r>
      <w:r>
        <w:t xml:space="preserve">, and names every artifact with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so later steps, testing, and scripts reuse the exact names.</w:t>
      </w:r>
    </w:p>
    <w:p>
      <w:pPr>
        <w:ind w:left="432"/>
      </w:pPr>
      <w:r>
        <w:rPr>
          <w:i/>
          <w:color w:val="2E86C1"/>
        </w:rPr>
        <w:t>Do this work in the isolated non-production environment (global Requirement 3). Never place real PHI into the shared harness/twin/AI test environment. Every writing tool defaults to dry-run. Version-specific vendor steps: verify against the vendor's documentation.</w:t>
      </w:r>
    </w:p>
    <w:p>
      <w:pPr>
        <w:pStyle w:val="Heading2"/>
      </w:pPr>
      <w:r>
        <w:t>Stage 0 — Preconditions</w:t>
      </w:r>
    </w:p>
    <w:p>
      <w:pPr>
        <w:pStyle w:val="ListNumber"/>
      </w:pPr>
      <w:r>
        <w:t>Confirm the six global requirements and the six solution-specific requirements are met.</w:t>
      </w:r>
    </w:p>
    <w:p>
      <w:r>
        <w:t xml:space="preserve">   Record gaps; a missing evaluation artifact or reference is itself an input to scoring.</w:t>
      </w:r>
    </w:p>
    <w:p>
      <w:pPr>
        <w:pStyle w:val="ListNumber"/>
      </w:pPr>
      <w:r>
        <w:t>Author the working config — three small JSON files the tools read:</w:t>
      </w:r>
    </w:p>
    <w:p>
      <w:pPr>
        <w:pStyle w:val="ListBullet"/>
      </w:pPr>
      <w:r>
        <w:t xml:space="preserve">the </w:t>
      </w:r>
      <w:r>
        <w:rPr>
          <w:b/>
        </w:rPr>
        <w:t>evaluation criteria + weights</w:t>
      </w:r>
      <w:r>
        <w:t xml:space="preserve"> file (Requirement 4; input to the scorecard),</w:t>
      </w:r>
    </w:p>
    <w:p>
      <w:pPr>
        <w:pStyle w:val="ListBullet"/>
      </w:pPr>
      <w:r>
        <w:t xml:space="preserve">the </w:t>
      </w:r>
      <w:r>
        <w:rPr>
          <w:b/>
        </w:rPr>
        <w:t>target-model interface contract</w:t>
      </w:r>
      <w:r>
        <w:t xml:space="preserve"> file (Requirement 2; validated by</w:t>
      </w:r>
    </w:p>
    <w:p>
      <w:r>
        <w:t xml:space="preserve">     </w:t>
      </w:r>
      <w:r>
        <w:rPr>
          <w:rFonts w:ascii="Consolas" w:hAnsi="Consolas"/>
          <w:sz w:val="19"/>
        </w:rPr>
        <w:t>integration_contract_validator.py</w:t>
      </w:r>
      <w:r>
        <w:t>),</w:t>
      </w:r>
    </w:p>
    <w:p>
      <w:pPr>
        <w:pStyle w:val="ListBullet"/>
      </w:pPr>
      <w:r>
        <w:t xml:space="preserve">the </w:t>
      </w:r>
      <w:r>
        <w:rPr>
          <w:b/>
        </w:rPr>
        <w:t>integration config</w:t>
      </w:r>
      <w:r>
        <w:t xml:space="preserve"> (target model, adapter paths, environment = non-prod).</w:t>
      </w:r>
    </w:p>
    <w:p>
      <w:r>
        <w:t xml:space="preserve">   Name the config bundle </w:t>
      </w:r>
      <w:r>
        <w:rPr>
          <w:rFonts w:ascii="Consolas" w:hAnsi="Consolas"/>
          <w:sz w:val="19"/>
        </w:rPr>
        <w:t>Integration Config – Pilot – v1</w:t>
      </w:r>
      <w:r>
        <w:t xml:space="preserve">. Validate the contract file up    front with </w:t>
      </w:r>
      <w:r>
        <w:rPr>
          <w:rFonts w:ascii="Consolas" w:hAnsi="Consolas"/>
          <w:sz w:val="19"/>
        </w:rPr>
        <w:t>integration_contract_validator.py --contract ...</w:t>
      </w:r>
      <w:r>
        <w:t xml:space="preserve"> before proceeding.</w:t>
      </w:r>
    </w:p>
    <w:p>
      <w:pPr>
        <w:pStyle w:val="Heading2"/>
      </w:pPr>
      <w:r>
        <w:t>Stage 1 — Assess (evaluate candidate vendors)</w:t>
      </w:r>
    </w:p>
    <w:p>
      <w:pPr>
        <w:pStyle w:val="ListNumber"/>
      </w:pPr>
      <w:r>
        <w:t>For each candidate in the vendor set (Requirement 1), gather the evaluation inputs: a sample</w:t>
      </w:r>
    </w:p>
    <w:p>
      <w:r>
        <w:t xml:space="preserve">   of output, its schema/interface doc, data-handling doc, and export/exit terms. Store them    read-only under the candidate's evaluation folder.</w:t>
      </w:r>
    </w:p>
    <w:p>
      <w:pPr>
        <w:pStyle w:val="ListNumber"/>
      </w:pPr>
      <w:r>
        <w:t>Score every candidate with the scorecard tool (</w:t>
      </w:r>
      <w:r>
        <w:rPr>
          <w:rFonts w:ascii="Consolas" w:hAnsi="Consolas"/>
          <w:sz w:val="19"/>
        </w:rPr>
        <w:t>vendor_evaluation_scorecard.py</w:t>
      </w:r>
      <w:r>
        <w:t>) against the</w:t>
      </w:r>
    </w:p>
    <w:p>
      <w:r>
        <w:t xml:space="preserve">   agreed weighted criteria. Produce </w:t>
      </w:r>
      <w:r>
        <w:rPr>
          <w:rFonts w:ascii="Consolas" w:hAnsi="Consolas"/>
          <w:sz w:val="19"/>
        </w:rPr>
        <w:t>Vendor Evaluation – Candidate Set – Assess</w:t>
      </w:r>
      <w:r>
        <w:t xml:space="preserve"> (a    ranked scorecard with per-criterion scores, the portability sub-score, and any missing-    evidence flags).</w:t>
      </w:r>
    </w:p>
    <w:p>
      <w:pPr>
        <w:pStyle w:val="ListNumber"/>
      </w:pPr>
      <w:r>
        <w:rPr>
          <w:b/>
        </w:rPr>
        <w:t>Gate A — Selection.</w:t>
      </w:r>
      <w:r>
        <w:t xml:space="preserve"> Review the ranked scorecard with technical + governance</w:t>
      </w:r>
    </w:p>
    <w:p>
      <w:r>
        <w:t xml:space="preserve">   stakeholders. Select the vendor(s) that clear the agreed thresholds (Requirement 4).    Failing all thresholds → do not proceed; revisit the candidate set. Record the decision on    the </w:t>
      </w:r>
      <w:r>
        <w:rPr>
          <w:rFonts w:ascii="Consolas" w:hAnsi="Consolas"/>
          <w:sz w:val="19"/>
        </w:rPr>
        <w:t>Vendor Evaluation – Candidate Set – Assess</w:t>
      </w:r>
      <w:r>
        <w:t xml:space="preserve"> artifact.</w:t>
      </w:r>
    </w:p>
    <w:p>
      <w:pPr>
        <w:pStyle w:val="Heading2"/>
      </w:pPr>
      <w:r>
        <w:t>Stage 2 — Design (contract + adapters + exit)</w:t>
      </w:r>
    </w:p>
    <w:p>
      <w:pPr>
        <w:pStyle w:val="ListNumber"/>
      </w:pPr>
      <w:r>
        <w:t xml:space="preserve">Author the </w:t>
      </w:r>
      <w:r>
        <w:rPr>
          <w:b/>
        </w:rPr>
        <w:t>interface contract</w:t>
      </w:r>
      <w:r>
        <w:t xml:space="preserve"> for the selected vendor against the target model</w:t>
      </w:r>
    </w:p>
    <w:p>
      <w:r>
        <w:t xml:space="preserve">   (FHIR / OMOP / native): declare entities, required fields, identifier/reference rules, and    interface conventions. Validate the contract file itself with the contract validator    (</w:t>
      </w:r>
      <w:r>
        <w:rPr>
          <w:rFonts w:ascii="Consolas" w:hAnsi="Consolas"/>
          <w:sz w:val="19"/>
        </w:rPr>
        <w:t>integration_contract_validator.py --contract ...</w:t>
      </w:r>
      <w:r>
        <w:t xml:space="preserve">). Produce    </w:t>
      </w:r>
      <w:r>
        <w:rPr>
          <w:rFonts w:ascii="Consolas" w:hAnsi="Consolas"/>
          <w:sz w:val="19"/>
        </w:rPr>
        <w:t>Integration Contract – &lt;Vendor Capability&gt; – Design</w:t>
      </w:r>
      <w:r>
        <w:t>.</w:t>
      </w:r>
    </w:p>
    <w:p>
      <w:pPr>
        <w:pStyle w:val="ListNumber"/>
      </w:pPr>
      <w:r>
        <w:t xml:space="preserve">Specify the </w:t>
      </w:r>
      <w:r>
        <w:rPr>
          <w:b/>
        </w:rPr>
        <w:t>two adapter boundaries</w:t>
      </w:r>
      <w:r>
        <w:t>:</w:t>
      </w:r>
    </w:p>
    <w:p>
      <w:pPr>
        <w:pStyle w:val="ListBullet"/>
      </w:pPr>
      <w:r>
        <w:rPr>
          <w:b/>
        </w:rPr>
        <w:t>data-in adapter</w:t>
      </w:r>
      <w:r>
        <w:t xml:space="preserve"> — how your seeds / reference stats map to the vendor's inputs,</w:t>
      </w:r>
    </w:p>
    <w:p>
      <w:pPr>
        <w:pStyle w:val="ListBullet"/>
      </w:pPr>
      <w:r>
        <w:rPr>
          <w:b/>
        </w:rPr>
        <w:t>data-out adapter</w:t>
      </w:r>
      <w:r>
        <w:t xml:space="preserve"> — how the vendor's native output maps to the target-model contract.</w:t>
      </w:r>
    </w:p>
    <w:p>
      <w:r>
        <w:t xml:space="preserve">   Keep all vendor-specific code in these two modules only (Requirement 3).</w:t>
      </w:r>
    </w:p>
    <w:p>
      <w:pPr>
        <w:pStyle w:val="ListNumber"/>
      </w:pPr>
      <w:r>
        <w:t xml:space="preserve">Capture the </w:t>
      </w:r>
      <w:r>
        <w:rPr>
          <w:b/>
        </w:rPr>
        <w:t>exit path and rollback</w:t>
      </w:r>
      <w:r>
        <w:t xml:space="preserve"> for this vendor (export formats, artifact ownership,</w:t>
      </w:r>
    </w:p>
    <w:p>
      <w:r>
        <w:t xml:space="preserve">   revert plan). Produce </w:t>
      </w:r>
      <w:r>
        <w:rPr>
          <w:rFonts w:ascii="Consolas" w:hAnsi="Consolas"/>
          <w:sz w:val="19"/>
        </w:rPr>
        <w:t>Portability &amp; Exit Plan – &lt;Vendor Capability&gt; – Design</w:t>
      </w:r>
      <w:r>
        <w:t>. This    feeds the portability assessor and the Validate gates.</w:t>
      </w:r>
    </w:p>
    <w:p>
      <w:pPr>
        <w:pStyle w:val="Heading2"/>
      </w:pPr>
      <w:r>
        <w:t>Stage 3 — Generate/Build (run the pilot integration)</w:t>
      </w:r>
    </w:p>
    <w:p>
      <w:pPr>
        <w:pStyle w:val="ListNumber"/>
      </w:pPr>
      <w:r>
        <w:t>Implement the two thin adapters per the Design. Do not reference the vendor's native shape</w:t>
      </w:r>
    </w:p>
    <w:p>
      <w:r>
        <w:t xml:space="preserve">   anywhere outside them.</w:t>
      </w:r>
    </w:p>
    <w:p>
      <w:pPr>
        <w:pStyle w:val="ListNumber"/>
      </w:pPr>
      <w:r>
        <w:t>Run the vendor capability to produce pilot output in the isolated environment — either:</w:t>
      </w:r>
    </w:p>
    <w:p>
      <w:pPr>
        <w:pStyle w:val="ListBullet"/>
      </w:pPr>
      <w:r>
        <w:rPr>
          <w:b/>
        </w:rPr>
        <w:t>synthetic generation</w:t>
      </w:r>
      <w:r>
        <w:t xml:space="preserve"> (emit a synthetic dataset against the target model), or</w:t>
      </w:r>
    </w:p>
    <w:p>
      <w:pPr>
        <w:pStyle w:val="ListBullet"/>
      </w:pPr>
      <w:r>
        <w:rPr>
          <w:b/>
        </w:rPr>
        <w:t>twin/scenario execution</w:t>
      </w:r>
      <w:r>
        <w:t xml:space="preserve"> (run the hospital-twin/scenario and capture its output).</w:t>
      </w:r>
    </w:p>
    <w:p>
      <w:r>
        <w:t xml:space="preserve">    Route the result through the </w:t>
      </w:r>
      <w:r>
        <w:rPr>
          <w:b/>
        </w:rPr>
        <w:t>data-out adapter</w:t>
      </w:r>
      <w:r>
        <w:t xml:space="preserve"> into the target-model contract. Produce     </w:t>
      </w:r>
      <w:r>
        <w:rPr>
          <w:rFonts w:ascii="Consolas" w:hAnsi="Consolas"/>
          <w:sz w:val="19"/>
        </w:rPr>
        <w:t>Vendor Output – Pilot – v1</w:t>
      </w:r>
      <w:r>
        <w:t xml:space="preserve"> (target-model-shaped, in the isolated environment only).</w:t>
      </w:r>
    </w:p>
    <w:p>
      <w:pPr>
        <w:pStyle w:val="Heading2"/>
      </w:pPr>
      <w:r>
        <w:t>Stage 4 — Validate (the pass/fail gates)</w:t>
      </w:r>
    </w:p>
    <w:p>
      <w:r>
        <w:t xml:space="preserve">Run each gate on </w:t>
      </w:r>
      <w:r>
        <w:rPr>
          <w:rFonts w:ascii="Consolas" w:hAnsi="Consolas"/>
          <w:sz w:val="19"/>
        </w:rPr>
        <w:t>Vendor Output – Pilot – v1</w:t>
      </w:r>
      <w:r>
        <w:t xml:space="preserve">. Record results in </w:t>
      </w:r>
      <w:r>
        <w:rPr>
          <w:rFonts w:ascii="Consolas" w:hAnsi="Consolas"/>
          <w:sz w:val="19"/>
        </w:rPr>
        <w:t>Integration Validation – Pilot – v1</w:t>
      </w:r>
      <w:r>
        <w:t xml:space="preserve">. Any failed gate </w:t>
      </w:r>
      <w:r>
        <w:rPr>
          <w:b/>
        </w:rPr>
        <w:t>blocks expansion</w:t>
      </w:r>
      <w:r>
        <w:t xml:space="preserve"> and triggers the rollback from step 8.</w:t>
      </w:r>
    </w:p>
    <w:p>
      <w:pPr>
        <w:pStyle w:val="ListNumber"/>
      </w:pPr>
      <w:r>
        <w:rPr>
          <w:b/>
        </w:rPr>
        <w:t>Gate B — Contract conformance.</w:t>
      </w:r>
      <w:r>
        <w:t xml:space="preserve"> Run </w:t>
      </w:r>
      <w:r>
        <w:rPr>
          <w:rFonts w:ascii="Consolas" w:hAnsi="Consolas"/>
          <w:sz w:val="19"/>
        </w:rPr>
        <w:t>integration_contract_validator.py</w:t>
      </w:r>
      <w:r>
        <w:t xml:space="preserve"> with the</w:t>
      </w:r>
    </w:p>
    <w:p>
      <w:r>
        <w:t xml:space="preserve">    </w:t>
      </w:r>
      <w:r>
        <w:rPr>
          <w:rFonts w:ascii="Consolas" w:hAnsi="Consolas"/>
          <w:sz w:val="19"/>
        </w:rPr>
        <w:t>Integration Contract – &lt;Vendor Capability&gt; – Design</w:t>
      </w:r>
      <w:r>
        <w:t xml:space="preserve"> against the vendor output.     </w:t>
      </w:r>
      <w:r>
        <w:rPr>
          <w:b/>
        </w:rPr>
        <w:t>Pass:</w:t>
      </w:r>
      <w:r>
        <w:t xml:space="preserve"> all required entities/fields present, identifier/reference rules satisfied, no     contract violations. </w:t>
      </w:r>
      <w:r>
        <w:rPr>
          <w:b/>
        </w:rPr>
        <w:t>Fail:</w:t>
      </w:r>
      <w:r>
        <w:t xml:space="preserve"> any missing required field or broken reference.</w:t>
      </w:r>
    </w:p>
    <w:p>
      <w:pPr>
        <w:pStyle w:val="ListNumber"/>
      </w:pPr>
      <w:r>
        <w:rPr>
          <w:b/>
        </w:rPr>
        <w:t>Gate C — Adapter conformance.</w:t>
      </w:r>
      <w:r>
        <w:t xml:space="preserve"> Run </w:t>
      </w:r>
      <w:r>
        <w:rPr>
          <w:rFonts w:ascii="Consolas" w:hAnsi="Consolas"/>
          <w:sz w:val="19"/>
        </w:rPr>
        <w:t>adapter_conformance_checker.py</w:t>
      </w:r>
      <w:r>
        <w:t xml:space="preserve"> on the data-in and</w:t>
      </w:r>
    </w:p>
    <w:p>
      <w:r>
        <w:t xml:space="preserve">    data-out adapters with paired input/output fixtures. </w:t>
      </w:r>
      <w:r>
        <w:rPr>
          <w:b/>
        </w:rPr>
        <w:t>Pass:</w:t>
      </w:r>
      <w:r>
        <w:t xml:space="preserve"> round-trip is lossless for     in-scope fields and no vendor-native shape leaks past the adapter. </w:t>
      </w:r>
      <w:r>
        <w:rPr>
          <w:b/>
        </w:rPr>
        <w:t>Fail:</w:t>
      </w:r>
      <w:r>
        <w:t xml:space="preserve"> field loss,     type drift, or a native-shape leak.</w:t>
      </w:r>
    </w:p>
    <w:p>
      <w:pPr>
        <w:pStyle w:val="ListNumber"/>
      </w:pPr>
      <w:r>
        <w:rPr>
          <w:b/>
        </w:rPr>
        <w:t>Gate D — Fidelity/coverage.</w:t>
      </w:r>
      <w:r>
        <w:t xml:space="preserve"> Compare the output to the reference (global Requirement 6)</w:t>
      </w:r>
    </w:p>
    <w:p>
      <w:r>
        <w:t xml:space="preserve">    as a documented procedure (see Testing, Test 3): in-scope column distributions vs. the     read-only reference and the required scenario/domain coverage matrix. </w:t>
      </w:r>
      <w:r>
        <w:rPr>
          <w:b/>
        </w:rPr>
        <w:t>Pass:</w:t>
      </w:r>
      <w:r>
        <w:t xml:space="preserve"> in-scope     distributions and required scenario coverage meet the agreed thresholds. </w:t>
      </w:r>
      <w:r>
        <w:rPr>
          <w:b/>
        </w:rPr>
        <w:t>Fail:</w:t>
      </w:r>
      <w:r>
        <w:t xml:space="preserve"> below     threshold on a required metric or coverage gap.</w:t>
      </w:r>
    </w:p>
    <w:p>
      <w:pPr>
        <w:pStyle w:val="ListNumber"/>
      </w:pPr>
      <w:r>
        <w:rPr>
          <w:b/>
        </w:rPr>
        <w:t>Gate E — Privacy/validation.</w:t>
      </w:r>
      <w:r>
        <w:t xml:space="preserve"> Run </w:t>
      </w:r>
      <w:r>
        <w:rPr>
          <w:rFonts w:ascii="Consolas" w:hAnsi="Consolas"/>
          <w:sz w:val="19"/>
        </w:rPr>
        <w:t>privacy_validation_check.py</w:t>
      </w:r>
      <w:r>
        <w:t xml:space="preserve"> with the agreed quasi-</w:t>
      </w:r>
    </w:p>
    <w:p>
      <w:r>
        <w:t xml:space="preserve">    identifiers and disclosure-risk threshold (Requirement 5). </w:t>
      </w:r>
      <w:r>
        <w:rPr>
          <w:b/>
        </w:rPr>
        <w:t>Pass:</w:t>
      </w:r>
      <w:r>
        <w:t xml:space="preserve"> no exact real-record     matches, uniqueness/k-anonymity signals within the agreed threshold. </w:t>
      </w:r>
      <w:r>
        <w:rPr>
          <w:b/>
        </w:rPr>
        <w:t>Fail:</w:t>
      </w:r>
      <w:r>
        <w:t xml:space="preserve"> any signal     over threshold. *(Evidence only — acceptance is deferred to privacy/compliance.)*</w:t>
      </w:r>
    </w:p>
    <w:p>
      <w:pPr>
        <w:pStyle w:val="ListNumber"/>
      </w:pPr>
      <w:r>
        <w:rPr>
          <w:b/>
        </w:rPr>
        <w:t>Gate F — Portability/lock-in.</w:t>
      </w:r>
      <w:r>
        <w:t xml:space="preserve"> Run </w:t>
      </w:r>
      <w:r>
        <w:rPr>
          <w:rFonts w:ascii="Consolas" w:hAnsi="Consolas"/>
          <w:sz w:val="19"/>
        </w:rPr>
        <w:t>portability_lockin_assessor.py</w:t>
      </w:r>
      <w:r>
        <w:t xml:space="preserve"> against the</w:t>
      </w:r>
    </w:p>
    <w:p>
      <w:r>
        <w:t xml:space="preserve">    </w:t>
      </w:r>
      <w:r>
        <w:rPr>
          <w:rFonts w:ascii="Consolas" w:hAnsi="Consolas"/>
          <w:sz w:val="19"/>
        </w:rPr>
        <w:t>Portability &amp; Exit Plan</w:t>
      </w:r>
      <w:r>
        <w:t xml:space="preserve"> and the contract. </w:t>
      </w:r>
      <w:r>
        <w:rPr>
          <w:b/>
        </w:rPr>
        <w:t>Pass:</w:t>
      </w:r>
      <w:r>
        <w:t xml:space="preserve"> portability score at/above the agreed     minimum, exit path documented and exercised (a test export succeeds). </w:t>
      </w:r>
      <w:r>
        <w:rPr>
          <w:b/>
        </w:rPr>
        <w:t>Fail:</w:t>
      </w:r>
      <w:r>
        <w:t xml:space="preserve"> score below     minimum or no working export.</w:t>
      </w:r>
    </w:p>
    <w:p>
      <w:pPr>
        <w:pStyle w:val="ListNumber"/>
      </w:pPr>
      <w:r>
        <w:rPr>
          <w:b/>
        </w:rPr>
        <w:t>Gate summary.</w:t>
      </w:r>
      <w:r>
        <w:t xml:space="preserve"> All of Gates B–F must pass to proceed. Attach the tool outputs to</w:t>
      </w:r>
    </w:p>
    <w:p>
      <w:r>
        <w:t xml:space="preserve">    </w:t>
      </w:r>
      <w:r>
        <w:rPr>
          <w:rFonts w:ascii="Consolas" w:hAnsi="Consolas"/>
          <w:sz w:val="19"/>
        </w:rPr>
        <w:t>Integration Validation – Pilot – v1</w:t>
      </w:r>
      <w:r>
        <w:t xml:space="preserve"> and obtain the governance sign-off recorded there.</w:t>
      </w:r>
    </w:p>
    <w:p>
      <w:pPr>
        <w:pStyle w:val="Heading2"/>
      </w:pPr>
      <w:r>
        <w:t>Stage 5 — Expand</w:t>
      </w:r>
    </w:p>
    <w:p>
      <w:pPr>
        <w:pStyle w:val="ListNumber"/>
      </w:pPr>
      <w:r>
        <w:t xml:space="preserve">With the pilot passing all gates, extend the </w:t>
      </w:r>
      <w:r>
        <w:rPr>
          <w:b/>
        </w:rPr>
        <w:t>same</w:t>
      </w:r>
      <w:r>
        <w:t xml:space="preserve"> contract + adapter pattern to the</w:t>
      </w:r>
    </w:p>
    <w:p>
      <w:r>
        <w:t xml:space="preserve">    next domain, program, or a second vendor. Reuse the exact artifact names, incrementing the     scope/stage (e.g. </w:t>
      </w:r>
      <w:r>
        <w:rPr>
          <w:rFonts w:ascii="Consolas" w:hAnsi="Consolas"/>
          <w:sz w:val="19"/>
        </w:rPr>
        <w:t>Vendor Output – Cardiology – v1</w:t>
      </w:r>
      <w:r>
        <w:t xml:space="preserve">, </w:t>
      </w:r>
      <w:r>
        <w:rPr>
          <w:rFonts w:ascii="Consolas" w:hAnsi="Consolas"/>
          <w:sz w:val="19"/>
        </w:rPr>
        <w:t>Integration Contract – &lt;Second     Vendor&gt; – Design</w:t>
      </w:r>
      <w:r>
        <w:t>). Re-run Gates B–F for each expansion.</w:t>
      </w:r>
    </w:p>
    <w:p>
      <w:pPr>
        <w:pStyle w:val="ListNumber"/>
      </w:pPr>
      <w:r>
        <w:t xml:space="preserve">Maintain a </w:t>
      </w:r>
      <w:r>
        <w:rPr>
          <w:b/>
        </w:rPr>
        <w:t>vendor register</w:t>
      </w:r>
      <w:r>
        <w:t xml:space="preserve"> linking each integrated capability to its contract,</w:t>
      </w:r>
    </w:p>
    <w:p>
      <w:r>
        <w:t xml:space="preserve">    adapters, portability/exit plan, and latest validation — so partner capabilities stay     consistently governed and portable across programs.</w:t>
      </w:r>
    </w:p>
    <w:p>
      <w:pPr>
        <w:pStyle w:val="Heading1"/>
      </w:pPr>
      <w:r>
        <w:t>Testing &amp; Validation</w:t>
      </w:r>
    </w:p>
    <w:p>
      <w:r>
        <w:t xml:space="preserve">These procedures are the pass/fail gates for a partner integration. Run them on </w:t>
      </w:r>
      <w:r>
        <w:rPr>
          <w:rFonts w:ascii="Consolas" w:hAnsi="Consolas"/>
          <w:sz w:val="19"/>
        </w:rPr>
        <w:t>Vendor Output – Pilot – v1</w:t>
      </w:r>
      <w:r>
        <w:t xml:space="preserve"> (and on each expansion) and record results in </w:t>
      </w:r>
      <w:r>
        <w:rPr>
          <w:rFonts w:ascii="Consolas" w:hAnsi="Consolas"/>
          <w:sz w:val="19"/>
        </w:rPr>
        <w:t>Integration Validation – Pilot – v1</w:t>
      </w:r>
      <w:r>
        <w:t xml:space="preserve">. Each gate has an explicit </w:t>
      </w:r>
      <w:r>
        <w:rPr>
          <w:b/>
        </w:rPr>
        <w:t>expected pass/fail</w:t>
      </w:r>
      <w:r>
        <w:t xml:space="preserve">. Privacy and fidelity gates produce </w:t>
      </w:r>
      <w:r>
        <w:rPr>
          <w:b/>
        </w:rPr>
        <w:t>evidence</w:t>
      </w:r>
      <w:r>
        <w:t xml:space="preserve">; the regulatory/disclosure </w:t>
      </w:r>
      <w:r>
        <w:rPr>
          <w:b/>
        </w:rPr>
        <w:t>acceptance</w:t>
      </w:r>
      <w:r>
        <w:t xml:space="preserve"> is deferred to the organization's privacy, compliance, and legal functions.</w:t>
      </w:r>
    </w:p>
    <w:p>
      <w:pPr>
        <w:ind w:left="432"/>
      </w:pPr>
      <w:r>
        <w:rPr>
          <w:i/>
          <w:color w:val="2E86C1"/>
        </w:rPr>
        <w:t>All validation runs in the isolated non-production environment. Never load real PHI into the shared harness/twin/AI test environment. The tools are safe-by-default (read-only or dry-run) and produce evidence, not approvals.</w:t>
      </w:r>
    </w:p>
    <w:p>
      <w:pPr>
        <w:pStyle w:val="Heading2"/>
      </w:pPr>
      <w:r>
        <w:t>Test 1 — Contract conformance (Gate B)</w:t>
      </w:r>
    </w:p>
    <w:p>
      <w:pPr>
        <w:pStyle w:val="ListBullet"/>
      </w:pPr>
      <w:r>
        <w:rPr>
          <w:b/>
        </w:rPr>
        <w:t>Purpose:</w:t>
      </w:r>
      <w:r>
        <w:t xml:space="preserve"> Confirm vendor output satisfies the declared target-model interface contract.</w:t>
      </w:r>
    </w:p>
    <w:p>
      <w:pPr>
        <w:pStyle w:val="ListBullet"/>
      </w:pPr>
      <w:r>
        <w:rPr>
          <w:b/>
        </w:rPr>
        <w:t>Tool:</w:t>
      </w:r>
      <w:r>
        <w:t xml:space="preserve"> `integration_contract_validator.py --contract "Integration Contract – &lt;Vendor</w:t>
      </w:r>
    </w:p>
    <w:p>
      <w:r>
        <w:t xml:space="preserve">  Capability&gt; – Design" --data &lt;Vendor Output – Pilot – v1&gt;`</w:t>
      </w:r>
    </w:p>
    <w:p>
      <w:pPr>
        <w:pStyle w:val="ListBullet"/>
      </w:pPr>
      <w:r>
        <w:rPr>
          <w:b/>
        </w:rPr>
        <w:t>Procedure:</w:t>
      </w:r>
      <w:r>
        <w:t xml:space="preserve"> Validate required entities, required fields, types, and identifier/reference</w:t>
      </w:r>
    </w:p>
    <w:p>
      <w:r>
        <w:t xml:space="preserve">  (foreign-key) rules against the contract.</w:t>
      </w:r>
    </w:p>
    <w:p>
      <w:pPr>
        <w:pStyle w:val="ListBullet"/>
      </w:pPr>
      <w:r>
        <w:rPr>
          <w:b/>
        </w:rPr>
        <w:t>Expected — PASS:</w:t>
      </w:r>
      <w:r>
        <w:t xml:space="preserve"> all required entities/fields present and typed correctly; every</w:t>
      </w:r>
    </w:p>
    <w:p>
      <w:r>
        <w:t xml:space="preserve">  reference resolves; zero contract violations.</w:t>
      </w:r>
    </w:p>
    <w:p>
      <w:pPr>
        <w:pStyle w:val="ListBullet"/>
      </w:pPr>
      <w:r>
        <w:rPr>
          <w:b/>
        </w:rPr>
        <w:t>Expected — FAIL:</w:t>
      </w:r>
      <w:r>
        <w:t xml:space="preserve"> any missing required field, wrong type, or unresolved reference. Fix in</w:t>
      </w:r>
    </w:p>
    <w:p>
      <w:r>
        <w:t xml:space="preserve">  the data-out adapter, re-run.</w:t>
      </w:r>
    </w:p>
    <w:p>
      <w:pPr>
        <w:pStyle w:val="Heading2"/>
      </w:pPr>
      <w:r>
        <w:t>Test 2 — Adapter conformance / round-trip (Gate C)</w:t>
      </w:r>
    </w:p>
    <w:p>
      <w:pPr>
        <w:pStyle w:val="ListBullet"/>
      </w:pPr>
      <w:r>
        <w:rPr>
          <w:b/>
        </w:rPr>
        <w:t>Purpose:</w:t>
      </w:r>
      <w:r>
        <w:t xml:space="preserve"> Confirm the data-in and data-out adapters are lossless for in-scope fields and</w:t>
      </w:r>
    </w:p>
    <w:p>
      <w:r>
        <w:t xml:space="preserve">  that no vendor-native shape leaks past the adapter boundary.</w:t>
      </w:r>
    </w:p>
    <w:p>
      <w:pPr>
        <w:pStyle w:val="ListBullet"/>
      </w:pPr>
      <w:r>
        <w:rPr>
          <w:b/>
        </w:rPr>
        <w:t>Tool:</w:t>
      </w:r>
      <w:r>
        <w:t xml:space="preserve"> </w:t>
      </w:r>
      <w:r>
        <w:rPr>
          <w:rFonts w:ascii="Consolas" w:hAnsi="Consolas"/>
          <w:sz w:val="19"/>
        </w:rPr>
        <w:t>adapter_conformance_checker.py --direction both --fixtures &lt;paired fixtures&gt;</w:t>
      </w:r>
    </w:p>
    <w:p>
      <w:pPr>
        <w:pStyle w:val="ListBullet"/>
      </w:pPr>
      <w:r>
        <w:rPr>
          <w:b/>
        </w:rPr>
        <w:t>Procedure:</w:t>
      </w:r>
      <w:r>
        <w:t xml:space="preserve"> Feed known fixtures through data-in → (vendor) → data-out and compare against</w:t>
      </w:r>
    </w:p>
    <w:p>
      <w:r>
        <w:t xml:space="preserve">  the expected target-model records; scan the output for vendor-native keys.</w:t>
      </w:r>
    </w:p>
    <w:p>
      <w:pPr>
        <w:pStyle w:val="ListBullet"/>
      </w:pPr>
      <w:r>
        <w:rPr>
          <w:b/>
        </w:rPr>
        <w:t>Expected — PASS:</w:t>
      </w:r>
      <w:r>
        <w:t xml:space="preserve"> in-scope fields round-trip without loss or type drift; no vendor-native</w:t>
      </w:r>
    </w:p>
    <w:p>
      <w:r>
        <w:t xml:space="preserve">  keys present in the harness-facing output.</w:t>
      </w:r>
    </w:p>
    <w:p>
      <w:pPr>
        <w:pStyle w:val="ListBullet"/>
      </w:pPr>
      <w:r>
        <w:rPr>
          <w:b/>
        </w:rPr>
        <w:t>Expected — FAIL:</w:t>
      </w:r>
      <w:r>
        <w:t xml:space="preserve"> any dropped/renamed in-scope field, type drift, or a leaked native key.</w:t>
      </w:r>
    </w:p>
    <w:p>
      <w:pPr>
        <w:pStyle w:val="Heading2"/>
      </w:pPr>
      <w:r>
        <w:t>Test 3 — Fidelity &amp; coverage (Gate D)</w:t>
      </w:r>
    </w:p>
    <w:p>
      <w:pPr>
        <w:pStyle w:val="ListBullet"/>
      </w:pPr>
      <w:r>
        <w:rPr>
          <w:b/>
        </w:rPr>
        <w:t>Purpose:</w:t>
      </w:r>
      <w:r>
        <w:t xml:space="preserve"> Confirm the vendor output is statistically credible against the reference and</w:t>
      </w:r>
    </w:p>
    <w:p>
      <w:r>
        <w:t xml:space="preserve">  covers the required scenarios/domains.</w:t>
      </w:r>
    </w:p>
    <w:p>
      <w:pPr>
        <w:pStyle w:val="ListBullet"/>
      </w:pPr>
      <w:r>
        <w:rPr>
          <w:b/>
        </w:rPr>
        <w:t>Procedure (documented comparison):</w:t>
      </w:r>
      <w:r>
        <w:t xml:space="preserve"> Compare in-scope column distributions of</w:t>
      </w:r>
    </w:p>
    <w:p>
      <w:r>
        <w:t xml:space="preserve">  </w:t>
      </w:r>
      <w:r>
        <w:rPr>
          <w:rFonts w:ascii="Consolas" w:hAnsi="Consolas"/>
          <w:sz w:val="19"/>
        </w:rPr>
        <w:t>Vendor Output – Pilot – v1</w:t>
      </w:r>
      <w:r>
        <w:t xml:space="preserve"> to the read-only reference (global Requirement 6) — e.g.   category frequencies and numeric summary statistics / divergence — and complete the required   scenario/domain </w:t>
      </w:r>
      <w:r>
        <w:rPr>
          <w:b/>
        </w:rPr>
        <w:t>coverage matrix</w:t>
      </w:r>
      <w:r>
        <w:t>. Record the metrics and the agreed tolerances alongside   the result. (This gate is procedural against your reference rather than a bundled tool, since   the reference and tolerances are organization-specific.)</w:t>
      </w:r>
    </w:p>
    <w:p>
      <w:pPr>
        <w:pStyle w:val="ListBullet"/>
      </w:pPr>
      <w:r>
        <w:rPr>
          <w:b/>
        </w:rPr>
        <w:t>Expected — PASS:</w:t>
      </w:r>
      <w:r>
        <w:t xml:space="preserve"> every required distribution within the agreed tolerance and all required</w:t>
      </w:r>
    </w:p>
    <w:p>
      <w:r>
        <w:t xml:space="preserve">  scenarios/domains covered.</w:t>
      </w:r>
    </w:p>
    <w:p>
      <w:pPr>
        <w:pStyle w:val="ListBullet"/>
      </w:pPr>
      <w:r>
        <w:rPr>
          <w:b/>
        </w:rPr>
        <w:t>Expected — FAIL:</w:t>
      </w:r>
      <w:r>
        <w:t xml:space="preserve"> any required metric outside tolerance or a coverage gap. Regenerate or</w:t>
      </w:r>
    </w:p>
    <w:p>
      <w:r>
        <w:t xml:space="preserve">  adjust scope; re-run.</w:t>
      </w:r>
    </w:p>
    <w:p>
      <w:pPr>
        <w:pStyle w:val="Heading2"/>
      </w:pPr>
      <w:r>
        <w:t>Test 4 — Privacy / disclosure-risk validation (Gate E)</w:t>
      </w:r>
    </w:p>
    <w:p>
      <w:pPr>
        <w:pStyle w:val="ListBullet"/>
      </w:pPr>
      <w:r>
        <w:rPr>
          <w:b/>
        </w:rPr>
        <w:t>Purpose:</w:t>
      </w:r>
      <w:r>
        <w:t xml:space="preserve"> Confirm vendor-produced synthetic output does not reproduce real records and its</w:t>
      </w:r>
    </w:p>
    <w:p>
      <w:r>
        <w:t xml:space="preserve">  disclosure-risk signals are within the agreed threshold.</w:t>
      </w:r>
    </w:p>
    <w:p>
      <w:pPr>
        <w:pStyle w:val="ListBullet"/>
      </w:pPr>
      <w:r>
        <w:rPr>
          <w:b/>
        </w:rPr>
        <w:t>Tool:</w:t>
      </w:r>
      <w:r>
        <w:t xml:space="preserve"> `privacy_validation_check.py --data &lt;Vendor Output – Pilot – v1&gt; --reference</w:t>
      </w:r>
    </w:p>
    <w:p>
      <w:r>
        <w:t xml:space="preserve">  &lt;read-only reference&gt; --quasi-identifiers &lt;QI list&gt; --k &lt;agreed k&gt;`</w:t>
      </w:r>
    </w:p>
    <w:p>
      <w:pPr>
        <w:pStyle w:val="ListBullet"/>
      </w:pPr>
      <w:r>
        <w:rPr>
          <w:b/>
        </w:rPr>
        <w:t>Procedure:</w:t>
      </w:r>
      <w:r>
        <w:t xml:space="preserve"> Check for exact matches against the read-only reference, compute</w:t>
      </w:r>
    </w:p>
    <w:p>
      <w:r>
        <w:t xml:space="preserve">  uniqueness / k-anonymity on the agreed quasi-identifiers, and flag any record below k.</w:t>
      </w:r>
    </w:p>
    <w:p>
      <w:pPr>
        <w:pStyle w:val="ListBullet"/>
      </w:pPr>
      <w:r>
        <w:rPr>
          <w:b/>
        </w:rPr>
        <w:t>Expected — PASS:</w:t>
      </w:r>
      <w:r>
        <w:t xml:space="preserve"> zero exact real-record matches; uniqueness/k-anonymity signals within</w:t>
      </w:r>
    </w:p>
    <w:p>
      <w:r>
        <w:t xml:space="preserve">  the agreed threshold.</w:t>
      </w:r>
    </w:p>
    <w:p>
      <w:pPr>
        <w:pStyle w:val="ListBullet"/>
      </w:pPr>
      <w:r>
        <w:rPr>
          <w:b/>
        </w:rPr>
        <w:t>Expected — FAIL:</w:t>
      </w:r>
      <w:r>
        <w:t xml:space="preserve"> any exact match or any signal over threshold. Quarantine the output;</w:t>
      </w:r>
    </w:p>
    <w:p>
      <w:r>
        <w:t xml:space="preserve">  escalate to privacy/governance. </w:t>
      </w:r>
      <w:r>
        <w:rPr>
          <w:b/>
        </w:rPr>
        <w:t>Acceptance of residual risk is deferred</w:t>
      </w:r>
      <w:r>
        <w:t xml:space="preserve"> to those   stakeholders — a PASS here is evidence, not a compliance determination.</w:t>
      </w:r>
    </w:p>
    <w:p>
      <w:pPr>
        <w:pStyle w:val="Heading2"/>
      </w:pPr>
      <w:r>
        <w:t>Test 5 — Portability / lock-in (Gate F)</w:t>
      </w:r>
    </w:p>
    <w:p>
      <w:pPr>
        <w:pStyle w:val="ListBullet"/>
      </w:pPr>
      <w:r>
        <w:rPr>
          <w:b/>
        </w:rPr>
        <w:t>Purpose:</w:t>
      </w:r>
      <w:r>
        <w:t xml:space="preserve"> Confirm the vendor remains replaceable — adapter isolation holds, the exit path</w:t>
      </w:r>
    </w:p>
    <w:p>
      <w:r>
        <w:t xml:space="preserve">  works, and the portability score meets the agreed minimum.</w:t>
      </w:r>
    </w:p>
    <w:p>
      <w:pPr>
        <w:pStyle w:val="ListBullet"/>
      </w:pPr>
      <w:r>
        <w:rPr>
          <w:b/>
        </w:rPr>
        <w:t>Tool:</w:t>
      </w:r>
      <w:r>
        <w:t xml:space="preserve"> `portability_lockin_assessor.py --plan "Portability &amp; Exit Plan – &lt;Vendor</w:t>
      </w:r>
    </w:p>
    <w:p>
      <w:r>
        <w:t xml:space="preserve">  Capability&gt; – Design" --contract "Integration Contract – &lt;Vendor Capability&gt; – Design"`</w:t>
      </w:r>
    </w:p>
    <w:p>
      <w:pPr>
        <w:pStyle w:val="ListBullet"/>
      </w:pPr>
      <w:r>
        <w:rPr>
          <w:b/>
        </w:rPr>
        <w:t>Procedure:</w:t>
      </w:r>
      <w:r>
        <w:t xml:space="preserve"> Score the anti-lock-in criteria (open target model, exportable artifacts,</w:t>
      </w:r>
    </w:p>
    <w:p>
      <w:r>
        <w:t xml:space="preserve">  adapter isolation, documented exit, exit cost) and exercise a </w:t>
      </w:r>
      <w:r>
        <w:rPr>
          <w:b/>
        </w:rPr>
        <w:t>test export</w:t>
      </w:r>
      <w:r>
        <w:t xml:space="preserve"> of the vendor   output to a portable format.</w:t>
      </w:r>
    </w:p>
    <w:p>
      <w:pPr>
        <w:pStyle w:val="ListBullet"/>
      </w:pPr>
      <w:r>
        <w:rPr>
          <w:b/>
        </w:rPr>
        <w:t>Expected — PASS:</w:t>
      </w:r>
      <w:r>
        <w:t xml:space="preserve"> portability score at/above the agreed minimum </w:t>
      </w:r>
      <w:r>
        <w:rPr>
          <w:b/>
        </w:rPr>
        <w:t>and</w:t>
      </w:r>
      <w:r>
        <w:t xml:space="preserve"> the test export</w:t>
      </w:r>
    </w:p>
    <w:p>
      <w:r>
        <w:t xml:space="preserve">  succeeds (output re-loads without vendor tooling).</w:t>
      </w:r>
    </w:p>
    <w:p>
      <w:pPr>
        <w:pStyle w:val="ListBullet"/>
      </w:pPr>
      <w:r>
        <w:rPr>
          <w:b/>
        </w:rPr>
        <w:t>Expected — FAIL:</w:t>
      </w:r>
      <w:r>
        <w:t xml:space="preserve"> score below minimum or the export cannot be produced/re-loaded. Improve</w:t>
      </w:r>
    </w:p>
    <w:p>
      <w:r>
        <w:t xml:space="preserve">  adapter isolation / negotiate exit terms before expanding.</w:t>
      </w:r>
    </w:p>
    <w:p>
      <w:pPr>
        <w:pStyle w:val="Heading2"/>
      </w:pPr>
      <w:r>
        <w:t>Gate summary &amp; rollback</w:t>
      </w:r>
    </w:p>
    <w:p>
      <w:pPr>
        <w:pStyle w:val="ListBullet"/>
      </w:pPr>
      <w:r>
        <w:rPr>
          <w:b/>
        </w:rPr>
        <w:t>All of Gates B–F must PASS</w:t>
      </w:r>
      <w:r>
        <w:t xml:space="preserve"> before expansion (Implementation Stage 5).</w:t>
      </w:r>
    </w:p>
    <w:p>
      <w:pPr>
        <w:pStyle w:val="ListBullet"/>
      </w:pPr>
      <w:r>
        <w:t xml:space="preserve">A failed gate </w:t>
      </w:r>
      <w:r>
        <w:rPr>
          <w:b/>
        </w:rPr>
        <w:t>blocks expansion</w:t>
      </w:r>
      <w:r>
        <w:t xml:space="preserve"> and triggers the documented </w:t>
      </w:r>
      <w:r>
        <w:rPr>
          <w:b/>
        </w:rPr>
        <w:t>rollback</w:t>
      </w:r>
      <w:r>
        <w:t xml:space="preserve"> (revert to the</w:t>
      </w:r>
    </w:p>
    <w:p>
      <w:r>
        <w:t xml:space="preserve">  prior vendor/state, quarantine </w:t>
      </w:r>
      <w:r>
        <w:rPr>
          <w:rFonts w:ascii="Consolas" w:hAnsi="Consolas"/>
          <w:sz w:val="19"/>
        </w:rPr>
        <w:t>Vendor Output – Pilot – v1</w:t>
      </w:r>
      <w:r>
        <w:t>).</w:t>
      </w:r>
    </w:p>
    <w:p>
      <w:pPr>
        <w:pStyle w:val="ListBullet"/>
      </w:pPr>
      <w:r>
        <w:t>Record every gate result, the tool output, and the governance sign-off in</w:t>
      </w:r>
    </w:p>
    <w:p>
      <w:r>
        <w:t xml:space="preserve">  </w:t>
      </w:r>
      <w:r>
        <w:rPr>
          <w:rFonts w:ascii="Consolas" w:hAnsi="Consolas"/>
          <w:sz w:val="19"/>
        </w:rPr>
        <w:t>Integration Validation – Pilot – v1</w:t>
      </w:r>
      <w:r>
        <w:t>.</w:t>
      </w:r>
    </w:p>
    <w:p>
      <w:pPr>
        <w:pStyle w:val="Heading1"/>
      </w:pPr>
      <w:r>
        <w:t>Troubleshooting</w:t>
      </w:r>
    </w:p>
    <w:p>
      <w:r>
        <w:t xml:space="preserve">Common failure modes when evaluating and integrating partner digital-twin / synthetic-data capabilities, and how to resolve them. All work stays in the </w:t>
      </w:r>
      <w:r>
        <w:rPr>
          <w:b/>
        </w:rPr>
        <w:t>isolated non-production environment</w:t>
      </w:r>
      <w:r>
        <w:t xml:space="preserve">; </w:t>
      </w:r>
      <w:r>
        <w:rPr>
          <w:b/>
        </w:rPr>
        <w:t>never</w:t>
      </w:r>
      <w:r>
        <w:t xml:space="preserve"> load real PHI into the shared harness/twin/AI test environment.</w:t>
      </w:r>
    </w:p>
    <w:p>
      <w:pPr>
        <w:pStyle w:val="Heading2"/>
      </w:pPr>
      <w:r>
        <w:t>Gate A — no candidate clears the selection threshold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vendor_evaluation_scorecard.py</w:t>
      </w:r>
      <w:r>
        <w:t xml:space="preserve"> reports every candidate BELOW-THRESHOLD.</w:t>
      </w:r>
    </w:p>
    <w:p>
      <w:pPr>
        <w:pStyle w:val="ListBullet"/>
      </w:pPr>
      <w:r>
        <w:rPr>
          <w:b/>
        </w:rPr>
        <w:t>Likely causes:</w:t>
      </w:r>
      <w:r>
        <w:t xml:space="preserve"> thresholds/weights set too strict; or several candidates scored 0 on</w:t>
      </w:r>
    </w:p>
    <w:p>
      <w:r>
        <w:t xml:space="preserve">  criteria only because </w:t>
      </w:r>
      <w:r>
        <w:rPr>
          <w:b/>
        </w:rPr>
        <w:t>evidence was missing</w:t>
      </w:r>
      <w:r>
        <w:t xml:space="preserve"> (shown in the </w:t>
      </w:r>
      <w:r>
        <w:rPr>
          <w:rFonts w:ascii="Consolas" w:hAnsi="Consolas"/>
          <w:sz w:val="19"/>
        </w:rPr>
        <w:t>missing</w:t>
      </w:r>
      <w:r>
        <w:t xml:space="preserve"> column).</w:t>
      </w:r>
    </w:p>
    <w:p>
      <w:pPr>
        <w:pStyle w:val="ListBullet"/>
      </w:pPr>
      <w:r>
        <w:rPr>
          <w:b/>
        </w:rPr>
        <w:t>Resolution:</w:t>
      </w:r>
      <w:r>
        <w:t xml:space="preserve"> First close the *missing-evidence* gaps — request the sample output, schema,</w:t>
      </w:r>
    </w:p>
    <w:p>
      <w:r>
        <w:t xml:space="preserve">  or export terms and re-score (missing evidence is scored as 0 by design). If genuine scores   are still low, revisit the candidate set with governance rather than lowering the agreed   threshold post-hoc.</w:t>
      </w:r>
    </w:p>
    <w:p>
      <w:pPr>
        <w:pStyle w:val="Heading2"/>
      </w:pPr>
      <w:r>
        <w:t>Scorecard weights don't sum to 1.0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NOTE: weights sum to X; normalizing to 1.0</w:t>
      </w:r>
      <w:r>
        <w:t xml:space="preserve"> on stderr.</w:t>
      </w:r>
    </w:p>
    <w:p>
      <w:pPr>
        <w:pStyle w:val="ListBullet"/>
      </w:pPr>
      <w:r>
        <w:rPr>
          <w:b/>
        </w:rPr>
        <w:t>Cause:</w:t>
      </w:r>
      <w:r>
        <w:t xml:space="preserve"> the </w:t>
      </w:r>
      <w:r>
        <w:rPr>
          <w:rFonts w:ascii="Consolas" w:hAnsi="Consolas"/>
          <w:sz w:val="19"/>
        </w:rPr>
        <w:t>--criteria</w:t>
      </w:r>
      <w:r>
        <w:t xml:space="preserve"> file weights don't total 1.0.</w:t>
      </w:r>
    </w:p>
    <w:p>
      <w:pPr>
        <w:pStyle w:val="ListBullet"/>
      </w:pPr>
      <w:r>
        <w:rPr>
          <w:b/>
        </w:rPr>
        <w:t>Resolution:</w:t>
      </w:r>
      <w:r>
        <w:t xml:space="preserve"> The tool normalizes automatically, but fix the criteria file so the agreed</w:t>
      </w:r>
    </w:p>
    <w:p>
      <w:r>
        <w:t xml:space="preserve">  weights are explicit and auditable — selection defensibility depends on the agreed weights.</w:t>
      </w:r>
    </w:p>
    <w:p>
      <w:pPr>
        <w:pStyle w:val="Heading2"/>
      </w:pPr>
      <w:r>
        <w:t>Contract file invalid (before any data)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CONTRACT INVALID</w:t>
      </w:r>
      <w:r>
        <w:t xml:space="preserve"> with messages like "type not in …" or "reference to unknown</w:t>
      </w:r>
    </w:p>
    <w:p>
      <w:r>
        <w:t xml:space="preserve">  entity".</w:t>
      </w:r>
    </w:p>
    <w:p>
      <w:pPr>
        <w:pStyle w:val="ListBullet"/>
      </w:pPr>
      <w:r>
        <w:rPr>
          <w:b/>
        </w:rPr>
        <w:t>Causes:</w:t>
      </w:r>
      <w:r>
        <w:t xml:space="preserve"> a field type outside the allowed set (`string, integer, number, boolean, date,</w:t>
      </w:r>
    </w:p>
    <w:p>
      <w:r>
        <w:t xml:space="preserve">  datetime`); a reference pointing at an entity not declared in the contract.</w:t>
      </w:r>
    </w:p>
    <w:p>
      <w:pPr>
        <w:pStyle w:val="ListBullet"/>
      </w:pPr>
      <w:r>
        <w:rPr>
          <w:b/>
        </w:rPr>
        <w:t>Resolution:</w:t>
      </w:r>
      <w:r>
        <w:t xml:space="preserve"> Correct the interface-contract JSON. Every referenced entity must be declared,</w:t>
      </w:r>
    </w:p>
    <w:p>
      <w:r>
        <w:t xml:space="preserve">  and every field must use an allowed type. Re-run </w:t>
      </w:r>
      <w:r>
        <w:rPr>
          <w:rFonts w:ascii="Consolas" w:hAnsi="Consolas"/>
          <w:sz w:val="19"/>
        </w:rPr>
        <w:t>integration_contract_validator.py --contract   ...</w:t>
      </w:r>
      <w:r>
        <w:t xml:space="preserve"> until you get </w:t>
      </w:r>
      <w:r>
        <w:rPr>
          <w:rFonts w:ascii="Consolas" w:hAnsi="Consolas"/>
          <w:sz w:val="19"/>
        </w:rPr>
        <w:t>CONTRACT OK</w:t>
      </w:r>
      <w:r>
        <w:t>.</w:t>
      </w:r>
    </w:p>
    <w:p>
      <w:pPr>
        <w:pStyle w:val="Heading2"/>
      </w:pPr>
      <w:r>
        <w:t>Gate B FAIL — missing fields or broken references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GATE B: FAIL</w:t>
      </w:r>
      <w:r>
        <w:t xml:space="preserve"> listing missing required fields, wrong types, or</w:t>
      </w:r>
    </w:p>
    <w:p>
      <w:r>
        <w:t xml:space="preserve">  </w:t>
      </w:r>
      <w:r>
        <w:rPr>
          <w:rFonts w:ascii="Consolas" w:hAnsi="Consolas"/>
          <w:sz w:val="19"/>
        </w:rPr>
        <w:t>…has no matching &lt;Entity&gt;.&lt;key&gt;</w:t>
      </w:r>
      <w:r>
        <w:t>.</w:t>
      </w:r>
    </w:p>
    <w:p>
      <w:pPr>
        <w:pStyle w:val="ListBullet"/>
      </w:pPr>
      <w:r>
        <w:rPr>
          <w:b/>
        </w:rPr>
        <w:t>Cause:</w:t>
      </w:r>
      <w:r>
        <w:t xml:space="preserve"> the vendor's native output isn't fully mapped to the target model, or referential</w:t>
      </w:r>
    </w:p>
    <w:p>
      <w:r>
        <w:t xml:space="preserve">  integrity is broken in the mapping.</w:t>
      </w:r>
    </w:p>
    <w:p>
      <w:pPr>
        <w:pStyle w:val="ListBullet"/>
      </w:pPr>
      <w:r>
        <w:rPr>
          <w:b/>
        </w:rPr>
        <w:t>Resolution:</w:t>
      </w:r>
      <w:r>
        <w:t xml:space="preserve"> Fix the </w:t>
      </w:r>
      <w:r>
        <w:rPr>
          <w:b/>
        </w:rPr>
        <w:t>data-out adapter</w:t>
      </w:r>
      <w:r>
        <w:t xml:space="preserve"> (not the harness): map the missing/renamed</w:t>
      </w:r>
    </w:p>
    <w:p>
      <w:r>
        <w:t xml:space="preserve">  fields, coerce types, and ensure foreign keys resolve. Re-run against </w:t>
      </w:r>
      <w:r>
        <w:rPr>
          <w:rFonts w:ascii="Consolas" w:hAnsi="Consolas"/>
          <w:sz w:val="19"/>
        </w:rPr>
        <w:t>Vendor Output – Pilot   – v1</w:t>
      </w:r>
      <w:r>
        <w:t xml:space="preserve">. Do </w:t>
      </w:r>
      <w:r>
        <w:rPr>
          <w:b/>
        </w:rPr>
        <w:t>not</w:t>
      </w:r>
      <w:r>
        <w:t xml:space="preserve"> relax the contract to make output pass — that erodes portability.</w:t>
      </w:r>
    </w:p>
    <w:p>
      <w:pPr>
        <w:pStyle w:val="Heading2"/>
      </w:pPr>
      <w:r>
        <w:t>Gate C FAIL — vendor-native shape leaking into the harness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adapter_conformance_checker.py</w:t>
      </w:r>
      <w:r>
        <w:t xml:space="preserve"> reports </w:t>
      </w:r>
      <w:r>
        <w:rPr>
          <w:rFonts w:ascii="Consolas" w:hAnsi="Consolas"/>
          <w:sz w:val="19"/>
        </w:rPr>
        <w:t>vendor-native leak: [...]</w:t>
      </w:r>
      <w:r>
        <w:t xml:space="preserve"> or lost/</w:t>
      </w:r>
    </w:p>
    <w:p>
      <w:r>
        <w:t xml:space="preserve">  drifted in-scope fields.</w:t>
      </w:r>
    </w:p>
    <w:p>
      <w:pPr>
        <w:pStyle w:val="ListBullet"/>
      </w:pPr>
      <w:r>
        <w:rPr>
          <w:b/>
        </w:rPr>
        <w:t>Cause:</w:t>
      </w:r>
      <w:r>
        <w:t xml:space="preserve"> the adapter is passing vendor-native keys straight through, or dropping/renaming</w:t>
      </w:r>
    </w:p>
    <w:p>
      <w:r>
        <w:t xml:space="preserve">  in-scope fields — the classic lock-in defect.</w:t>
      </w:r>
    </w:p>
    <w:p>
      <w:pPr>
        <w:pStyle w:val="ListBullet"/>
      </w:pPr>
      <w:r>
        <w:rPr>
          <w:b/>
        </w:rPr>
        <w:t>Resolution:</w:t>
      </w:r>
      <w:r>
        <w:t xml:space="preserve"> Make the data-out adapter emit </w:t>
      </w:r>
      <w:r>
        <w:rPr>
          <w:b/>
        </w:rPr>
        <w:t>only</w:t>
      </w:r>
      <w:r>
        <w:t xml:space="preserve"> target-model keys; strip vendor-native</w:t>
      </w:r>
    </w:p>
    <w:p>
      <w:r>
        <w:t xml:space="preserve">  keys (and anything prefixed to look native). Restore any lost in-scope fields. Keep the   adapter thin — no business logic. Re-run until </w:t>
      </w:r>
      <w:r>
        <w:rPr>
          <w:rFonts w:ascii="Consolas" w:hAnsi="Consolas"/>
          <w:sz w:val="19"/>
        </w:rPr>
        <w:t>GATE C: PASS</w:t>
      </w:r>
      <w:r>
        <w:t>.</w:t>
      </w:r>
    </w:p>
    <w:p>
      <w:pPr>
        <w:pStyle w:val="Heading2"/>
      </w:pPr>
      <w:r>
        <w:t>Gate D — fidelity below tolerance or coverage gaps</w:t>
      </w:r>
    </w:p>
    <w:p>
      <w:pPr>
        <w:pStyle w:val="ListBullet"/>
      </w:pPr>
      <w:r>
        <w:rPr>
          <w:b/>
        </w:rPr>
        <w:t>Symptom:</w:t>
      </w:r>
      <w:r>
        <w:t xml:space="preserve"> an in-scope distribution is outside the agreed tolerance, or a required</w:t>
      </w:r>
    </w:p>
    <w:p>
      <w:r>
        <w:t xml:space="preserve">  scenario/domain isn't present.</w:t>
      </w:r>
    </w:p>
    <w:p>
      <w:pPr>
        <w:pStyle w:val="ListBullet"/>
      </w:pPr>
      <w:r>
        <w:rPr>
          <w:b/>
        </w:rPr>
        <w:t>Causes:</w:t>
      </w:r>
      <w:r>
        <w:t xml:space="preserve"> vendor configuration/seed doesn't match the reference population; scenario suite</w:t>
      </w:r>
    </w:p>
    <w:p>
      <w:r>
        <w:t xml:space="preserve">  under-specified; or the reference itself is unrepresentative.</w:t>
      </w:r>
    </w:p>
    <w:p>
      <w:pPr>
        <w:pStyle w:val="ListBullet"/>
      </w:pPr>
      <w:r>
        <w:rPr>
          <w:b/>
        </w:rPr>
        <w:t>Resolution:</w:t>
      </w:r>
      <w:r>
        <w:t xml:space="preserve"> Re-configure the vendor generation/scenario parameters toward the reference,</w:t>
      </w:r>
    </w:p>
    <w:p>
      <w:r>
        <w:t xml:space="preserve">  or expand the scenario suite for the missing coverage. If the </w:t>
      </w:r>
      <w:r>
        <w:rPr>
          <w:b/>
        </w:rPr>
        <w:t>reference</w:t>
      </w:r>
      <w:r>
        <w:t xml:space="preserve"> is the problem,   agree a better reference or reference distributions with governance (global Requirement 6)   before asserting fidelity.</w:t>
      </w:r>
    </w:p>
    <w:p>
      <w:pPr>
        <w:pStyle w:val="Heading2"/>
      </w:pPr>
      <w:r>
        <w:t>Gate E FAIL — exact matches or below-k records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privacy_validation_check.py</w:t>
      </w:r>
      <w:r>
        <w:t xml:space="preserve"> reports exact QI-matches against the reference or</w:t>
      </w:r>
    </w:p>
    <w:p>
      <w:r>
        <w:t xml:space="preserve">  QI groups below k.</w:t>
      </w:r>
    </w:p>
    <w:p>
      <w:pPr>
        <w:pStyle w:val="ListBullet"/>
      </w:pPr>
      <w:r>
        <w:rPr>
          <w:b/>
        </w:rPr>
        <w:t>Causes:</w:t>
      </w:r>
      <w:r>
        <w:t xml:space="preserve"> the vendor output memorized/reproduced real records; or quasi-identifier</w:t>
      </w:r>
    </w:p>
    <w:p>
      <w:r>
        <w:t xml:space="preserve">  combinations are too granular (e.g. full ZIP + exact DOB).</w:t>
      </w:r>
    </w:p>
    <w:p>
      <w:pPr>
        <w:pStyle w:val="ListBullet"/>
      </w:pPr>
      <w:r>
        <w:rPr>
          <w:b/>
        </w:rPr>
        <w:t>Resolution:</w:t>
      </w:r>
      <w:r>
        <w:t xml:space="preserve"> Quarantine the output. Reduce granularity (generalize QIs), regenerate, and</w:t>
      </w:r>
    </w:p>
    <w:p>
      <w:r>
        <w:t xml:space="preserve">  re-run. Escalate any exact match to privacy/governance. Remember: a PASS is </w:t>
      </w:r>
      <w:r>
        <w:rPr>
          <w:b/>
        </w:rPr>
        <w:t>evidence</w:t>
      </w:r>
      <w:r>
        <w:t xml:space="preserve"> —   the disclosure-risk </w:t>
      </w:r>
      <w:r>
        <w:rPr>
          <w:b/>
        </w:rPr>
        <w:t>acceptance is deferred</w:t>
      </w:r>
      <w:r>
        <w:t xml:space="preserve"> to privacy/compliance/legal, never inferred   from a green result.</w:t>
      </w:r>
    </w:p>
    <w:p>
      <w:pPr>
        <w:pStyle w:val="ListBullet"/>
      </w:pPr>
      <w:r>
        <w:rPr>
          <w:b/>
        </w:rPr>
        <w:t>Also:</w:t>
      </w:r>
      <w:r>
        <w:t xml:space="preserve"> ensure </w:t>
      </w:r>
      <w:r>
        <w:rPr>
          <w:rFonts w:ascii="Consolas" w:hAnsi="Consolas"/>
          <w:sz w:val="19"/>
        </w:rPr>
        <w:t>--reference</w:t>
      </w:r>
      <w:r>
        <w:t xml:space="preserve"> points at a </w:t>
      </w:r>
      <w:r>
        <w:rPr>
          <w:b/>
        </w:rPr>
        <w:t>read-only, minimized, governed</w:t>
      </w:r>
      <w:r>
        <w:t xml:space="preserve"> copy — never</w:t>
      </w:r>
    </w:p>
    <w:p>
      <w:r>
        <w:t xml:space="preserve">  load real PHI into the shared harness to run this check.</w:t>
      </w:r>
    </w:p>
    <w:p>
      <w:pPr>
        <w:pStyle w:val="Heading2"/>
      </w:pPr>
      <w:r>
        <w:t>Gate F FAIL — low portability score or export won't re-load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portability_lockin_assessor.py</w:t>
      </w:r>
      <w:r>
        <w:t xml:space="preserve"> reports a score below the minimum, a MISSING</w:t>
      </w:r>
    </w:p>
    <w:p>
      <w:r>
        <w:t xml:space="preserve">  criterion, or </w:t>
      </w:r>
      <w:r>
        <w:rPr>
          <w:rFonts w:ascii="Consolas" w:hAnsi="Consolas"/>
          <w:sz w:val="19"/>
        </w:rPr>
        <w:t>test export … FAILED to re-load</w:t>
      </w:r>
      <w:r>
        <w:t>.</w:t>
      </w:r>
    </w:p>
    <w:p>
      <w:pPr>
        <w:pStyle w:val="ListBullet"/>
      </w:pPr>
      <w:r>
        <w:rPr>
          <w:b/>
        </w:rPr>
        <w:t>Causes:</w:t>
      </w:r>
      <w:r>
        <w:t xml:space="preserve"> vendor code not isolated to the two adapters; output only available in a</w:t>
      </w:r>
    </w:p>
    <w:p>
      <w:r>
        <w:t xml:space="preserve">  proprietary format; no documented exit; or the exit was never actually exercised.</w:t>
      </w:r>
    </w:p>
    <w:p>
      <w:pPr>
        <w:pStyle w:val="ListBullet"/>
      </w:pPr>
      <w:r>
        <w:rPr>
          <w:b/>
        </w:rPr>
        <w:t>Resolution:</w:t>
      </w:r>
      <w:r>
        <w:t xml:space="preserve"> Improve </w:t>
      </w:r>
      <w:r>
        <w:rPr>
          <w:b/>
        </w:rPr>
        <w:t>adapter isolation</w:t>
      </w:r>
      <w:r>
        <w:t xml:space="preserve"> (Gate C), obtain an open export path, and</w:t>
      </w:r>
    </w:p>
    <w:p>
      <w:r>
        <w:t xml:space="preserve">  document the exit/rollback in </w:t>
      </w:r>
      <w:r>
        <w:rPr>
          <w:rFonts w:ascii="Consolas" w:hAnsi="Consolas"/>
          <w:sz w:val="19"/>
        </w:rPr>
        <w:t>Portability &amp; Exit Plan – &lt;Vendor Capability&gt; – Design</w:t>
      </w:r>
      <w:r>
        <w:t xml:space="preserve">. Then   exercise a real export with </w:t>
      </w:r>
      <w:r>
        <w:rPr>
          <w:rFonts w:ascii="Consolas" w:hAnsi="Consolas"/>
          <w:sz w:val="19"/>
        </w:rPr>
        <w:t>--data</w:t>
      </w:r>
      <w:r>
        <w:t xml:space="preserve"> + </w:t>
      </w:r>
      <w:r>
        <w:rPr>
          <w:rFonts w:ascii="Consolas" w:hAnsi="Consolas"/>
          <w:sz w:val="19"/>
        </w:rPr>
        <w:t>--export-out</w:t>
      </w:r>
      <w:r>
        <w:t xml:space="preserve"> and confirm it re-loads </w:t>
      </w:r>
      <w:r>
        <w:rPr>
          <w:b/>
        </w:rPr>
        <w:t>without vendor   tooling</w:t>
      </w:r>
      <w:r>
        <w:t>. A score that has never produced a working export does not pass.</w:t>
      </w:r>
    </w:p>
    <w:p>
      <w:pPr>
        <w:pStyle w:val="Heading2"/>
      </w:pPr>
      <w:r>
        <w:t>A gate passes but the vendor still feels "sticky" across programs</w:t>
      </w:r>
    </w:p>
    <w:p>
      <w:pPr>
        <w:pStyle w:val="ListBullet"/>
      </w:pPr>
      <w:r>
        <w:rPr>
          <w:b/>
        </w:rPr>
        <w:t>Symptom:</w:t>
      </w:r>
      <w:r>
        <w:t xml:space="preserve"> integrations work but each new program re-wires the vendor differently.</w:t>
      </w:r>
    </w:p>
    <w:p>
      <w:pPr>
        <w:pStyle w:val="ListBullet"/>
      </w:pPr>
      <w:r>
        <w:rPr>
          <w:b/>
        </w:rPr>
        <w:t>Cause:</w:t>
      </w:r>
      <w:r>
        <w:t xml:space="preserve"> the contract + adapter pattern isn't being reused; no central register.</w:t>
      </w:r>
    </w:p>
    <w:p>
      <w:pPr>
        <w:pStyle w:val="ListBullet"/>
      </w:pPr>
      <w:r>
        <w:rPr>
          <w:b/>
        </w:rPr>
        <w:t>Resolution:</w:t>
      </w:r>
      <w:r>
        <w:t xml:space="preserve"> Reuse the exact </w:t>
      </w:r>
      <w:r>
        <w:rPr>
          <w:rFonts w:ascii="Consolas" w:hAnsi="Consolas"/>
          <w:sz w:val="19"/>
        </w:rPr>
        <w:t>Integration Contract</w:t>
      </w:r>
      <w:r>
        <w:t xml:space="preserve"> + adapter pattern on every expansion</w:t>
      </w:r>
    </w:p>
    <w:p>
      <w:r>
        <w:t xml:space="preserve">  and maintain the </w:t>
      </w:r>
      <w:r>
        <w:rPr>
          <w:b/>
        </w:rPr>
        <w:t>vendor register</w:t>
      </w:r>
      <w:r>
        <w:t xml:space="preserve"> linking each capability to its contract, adapters,   exit plan, and latest validation (Implementation Stage 5). Consistency across programs is a   governance practice, not an automatic outcome.</w:t>
      </w:r>
    </w:p>
    <w:p>
      <w:pPr>
        <w:pStyle w:val="Heading2"/>
      </w:pPr>
      <w:r>
        <w:t>Version drift after a vendor upgrade</w:t>
      </w:r>
    </w:p>
    <w:p>
      <w:pPr>
        <w:pStyle w:val="ListBullet"/>
      </w:pPr>
      <w:r>
        <w:rPr>
          <w:b/>
        </w:rPr>
        <w:t>Symptom:</w:t>
      </w:r>
      <w:r>
        <w:t xml:space="preserve"> a previously passing integration starts failing Gate B/C after the vendor updates.</w:t>
      </w:r>
    </w:p>
    <w:p>
      <w:pPr>
        <w:pStyle w:val="ListBullet"/>
      </w:pPr>
      <w:r>
        <w:rPr>
          <w:b/>
        </w:rPr>
        <w:t>Cause:</w:t>
      </w:r>
      <w:r>
        <w:t xml:space="preserve"> the vendor changed its native output shape or export behavior.</w:t>
      </w:r>
    </w:p>
    <w:p>
      <w:pPr>
        <w:pStyle w:val="ListBullet"/>
      </w:pPr>
      <w:r>
        <w:rPr>
          <w:b/>
        </w:rPr>
        <w:t>Resolution:</w:t>
      </w:r>
      <w:r>
        <w:t xml:space="preserve"> Vendor capabilities are integrated at the </w:t>
      </w:r>
      <w:r>
        <w:rPr>
          <w:b/>
        </w:rPr>
        <w:t>pattern level</w:t>
      </w:r>
      <w:r>
        <w:t xml:space="preserve"> — re-verify the</w:t>
      </w:r>
    </w:p>
    <w:p>
      <w:r>
        <w:t xml:space="preserve">  changed behavior against </w:t>
      </w:r>
      <w:r>
        <w:rPr>
          <w:b/>
        </w:rPr>
        <w:t>the vendor's documentation for that version</w:t>
      </w:r>
      <w:r>
        <w:t>, update the adapter   only, and re-run Gates B–F. Record the verified version. Do not hard-code assumptions about a   vendor's internals.</w:t>
      </w:r>
    </w:p>
    <w:p>
      <w:pPr>
        <w:pStyle w:val="Heading1"/>
      </w:pPr>
      <w:r>
        <w:t>Best Practices</w:t>
      </w:r>
    </w:p>
    <w:p>
      <w:r>
        <w:t>Durable practices for integrating partner digital-twin / synthetic-data capabilities so they are leveraged consistently and stay portable.</w:t>
      </w:r>
    </w:p>
    <w:p>
      <w:pPr>
        <w:pStyle w:val="Heading2"/>
      </w:pPr>
      <w:r>
        <w:t>Treat the target model as the contract, not the vendor</w:t>
      </w:r>
    </w:p>
    <w:p>
      <w:pPr>
        <w:pStyle w:val="ListBullet"/>
      </w:pPr>
      <w:r>
        <w:t xml:space="preserve">Author every integration against the declared </w:t>
      </w:r>
      <w:r>
        <w:rPr>
          <w:b/>
        </w:rPr>
        <w:t>target model</w:t>
      </w:r>
      <w:r>
        <w:t xml:space="preserve"> (FHIR / OMOP / native), never</w:t>
      </w:r>
    </w:p>
    <w:p>
      <w:r>
        <w:t xml:space="preserve">  against a vendor's native shape. Your harness and AI test environments should only ever see   the target-model contract.</w:t>
      </w:r>
    </w:p>
    <w:p>
      <w:pPr>
        <w:pStyle w:val="ListBullet"/>
      </w:pPr>
      <w:r>
        <w:t xml:space="preserve">Keep the interface contract </w:t>
      </w:r>
      <w:r>
        <w:rPr>
          <w:b/>
        </w:rPr>
        <w:t>machine-readable and versioned</w:t>
      </w:r>
      <w:r>
        <w:t>. When it changes, bump the</w:t>
      </w:r>
    </w:p>
    <w:p>
      <w:r>
        <w:t xml:space="preserve">  contract version and re-run Gate B on every integrated vendor.</w:t>
      </w:r>
    </w:p>
    <w:p>
      <w:pPr>
        <w:pStyle w:val="Heading2"/>
      </w:pPr>
      <w:r>
        <w:t>Isolate vendor code to exactly two adapters</w:t>
      </w:r>
    </w:p>
    <w:p>
      <w:pPr>
        <w:pStyle w:val="ListBullet"/>
      </w:pPr>
      <w:r>
        <w:t xml:space="preserve">All vendor-specific code lives in the </w:t>
      </w:r>
      <w:r>
        <w:rPr>
          <w:b/>
        </w:rPr>
        <w:t>data-in</w:t>
      </w:r>
      <w:r>
        <w:t xml:space="preserve"> and </w:t>
      </w:r>
      <w:r>
        <w:rPr>
          <w:b/>
        </w:rPr>
        <w:t>data-out</w:t>
      </w:r>
      <w:r>
        <w:t xml:space="preserve"> adapters — nowhere else.</w:t>
      </w:r>
    </w:p>
    <w:p>
      <w:r>
        <w:t xml:space="preserve">  If a vendor SDK call or native key appears in the harness, that is a lock-in defect; fix it   before it spreads.</w:t>
      </w:r>
    </w:p>
    <w:p>
      <w:pPr>
        <w:pStyle w:val="ListBullet"/>
      </w:pPr>
      <w:r>
        <w:t xml:space="preserve">Keep adapters </w:t>
      </w:r>
      <w:r>
        <w:rPr>
          <w:b/>
        </w:rPr>
        <w:t>thin</w:t>
      </w:r>
      <w:r>
        <w:t>: map shapes, don't add business logic. Logic in an adapter is logic</w:t>
      </w:r>
    </w:p>
    <w:p>
      <w:r>
        <w:t xml:space="preserve">  you re-implement when you swap vendors.</w:t>
      </w:r>
    </w:p>
    <w:p>
      <w:pPr>
        <w:pStyle w:val="Heading2"/>
      </w:pPr>
      <w:r>
        <w:t>Score before you select, and keep the evidence</w:t>
      </w:r>
    </w:p>
    <w:p>
      <w:pPr>
        <w:pStyle w:val="ListBullet"/>
      </w:pPr>
      <w:r>
        <w:t xml:space="preserve">Agree the </w:t>
      </w:r>
      <w:r>
        <w:rPr>
          <w:b/>
        </w:rPr>
        <w:t>weighted criteria and thresholds before</w:t>
      </w:r>
      <w:r>
        <w:t xml:space="preserve"> scoring (Requirement 4) so selection is</w:t>
      </w:r>
    </w:p>
    <w:p>
      <w:r>
        <w:t xml:space="preserve">  defensible, not post-hoc. Treat *missing evaluation evidence* as a scoring signal, not a   neutral gap.</w:t>
      </w:r>
    </w:p>
    <w:p>
      <w:pPr>
        <w:pStyle w:val="ListBullet"/>
      </w:pPr>
      <w:r>
        <w:t>Re-score periodically. A vendor's fidelity, privacy posture, or portability can drift across</w:t>
      </w:r>
    </w:p>
    <w:p>
      <w:r>
        <w:t xml:space="preserve">  versions — re-run the scorecard at major upgrades.</w:t>
      </w:r>
    </w:p>
    <w:p>
      <w:pPr>
        <w:pStyle w:val="Heading2"/>
      </w:pPr>
      <w:r>
        <w:t>Design the exit on day one</w:t>
      </w:r>
    </w:p>
    <w:p>
      <w:pPr>
        <w:pStyle w:val="ListBullet"/>
      </w:pPr>
      <w:r>
        <w:t xml:space="preserve">Capture the </w:t>
      </w:r>
      <w:r>
        <w:rPr>
          <w:b/>
        </w:rPr>
        <w:t>exit path and rollback per vendor during Design</w:t>
      </w:r>
      <w:r>
        <w:t>, not at renewal time. A</w:t>
      </w:r>
    </w:p>
    <w:p>
      <w:r>
        <w:t xml:space="preserve">  vendor you cannot leave cheaply is a vendor that sets your price.</w:t>
      </w:r>
    </w:p>
    <w:p>
      <w:pPr>
        <w:pStyle w:val="ListBullet"/>
      </w:pPr>
      <w:r>
        <w:rPr>
          <w:b/>
        </w:rPr>
        <w:t>Exercise the exit</w:t>
      </w:r>
      <w:r>
        <w:t xml:space="preserve"> — a portability score that has never produced a working export is</w:t>
      </w:r>
    </w:p>
    <w:p>
      <w:r>
        <w:t xml:space="preserve">  aspirational. The portability gate requires a real test export that re-loads without vendor   tooling.</w:t>
      </w:r>
    </w:p>
    <w:p>
      <w:pPr>
        <w:pStyle w:val="Heading2"/>
      </w:pPr>
      <w:r>
        <w:t>Hold partner output to your own privacy bar</w:t>
      </w:r>
    </w:p>
    <w:p>
      <w:pPr>
        <w:pStyle w:val="ListBullet"/>
      </w:pPr>
      <w:r>
        <w:t>Judge vendor-produced synthetic data by the **same disclosure-risk threshold and quasi-</w:t>
      </w:r>
    </w:p>
    <w:p>
      <w:r>
        <w:t xml:space="preserve">  identifier checks** as internally generated data. "It's synthetic, from a vendor" is not a   privacy control.</w:t>
      </w:r>
    </w:p>
    <w:p>
      <w:pPr>
        <w:pStyle w:val="ListBullet"/>
      </w:pPr>
      <w:r>
        <w:t xml:space="preserve">Keep any real reference </w:t>
      </w:r>
      <w:r>
        <w:rPr>
          <w:b/>
        </w:rPr>
        <w:t>read-only, minimized, and out of the shared harness</w:t>
      </w:r>
      <w:r>
        <w:t>. The privacy</w:t>
      </w:r>
    </w:p>
    <w:p>
      <w:r>
        <w:t xml:space="preserve">  gate produces </w:t>
      </w:r>
      <w:r>
        <w:rPr>
          <w:b/>
        </w:rPr>
        <w:t>evidence</w:t>
      </w:r>
      <w:r>
        <w:t xml:space="preserve">; </w:t>
      </w:r>
      <w:r>
        <w:rPr>
          <w:b/>
        </w:rPr>
        <w:t>defer the acceptance</w:t>
      </w:r>
      <w:r>
        <w:t xml:space="preserve"> to privacy/compliance/legal — never let   a green tool output stand in for a de-identification determination.</w:t>
      </w:r>
    </w:p>
    <w:p>
      <w:pPr>
        <w:pStyle w:val="Heading2"/>
      </w:pPr>
      <w:r>
        <w:t>Keep the safety and boundary discipline</w:t>
      </w:r>
    </w:p>
    <w:p>
      <w:pPr>
        <w:pStyle w:val="ListBullet"/>
      </w:pPr>
      <w:r>
        <w:rPr>
          <w:b/>
        </w:rPr>
        <w:t>Never</w:t>
      </w:r>
      <w:r>
        <w:t xml:space="preserve"> place real PHI into the shared harness, twin, or AI test environment. Do all</w:t>
      </w:r>
    </w:p>
    <w:p>
      <w:r>
        <w:t xml:space="preserve">  integration and validation in the </w:t>
      </w:r>
      <w:r>
        <w:rPr>
          <w:b/>
        </w:rPr>
        <w:t>isolated non-production environment</w:t>
      </w:r>
      <w:r>
        <w:t>.</w:t>
      </w:r>
    </w:p>
    <w:p>
      <w:pPr>
        <w:pStyle w:val="ListBullet"/>
      </w:pPr>
      <w:r>
        <w:t xml:space="preserve">Reference vendor capabilities at the </w:t>
      </w:r>
      <w:r>
        <w:rPr>
          <w:b/>
        </w:rPr>
        <w:t>pattern level</w:t>
      </w:r>
      <w:r>
        <w:t>; for anything version-specific, verify</w:t>
      </w:r>
    </w:p>
    <w:p>
      <w:r>
        <w:t xml:space="preserve">  against the vendor's documentation rather than assuming — and record the version you verified.</w:t>
      </w:r>
    </w:p>
    <w:p>
      <w:pPr>
        <w:pStyle w:val="Heading2"/>
      </w:pPr>
      <w:r>
        <w:t>Govern the portfolio, not just the pilot</w:t>
      </w:r>
    </w:p>
    <w:p>
      <w:pPr>
        <w:pStyle w:val="ListBullet"/>
      </w:pPr>
      <w:r>
        <w:t xml:space="preserve">Maintain a </w:t>
      </w:r>
      <w:r>
        <w:rPr>
          <w:b/>
        </w:rPr>
        <w:t>vendor register</w:t>
      </w:r>
      <w:r>
        <w:t xml:space="preserve"> linking each capability to its contract, adapters, portability/</w:t>
      </w:r>
    </w:p>
    <w:p>
      <w:r>
        <w:t xml:space="preserve">  exit plan, and latest validation. This is what makes partner capabilities *consistent across   programs* instead of a set of one-off integrations.</w:t>
      </w:r>
    </w:p>
    <w:p>
      <w:pPr>
        <w:pStyle w:val="ListBullet"/>
      </w:pPr>
      <w:r>
        <w:t>Re-run Gates B–F on every expansion and every vendor upgrade — conformance and portability</w:t>
      </w:r>
    </w:p>
    <w:p>
      <w:r>
        <w:t xml:space="preserve">  are properties to keep, not achieve once.</w:t>
      </w:r>
    </w:p>
    <w:p>
      <w:pPr>
        <w:pStyle w:val="Heading1"/>
      </w:pPr>
      <w:r>
        <w:t>Deliverables Summary</w:t>
      </w:r>
    </w:p>
    <w:p>
      <w:r>
        <w:t>What the buyer gets — a self-guided framework for evaluating, integrating, and keeping portable any partner digital-twin / synthetic-data capability, plus five Python tools that operationalize the gates.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Solution Overview</w:t>
      </w:r>
      <w:r>
        <w:t xml:space="preserve"> — the integration model for external twin/synthetic-data capabilities:</w:t>
      </w:r>
    </w:p>
    <w:p>
      <w:r>
        <w:t xml:space="preserve">  evaluation, integration patterns (data-in / data-out / interface contract), the target-model   contract, portability, and the Assess → Design → Generate/Build → Validate → Expand model.</w:t>
      </w:r>
    </w:p>
    <w:p>
      <w:pPr>
        <w:pStyle w:val="ListBullet"/>
      </w:pPr>
      <w:r>
        <w:rPr>
          <w:b/>
        </w:rPr>
        <w:t>Requirements Guide</w:t>
      </w:r>
      <w:r>
        <w:t xml:space="preserve"> — the six solution-specific prerequisites (candidate vendor set,</w:t>
      </w:r>
    </w:p>
    <w:p>
      <w:r>
        <w:t xml:space="preserve">  target-model contract, isolated adapter boundaries, weighted evaluation criteria, privacy   reference/threshold, exit/rollback), each with how to *verify* and *implement*, on top of the   six category-wide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the exact ordered steps: evaluate candidates, design the contract</w:t>
      </w:r>
    </w:p>
    <w:p>
      <w:r>
        <w:t xml:space="preserve">  and two adapters, run a pilot integration, and pass Gates A–F before expanding. Every   artifact named with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the five pass/fail gates (contract, adapter, fidelity/coverage,</w:t>
      </w:r>
    </w:p>
    <w:p>
      <w:r>
        <w:t xml:space="preserve">  privacy, portability) with expected results and rollback.</w:t>
      </w:r>
    </w:p>
    <w:p>
      <w:pPr>
        <w:pStyle w:val="ListBullet"/>
      </w:pPr>
      <w:r>
        <w:rPr>
          <w:b/>
        </w:rPr>
        <w:t>Best Practices</w:t>
      </w:r>
      <w:r>
        <w:t xml:space="preserve"> — durable practices for low-lock-in, consistently governed partner</w:t>
      </w:r>
    </w:p>
    <w:p>
      <w:r>
        <w:t xml:space="preserve">  integration.</w:t>
      </w:r>
    </w:p>
    <w:p>
      <w:pPr>
        <w:pStyle w:val="ListBullet"/>
      </w:pPr>
      <w:r>
        <w:rPr>
          <w:b/>
        </w:rPr>
        <w:t>Troubleshooting</w:t>
      </w:r>
      <w:r>
        <w:t xml:space="preserve"> — common failure modes and resolutions.</w:t>
      </w:r>
    </w:p>
    <w:p>
      <w:pPr>
        <w:pStyle w:val="ListBullet"/>
      </w:pPr>
      <w:r>
        <w:rPr>
          <w:b/>
        </w:rPr>
        <w:t>Executive Summary</w:t>
      </w:r>
      <w:r>
        <w:t xml:space="preserve"> — outcome, approach, and why it is safe.</w:t>
      </w:r>
    </w:p>
    <w:p>
      <w:pPr>
        <w:pStyle w:val="Heading2"/>
      </w:pPr>
      <w:r>
        <w:t>The 5 Python tools</w:t>
      </w:r>
    </w:p>
    <w:p>
      <w:pPr>
        <w:pStyle w:val="ListNumber"/>
      </w:pPr>
      <w:r>
        <w:rPr>
          <w:rFonts w:ascii="Consolas" w:hAnsi="Consolas"/>
          <w:sz w:val="19"/>
        </w:rPr>
        <w:t>vendor_evaluation_scorecard.py</w:t>
      </w:r>
      <w:r>
        <w:t xml:space="preserve"> — scores candidate vendors against agreed weighted</w:t>
      </w:r>
    </w:p>
    <w:p>
      <w:r>
        <w:t xml:space="preserve">   criteria (fidelity, privacy, interoperability, portability, support, cost), ranks them, and    flags missing evaluation evidence. Produces the </w:t>
      </w:r>
      <w:r>
        <w:rPr>
          <w:rFonts w:ascii="Consolas" w:hAnsi="Consolas"/>
          <w:sz w:val="19"/>
        </w:rPr>
        <w:t>Vendor Evaluation – Candidate Set – Assess</w:t>
      </w:r>
      <w:r>
        <w:t xml:space="preserve">    scorecard.</w:t>
      </w:r>
    </w:p>
    <w:p>
      <w:pPr>
        <w:pStyle w:val="ListNumber"/>
      </w:pPr>
      <w:r>
        <w:rPr>
          <w:rFonts w:ascii="Consolas" w:hAnsi="Consolas"/>
          <w:sz w:val="19"/>
        </w:rPr>
        <w:t>integration_contract_validator.py</w:t>
      </w:r>
      <w:r>
        <w:t xml:space="preserve"> — validates a target-model </w:t>
      </w:r>
      <w:r>
        <w:rPr>
          <w:b/>
        </w:rPr>
        <w:t>interface contract</w:t>
      </w:r>
    </w:p>
    <w:p>
      <w:r>
        <w:t xml:space="preserve">   file, and validates vendor output against it (required entities/fields, types,    identifier/reference rules). The Gate B tool.</w:t>
      </w:r>
    </w:p>
    <w:p>
      <w:pPr>
        <w:pStyle w:val="ListNumber"/>
      </w:pPr>
      <w:r>
        <w:rPr>
          <w:rFonts w:ascii="Consolas" w:hAnsi="Consolas"/>
          <w:sz w:val="19"/>
        </w:rPr>
        <w:t>adapter_conformance_checker.py</w:t>
      </w:r>
      <w:r>
        <w:t xml:space="preserve"> — checks the </w:t>
      </w:r>
      <w:r>
        <w:rPr>
          <w:b/>
        </w:rPr>
        <w:t>data-in / data-out</w:t>
      </w:r>
      <w:r>
        <w:t xml:space="preserve"> adapters for</w:t>
      </w:r>
    </w:p>
    <w:p>
      <w:r>
        <w:t xml:space="preserve">   lossless round-trip of in-scope fields and detects vendor-native shape leaks past the    adapter boundary. The Gate C tool.</w:t>
      </w:r>
    </w:p>
    <w:p>
      <w:pPr>
        <w:pStyle w:val="ListNumber"/>
      </w:pPr>
      <w:r>
        <w:rPr>
          <w:rFonts w:ascii="Consolas" w:hAnsi="Consolas"/>
          <w:sz w:val="19"/>
        </w:rPr>
        <w:t>privacy_validation_check.py</w:t>
      </w:r>
      <w:r>
        <w:t xml:space="preserve"> — checks vendor-produced synthetic output for exact</w:t>
      </w:r>
    </w:p>
    <w:p>
      <w:r>
        <w:t xml:space="preserve">   real-record matches and computes uniqueness / k-anonymity signals on the agreed    quasi-identifiers against a read-only reference. The Gate E tool (evidence only; acceptance    deferred to privacy/compliance).</w:t>
      </w:r>
    </w:p>
    <w:p>
      <w:pPr>
        <w:pStyle w:val="ListNumber"/>
      </w:pPr>
      <w:r>
        <w:rPr>
          <w:rFonts w:ascii="Consolas" w:hAnsi="Consolas"/>
          <w:sz w:val="19"/>
        </w:rPr>
        <w:t>portability_lockin_assessor.py</w:t>
      </w:r>
      <w:r>
        <w:t xml:space="preserve"> — scores the anti-lock-in / portability criteria (open</w:t>
      </w:r>
    </w:p>
    <w:p>
      <w:r>
        <w:t xml:space="preserve">   target model, exportable artifacts, adapter isolation, documented + exercised exit, exit    cost) and produces a lock-in risk rating with a documented exit path. The Gate F tool.</w:t>
      </w:r>
    </w:p>
    <w:p>
      <w:r>
        <w:t>*(Gate D — fidelity/coverage — is run as a documented comparison against the reference, per Testing; the criteria/weights, contract, and integration config that the tools above read are plain JSON files you author during Implementation Stage 0.)*</w:t>
      </w:r>
    </w:p>
    <w:p>
      <w:r>
        <w:t xml:space="preserve">All tools are </w:t>
      </w:r>
      <w:r>
        <w:rPr>
          <w:b/>
        </w:rPr>
        <w:t>standard-library-first</w:t>
      </w:r>
      <w:r>
        <w:t xml:space="preserve">, run on </w:t>
      </w:r>
      <w:r>
        <w:rPr>
          <w:b/>
        </w:rPr>
        <w:t>Python 3.10+</w:t>
      </w:r>
      <w:r>
        <w:t xml:space="preserve">, are </w:t>
      </w:r>
      <w:r>
        <w:rPr>
          <w:b/>
        </w:rPr>
        <w:t>safe by default</w:t>
      </w:r>
      <w:r>
        <w:t xml:space="preserve"> (read-only or </w:t>
      </w:r>
      <w:r>
        <w:rPr>
          <w:rFonts w:ascii="Consolas" w:hAnsi="Consolas"/>
          <w:sz w:val="19"/>
        </w:rPr>
        <w:t>--dry-run</w:t>
      </w:r>
      <w:r>
        <w:t xml:space="preserve"> for anything that writes), make </w:t>
      </w:r>
      <w:r>
        <w:rPr>
          <w:b/>
        </w:rPr>
        <w:t>no network calls</w:t>
      </w:r>
      <w:r>
        <w:t xml:space="preserve">, and never require or write real PHI. They produce </w:t>
      </w:r>
      <w:r>
        <w:rPr>
          <w:b/>
        </w:rPr>
        <w:t>evidence</w:t>
      </w:r>
      <w:r>
        <w:t xml:space="preserve"> for human decision-makers, not approvals.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adapter_conformance_checker.py</w:t>
      </w:r>
    </w:p>
    <w:p>
      <w:pPr>
        <w:pStyle w:val="Heading2"/>
      </w:pPr>
      <w:r>
        <w:t>integration_contract_validator.py</w:t>
      </w:r>
    </w:p>
    <w:p>
      <w:pPr>
        <w:pStyle w:val="Heading2"/>
      </w:pPr>
      <w:r>
        <w:t>portability_lockin_assessor.py</w:t>
      </w:r>
    </w:p>
    <w:p>
      <w:pPr>
        <w:pStyle w:val="Heading2"/>
      </w:pPr>
      <w:r>
        <w:t>privacy_validation_check.py</w:t>
      </w:r>
    </w:p>
    <w:p>
      <w:pPr>
        <w:pStyle w:val="Heading2"/>
      </w:pPr>
      <w:r>
        <w:t>vendor_evaluation_scorecard.py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