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Microsoft Purview FINRA/SEC Compliance Program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2026-07-07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 — Microsoft Purview FINRA/SEC Compliance Program</w:t>
      </w:r>
    </w:p>
    <w:p>
      <w:pPr>
        <w:pStyle w:val="Heading2"/>
      </w:pPr>
      <w:r>
        <w:t>The problem</w:t>
      </w:r>
    </w:p>
    <w:p>
      <w:r>
        <w:t>For a regulated broker-dealer or investment adviser, an examination comes down to two demands: *"show me the control"* and *"show me the evidence."* FINRA and SEC obligations — supervision of electronic communications, books-and-records preservation, and a defensible audit trail — too often exist as policy on paper with no mapped technical control behind them and no evidence that can be produced on demand. Left unaddressed, that is both a compliance gap and a data-risk exposure, and it surfaces at the worst possible moment: mid-exam.</w:t>
      </w:r>
    </w:p>
    <w:p>
      <w:pPr>
        <w:pStyle w:val="Heading2"/>
      </w:pPr>
      <w:r>
        <w:t>The solution</w:t>
      </w:r>
    </w:p>
    <w:p>
      <w:r>
        <w:t xml:space="preserve">A complete, self-guided FINRA/SEC </w:t>
      </w:r>
      <w:r>
        <w:rPr>
          <w:b/>
        </w:rPr>
        <w:t>control-and-evidence program</w:t>
      </w:r>
      <w:r>
        <w:t xml:space="preserve"> built on </w:t>
      </w:r>
      <w:r>
        <w:rPr>
          <w:b/>
        </w:rPr>
        <w:t>Microsoft Purview</w:t>
      </w:r>
      <w:r>
        <w:t xml:space="preserve">. It maps the in-scope obligations to three configured Purview controls — </w:t>
      </w:r>
      <w:r>
        <w:rPr>
          <w:b/>
        </w:rPr>
        <w:t>records/regulatory-records retention</w:t>
      </w:r>
      <w:r>
        <w:t xml:space="preserve"> (books-and-records preservation), </w:t>
      </w:r>
      <w:r>
        <w:rPr>
          <w:b/>
        </w:rPr>
        <w:t>Communication Compliance</w:t>
      </w:r>
      <w:r>
        <w:t xml:space="preserve"> (supervision of registered persons' communications), and </w:t>
      </w:r>
      <w:r>
        <w:rPr>
          <w:b/>
        </w:rPr>
        <w:t>Audit</w:t>
      </w:r>
      <w:r>
        <w:t xml:space="preserve"> (the evidence trail) — </w:t>
      </w:r>
      <w:r>
        <w:rPr>
          <w:b/>
        </w:rPr>
        <w:t>pilots them in simulation/test/disabled mode</w:t>
      </w:r>
      <w:r>
        <w:t xml:space="preserve">, validates them, and produces an </w:t>
      </w:r>
      <w:r>
        <w:rPr>
          <w:b/>
        </w:rPr>
        <w:t>evidence binder</w:t>
      </w:r>
      <w:r>
        <w:t xml:space="preserve"> (control → configuration → proof) you can hand to an examiner. Five safe-by-default PowerShell tools (read-only or </w:t>
      </w:r>
      <w:r>
        <w:rPr>
          <w:rFonts w:ascii="Consolas" w:hAnsi="Consolas"/>
          <w:sz w:val="19"/>
        </w:rPr>
        <w:t>-WhatIf</w:t>
      </w:r>
      <w:r>
        <w:t xml:space="preserve"> until you commit) do the assessment, scoping, configuration, validation, and evidence reporting.</w:t>
      </w:r>
    </w:p>
    <w:p>
      <w:pPr>
        <w:pStyle w:val="Heading2"/>
      </w:pPr>
      <w:r>
        <w:t>What you get</w:t>
      </w:r>
    </w:p>
    <w:p>
      <w:pPr>
        <w:pStyle w:val="ListBullet"/>
      </w:pPr>
      <w:r>
        <w:rPr>
          <w:b/>
        </w:rPr>
        <w:t>A rule-to-control register</w:t>
      </w:r>
      <w:r>
        <w:t xml:space="preserve"> — every in-scope obligation mapped to the Purview object that implements it, with the required retention/supervisory scope and a named approver.</w:t>
      </w:r>
    </w:p>
    <w:p>
      <w:pPr>
        <w:pStyle w:val="ListBullet"/>
      </w:pPr>
      <w:r>
        <w:rPr>
          <w:b/>
        </w:rPr>
        <w:t>Records preservation</w:t>
      </w:r>
      <w:r>
        <w:t xml:space="preserve"> — regulatory-records retention across email, files, and Teams, piloted with a </w:t>
      </w:r>
      <w:r>
        <w:rPr>
          <w:b/>
        </w:rPr>
        <w:t>non-regulatory</w:t>
      </w:r>
      <w:r>
        <w:t xml:space="preserve"> label first and applied under compliance sign-off (regulatory records are irreversible by design).</w:t>
      </w:r>
    </w:p>
    <w:p>
      <w:pPr>
        <w:pStyle w:val="ListBullet"/>
      </w:pPr>
      <w:r>
        <w:rPr>
          <w:b/>
        </w:rPr>
        <w:t>Communication supervision, privacy-first</w:t>
      </w:r>
      <w:r>
        <w:t xml:space="preserve"> — a supervisory policy built </w:t>
      </w:r>
      <w:r>
        <w:rPr>
          <w:b/>
        </w:rPr>
        <w:t>in test mode</w:t>
      </w:r>
      <w:r>
        <w:t xml:space="preserve"> with strict reviewer separation and pseudonymization where available, surfacing review items to designated reviewers.</w:t>
      </w:r>
    </w:p>
    <w:p>
      <w:pPr>
        <w:pStyle w:val="ListBullet"/>
      </w:pPr>
      <w:r>
        <w:rPr>
          <w:b/>
        </w:rPr>
        <w:t>An audit-evidence trail</w:t>
      </w:r>
      <w:r>
        <w:t xml:space="preserve"> — unified audit on, with a long-term retention policy keeping the evidence your compliance function requires.</w:t>
      </w:r>
    </w:p>
    <w:p>
      <w:pPr>
        <w:pStyle w:val="ListBullet"/>
      </w:pPr>
      <w:r>
        <w:rPr>
          <w:b/>
        </w:rPr>
        <w:t>An examiner-ready evidence binder</w:t>
      </w:r>
      <w:r>
        <w:t xml:space="preserve"> — control → configuration → proof, regenerated on a cadence so it is always current.</w:t>
      </w:r>
    </w:p>
    <w:p>
      <w:pPr>
        <w:pStyle w:val="Heading2"/>
      </w:pPr>
      <w:r>
        <w:t>Approach</w:t>
      </w:r>
    </w:p>
    <w:p>
      <w:r>
        <w:t xml:space="preserve">Delivery follows a disciplined, reversible model — </w:t>
      </w:r>
      <w:r>
        <w:rPr>
          <w:b/>
        </w:rPr>
        <w:t>Assess → Design → Configure → Pilot (simulate/test) → Validate → Expand (enforce)</w:t>
      </w:r>
      <w:r>
        <w:t xml:space="preserve"> — piloting every high-impact control on a limited scope before enforcement, with pass/fail gates and documented rollback. The one deliberate exception, the irreversible </w:t>
      </w:r>
      <w:r>
        <w:rPr>
          <w:b/>
        </w:rPr>
        <w:t>regulatory-records</w:t>
      </w:r>
      <w:r>
        <w:t xml:space="preserve"> label, is gated hardest of all: applied only under explicit compliance sign-off.</w:t>
      </w:r>
    </w:p>
    <w:p>
      <w:pPr>
        <w:pStyle w:val="Heading2"/>
      </w:pPr>
      <w:r>
        <w:t>Boundaries</w:t>
      </w:r>
    </w:p>
    <w:p>
      <w:r>
        <w:t xml:space="preserve">Microsoft Purview is </w:t>
      </w:r>
      <w:r>
        <w:rPr>
          <w:b/>
        </w:rPr>
        <w:t>licensing-/plan-dependent</w:t>
      </w:r>
      <w:r>
        <w:t xml:space="preserve"> (records/regulatory records, Communication Compliance, and Audit Premium require E5 or the E5 Compliance add-on) and the portal is </w:t>
      </w:r>
      <w:r>
        <w:rPr>
          <w:b/>
        </w:rPr>
        <w:t>actively evolving</w:t>
      </w:r>
      <w:r>
        <w:t xml:space="preserve"> — capabilities and paths are cited or flagged </w:t>
      </w:r>
      <w:r>
        <w:rPr>
          <w:b/>
        </w:rPr>
        <w:t>"verify your licensing/tenant,"</w:t>
      </w:r>
      <w:r>
        <w:t xml:space="preserve"> never assumed. </w:t>
      </w:r>
      <w:r>
        <w:rPr>
          <w:b/>
        </w:rPr>
        <w:t>Communication Compliance is HR/privacy-sensitive</w:t>
      </w:r>
      <w:r>
        <w:t xml:space="preserve"> and is built privacy-by-design with reviewer role separation; </w:t>
      </w:r>
      <w:r>
        <w:rPr>
          <w:b/>
        </w:rPr>
        <w:t>case outcomes are HR/legal's.</w:t>
      </w:r>
      <w:r>
        <w:t xml:space="preserve"> Above all: </w:t>
      </w:r>
      <w:r>
        <w:rPr>
          <w:b/>
        </w:rPr>
        <w:t>rule applicability, retention adequacy, supervisory scope, 17a-4 compliance, and whether a configuration satisfies FINRA/SEC are deferred to your compliance, records, privacy, and legal functions</w:t>
      </w:r>
      <w:r>
        <w:t xml:space="preserve"> — this solution provides the technical control and the evidence, not the determination.</w:t>
      </w:r>
    </w:p>
    <w:p>
      <w:pPr>
        <w:pStyle w:val="Heading2"/>
      </w:pPr>
      <w:r>
        <w:t>The bottom line</w:t>
      </w:r>
    </w:p>
    <w:p>
      <w:r>
        <w:t xml:space="preserve">A FINRA/SEC program that is </w:t>
      </w:r>
      <w:r>
        <w:rPr>
          <w:b/>
        </w:rPr>
        <w:t>configured, piloted, validated, and evidenced</w:t>
      </w:r>
      <w:r>
        <w:t xml:space="preserve"> in Microsoft Purview — so when an examiner asks to see the control and the proof, both are already in hand.</w:t>
      </w:r>
    </w:p>
    <w:p>
      <w:pPr>
        <w:pStyle w:val="Heading1"/>
      </w:pPr>
      <w:r>
        <w:t>1. Solution Overview — Microsoft Purview FINRA/SEC Compliance Program</w:t>
      </w:r>
    </w:p>
    <w:p>
      <w:pPr>
        <w:pStyle w:val="Heading2"/>
      </w:pPr>
      <w:r>
        <w:t>What this solution is</w:t>
      </w:r>
    </w:p>
    <w:p>
      <w:r>
        <w:t xml:space="preserve">A regulated broker-dealer or investment adviser lives and dies by two questions from an examiner: *"Show me the control"* and *"Show me the evidence."* FINRA and SEC obligations — supervision of electronic communications, books-and-records preservation, and a demonstrable audit trail — need to be </w:t>
      </w:r>
      <w:r>
        <w:rPr>
          <w:b/>
        </w:rPr>
        <w:t>mapped to concrete controls</w:t>
      </w:r>
      <w:r>
        <w:t xml:space="preserve">, those controls </w:t>
      </w:r>
      <w:r>
        <w:rPr>
          <w:b/>
        </w:rPr>
        <w:t>configured</w:t>
      </w:r>
      <w:r>
        <w:t xml:space="preserve">, and the whole thing </w:t>
      </w:r>
      <w:r>
        <w:rPr>
          <w:b/>
        </w:rPr>
        <w:t>evidenced</w:t>
      </w:r>
      <w:r>
        <w:t xml:space="preserve"> in a form you can hand to an examiner without a scramble. This solution builds that program on </w:t>
      </w:r>
      <w:r>
        <w:rPr>
          <w:b/>
        </w:rPr>
        <w:t>Microsoft Purview</w:t>
      </w:r>
      <w:r>
        <w:t xml:space="preserve">: it maps the technical control surface (records retention, communication supervision, audit) to a FINRA/SEC-aligned control register, </w:t>
      </w:r>
      <w:r>
        <w:rPr>
          <w:b/>
        </w:rPr>
        <w:t>configures</w:t>
      </w:r>
      <w:r>
        <w:t xml:space="preserve"> the controls in Purview — regulatory records retention, communication-compliance (supervisory) supervision, and audit evidence retention — </w:t>
      </w:r>
      <w:r>
        <w:rPr>
          <w:b/>
        </w:rPr>
        <w:t>pilots them in simulation/test/disabled mode first</w:t>
      </w:r>
      <w:r>
        <w:t xml:space="preserve">, validates, and produces an </w:t>
      </w:r>
      <w:r>
        <w:rPr>
          <w:b/>
        </w:rPr>
        <w:t>evidence binder</w:t>
      </w:r>
      <w:r>
        <w:t xml:space="preserve"> you can defend. It uses only the </w:t>
      </w:r>
      <w:r>
        <w:rPr>
          <w:b/>
        </w:rPr>
        <w:t>Microsoft Purview portal</w:t>
      </w:r>
      <w:r>
        <w:t xml:space="preserve"> (</w:t>
      </w:r>
      <w:r>
        <w:rPr>
          <w:rFonts w:ascii="Consolas" w:hAnsi="Consolas"/>
          <w:sz w:val="19"/>
        </w:rPr>
        <w:t>purview.microsoft.com</w:t>
      </w:r>
      <w:r>
        <w:t xml:space="preserve">), </w:t>
      </w:r>
      <w:r>
        <w:rPr>
          <w:b/>
        </w:rPr>
        <w:t>Security &amp; Compliance PowerShell</w:t>
      </w:r>
      <w:r>
        <w:t xml:space="preserve"> (</w:t>
      </w:r>
      <w:r>
        <w:rPr>
          <w:rFonts w:ascii="Consolas" w:hAnsi="Consolas"/>
          <w:sz w:val="19"/>
        </w:rPr>
        <w:t>Connect-IPPSSession</w:t>
      </w:r>
      <w:r>
        <w:t xml:space="preserve">), and </w:t>
      </w:r>
      <w:r>
        <w:rPr>
          <w:b/>
        </w:rPr>
        <w:t>Microsoft Graph</w:t>
      </w:r>
      <w:r>
        <w:t xml:space="preserve"> — no third-party tooling.</w:t>
      </w:r>
    </w:p>
    <w:p>
      <w:pPr>
        <w:ind w:left="432"/>
      </w:pPr>
      <w:r>
        <w:rPr>
          <w:i/>
          <w:color w:val="2E86C1"/>
        </w:rPr>
        <w:t>This is a technical-control-and-evidence program, not a legal opinion. The specific records that must be retained, for how long, under which rule; who must be supervised and against what lexicon; and whether any given configuration *satisfies* a rule are regulatory, records, and legal determinations deferred to your compliance, records, and legal functions. This solution provides the Purview method, the configured control, and the evidence — not the determination that it meets FINRA Rule 4511/3110, SEA Rule 17a-4, or the SEC Books-and-Records / Marketing rules.</w:t>
      </w:r>
    </w:p>
    <w:p>
      <w:pPr>
        <w:pStyle w:val="Heading2"/>
      </w:pPr>
      <w:r>
        <w:t>Why this matters</w:t>
      </w:r>
    </w:p>
    <w:p>
      <w:pPr>
        <w:pStyle w:val="ListBullet"/>
      </w:pPr>
      <w:r>
        <w:rPr>
          <w:b/>
        </w:rPr>
        <w:t>Records preservation is examinable and largely non-retroactive.</w:t>
      </w:r>
      <w:r>
        <w:t xml:space="preserve"> Communications and books-and-records must be preserved (historically in a non-rewriteable, non-erasable "WORM" form; SEA Rule 17a-4 was amended in 2022–2023 to also permit an </w:t>
      </w:r>
      <w:r>
        <w:rPr>
          <w:b/>
        </w:rPr>
        <w:t>audit-trail</w:t>
      </w:r>
      <w:r>
        <w:t xml:space="preserve"> alternative). Purview delivers this with </w:t>
      </w:r>
      <w:r>
        <w:rPr>
          <w:b/>
        </w:rPr>
        <w:t>regulatory records</w:t>
      </w:r>
      <w:r>
        <w:t xml:space="preserve"> labels and immutable retention — but only from the day they are applied forward, which is why configuring *now* matters.</w:t>
      </w:r>
    </w:p>
    <w:p>
      <w:pPr>
        <w:pStyle w:val="ListBullet"/>
      </w:pPr>
      <w:r>
        <w:rPr>
          <w:b/>
        </w:rPr>
        <w:t>Communication supervision is a named control.</w:t>
      </w:r>
      <w:r>
        <w:t xml:space="preserve"> FINRA supervision expectations (Rule 3110) require a system to review registered persons' electronic communications. Purview </w:t>
      </w:r>
      <w:r>
        <w:rPr>
          <w:b/>
        </w:rPr>
        <w:t>Communication Compliance</w:t>
      </w:r>
      <w:r>
        <w:t xml:space="preserve"> (the supervisory-review capability) is the Microsoft control that operationalizes this — and it is </w:t>
      </w:r>
      <w:r>
        <w:rPr>
          <w:b/>
        </w:rPr>
        <w:t>HR/privacy-sensitive</w:t>
      </w:r>
      <w:r>
        <w:t>, so it must be built with privacy-by-design, pseudonymization where available, and strict reviewer role separation.</w:t>
      </w:r>
    </w:p>
    <w:p>
      <w:pPr>
        <w:pStyle w:val="ListBullet"/>
      </w:pPr>
      <w:r>
        <w:rPr>
          <w:b/>
        </w:rPr>
        <w:t>Evidence is the deliverable examiners actually want.</w:t>
      </w:r>
      <w:r>
        <w:t xml:space="preserve"> A control that works but can't be *shown* to work fails an exam. This solution's reporting produces a </w:t>
      </w:r>
      <w:r>
        <w:rPr>
          <w:b/>
        </w:rPr>
        <w:t>control-to-configuration-to-evidence</w:t>
      </w:r>
      <w:r>
        <w:t xml:space="preserve"> binder so "the control is in place" is provable, not asserted.</w:t>
      </w:r>
    </w:p>
    <w:p>
      <w:pPr>
        <w:pStyle w:val="ListBullet"/>
      </w:pPr>
      <w:r>
        <w:rPr>
          <w:b/>
        </w:rPr>
        <w:t>The controls are licensing-dependent and evolving.</w:t>
      </w:r>
      <w:r>
        <w:t xml:space="preserve"> Regulatory records, Communication Compliance, Audit Premium, and auto-classification require </w:t>
      </w:r>
      <w:r>
        <w:rPr>
          <w:b/>
        </w:rPr>
        <w:t>Microsoft 365 E5</w:t>
      </w:r>
      <w:r>
        <w:t xml:space="preserve"> or the </w:t>
      </w:r>
      <w:r>
        <w:rPr>
          <w:b/>
        </w:rPr>
        <w:t>E5 Compliance</w:t>
      </w:r>
      <w:r>
        <w:t xml:space="preserve"> add-on; the portal and rule tooling change. Capabilities are </w:t>
      </w:r>
      <w:r>
        <w:rPr>
          <w:b/>
        </w:rPr>
        <w:t>cited or flagged "verify your licensing/tenant"</w:t>
      </w:r>
      <w:r>
        <w:t>, never assumed.</w:t>
      </w:r>
    </w:p>
    <w:p>
      <w:pPr>
        <w:pStyle w:val="Heading2"/>
      </w:pPr>
      <w:r>
        <w:t>How it works</w:t>
      </w:r>
    </w:p>
    <w:p>
      <w:pPr>
        <w:pStyle w:val="ListNumber"/>
      </w:pPr>
      <w:r>
        <w:rPr>
          <w:b/>
        </w:rPr>
        <w:t>Assess.</w:t>
      </w:r>
      <w:r>
        <w:t xml:space="preserve"> Discover what you already have — compliance licensing/plans, the least-privilege roles, existing retention labels/policies, any Communication Compliance policies, unified-audit state, and audit retention — so the program is built on facts, not assumptions.</w:t>
      </w:r>
    </w:p>
    <w:p>
      <w:pPr>
        <w:pStyle w:val="ListNumber"/>
      </w:pPr>
      <w:r>
        <w:rPr>
          <w:b/>
        </w:rPr>
        <w:t>Design the control map.</w:t>
      </w:r>
      <w:r>
        <w:t xml:space="preserve"> With compliance/records/legal, map the in-scope FINRA/SEC obligations to the three Purview control domains (records retention, communication supervision, audit evidence) and to the </w:t>
      </w:r>
      <w:r>
        <w:rPr>
          <w:b/>
        </w:rPr>
        <w:t>named artifacts</w:t>
      </w:r>
      <w:r>
        <w:t xml:space="preserve"> below. The rule-to-control mapping is the compliance function's determination; this solution provides the register structure and the technical control.</w:t>
      </w:r>
    </w:p>
    <w:p>
      <w:pPr>
        <w:pStyle w:val="ListNumber"/>
      </w:pPr>
      <w:r>
        <w:rPr>
          <w:b/>
        </w:rPr>
        <w:t>Configure — in simulation/test first.</w:t>
      </w:r>
      <w:r>
        <w:t xml:space="preserve"> Create the regulatory-records retention labels and policy, the communication-supervision policy (</w:t>
      </w:r>
      <w:r>
        <w:rPr>
          <w:b/>
        </w:rPr>
        <w:t>in test mode</w:t>
      </w:r>
      <w:r>
        <w:t>), and the audit evidence-retention policy. Every high-impact change is piloted disabled/simulated before enforcement.</w:t>
      </w:r>
    </w:p>
    <w:p>
      <w:pPr>
        <w:pStyle w:val="ListNumber"/>
      </w:pPr>
      <w:r>
        <w:rPr>
          <w:b/>
        </w:rPr>
        <w:t>Pilot &amp; validate.</w:t>
      </w:r>
      <w:r>
        <w:t xml:space="preserve"> Prove the labels apply and preserve, the supervision policy generates review items against test content (in test mode), and audit evidence is retained — on a bounded </w:t>
      </w:r>
      <w:r>
        <w:rPr>
          <w:b/>
        </w:rPr>
        <w:t>pilot scope</w:t>
      </w:r>
      <w:r>
        <w:t xml:space="preserve"> before tenant-wide enforcement.</w:t>
      </w:r>
    </w:p>
    <w:p>
      <w:pPr>
        <w:pStyle w:val="ListNumber"/>
      </w:pPr>
      <w:r>
        <w:rPr>
          <w:b/>
        </w:rPr>
        <w:t>Produce the evidence.</w:t>
      </w:r>
      <w:r>
        <w:t xml:space="preserve"> Generate the control-mapping + evidence binder (control → Purview object → configuration → proof) for the compliance/audit file.</w:t>
      </w:r>
    </w:p>
    <w:p>
      <w:pPr>
        <w:pStyle w:val="ListNumber"/>
      </w:pPr>
      <w:r>
        <w:rPr>
          <w:b/>
        </w:rPr>
        <w:t>Expand &amp; operate.</w:t>
      </w:r>
      <w:r>
        <w:t xml:space="preserve"> Move from test to enforcement on the approved scope, schedule the read-only re-assessment so drift is caught, and hand the binder and runbook to the compliance function as a standing procedure.</w:t>
      </w:r>
    </w:p>
    <w:p>
      <w:pPr>
        <w:pStyle w:val="Heading2"/>
      </w:pPr>
      <w:r>
        <w:t>The control stack this solution configures</w:t>
      </w:r>
    </w:p>
    <w:p>
      <w:pPr>
        <w:pStyle w:val="ListBullet"/>
      </w:pPr>
      <w:r>
        <w:rPr>
          <w:b/>
        </w:rPr>
        <w:t>Records &amp; data lifecycle</w:t>
      </w:r>
      <w:r>
        <w:t xml:space="preserve"> — retention </w:t>
      </w:r>
      <w:r>
        <w:rPr>
          <w:b/>
        </w:rPr>
        <w:t>labels</w:t>
      </w:r>
      <w:r>
        <w:t xml:space="preserve"> (including </w:t>
      </w:r>
      <w:r>
        <w:rPr>
          <w:b/>
        </w:rPr>
        <w:t>records</w:t>
      </w:r>
      <w:r>
        <w:t xml:space="preserve"> and, where licensed, </w:t>
      </w:r>
      <w:r>
        <w:rPr>
          <w:b/>
        </w:rPr>
        <w:t>regulatory records</w:t>
      </w:r>
      <w:r>
        <w:t xml:space="preserve"> with immutable, un-disablable retention) and retention </w:t>
      </w:r>
      <w:r>
        <w:rPr>
          <w:b/>
        </w:rPr>
        <w:t>policies</w:t>
      </w:r>
      <w:r>
        <w:t xml:space="preserve"> across Exchange, SharePoint, OneDrive, and Teams — the books-and-records preservation control.</w:t>
      </w:r>
    </w:p>
    <w:p>
      <w:pPr>
        <w:pStyle w:val="ListBullet"/>
      </w:pPr>
      <w:r>
        <w:rPr>
          <w:b/>
        </w:rPr>
        <w:t>Communication Compliance</w:t>
      </w:r>
      <w:r>
        <w:t xml:space="preserve"> — the </w:t>
      </w:r>
      <w:r>
        <w:rPr>
          <w:b/>
        </w:rPr>
        <w:t>supervisory-review</w:t>
      </w:r>
      <w:r>
        <w:t xml:space="preserve"> capability that scans registered persons' electronic communications against policies/conditions and routes items to reviewers — the supervision control. *HR/privacy-sensitive.*</w:t>
      </w:r>
    </w:p>
    <w:p>
      <w:pPr>
        <w:pStyle w:val="ListBullet"/>
      </w:pPr>
      <w:r>
        <w:rPr>
          <w:b/>
        </w:rPr>
        <w:t>Audit (Standard/Premium)</w:t>
      </w:r>
      <w:r>
        <w:t xml:space="preserve"> — unified audit logging and </w:t>
      </w:r>
      <w:r>
        <w:rPr>
          <w:b/>
        </w:rPr>
        <w:t>audit log retention policies</w:t>
      </w:r>
      <w:r>
        <w:t xml:space="preserve"> keeping the evidence of who did what — the audit-trail control.</w:t>
      </w:r>
    </w:p>
    <w:p>
      <w:pPr>
        <w:pStyle w:val="ListBullet"/>
      </w:pPr>
      <w:r>
        <w:rPr>
          <w:b/>
        </w:rPr>
        <w:t>Compliance Manager</w:t>
      </w:r>
      <w:r>
        <w:t xml:space="preserve"> — regulatory </w:t>
      </w:r>
      <w:r>
        <w:rPr>
          <w:b/>
        </w:rPr>
        <w:t>assessment templates</w:t>
      </w:r>
      <w:r>
        <w:t xml:space="preserve"> (e.g. FINRA/SEC-relevant templates, subject to your licensing) that track improvement actions and score control implementation — the control-tracking layer (configured in-portal; determination of applicability is compliance's).</w:t>
      </w:r>
    </w:p>
    <w:p>
      <w:pPr>
        <w:pStyle w:val="ListBullet"/>
      </w:pPr>
      <w:r>
        <w:rPr>
          <w:b/>
        </w:rPr>
        <w:t>Disposition review</w:t>
      </w:r>
      <w:r>
        <w:t xml:space="preserve"> — reviewed disposal at end of retention, so records aren't kept forever without governance.</w:t>
      </w:r>
    </w:p>
    <w:p>
      <w:pPr>
        <w:pStyle w:val="Heading2"/>
      </w:pPr>
      <w:r>
        <w:t>What you can control</w:t>
      </w:r>
    </w:p>
    <w:p>
      <w:pPr>
        <w:pStyle w:val="ListBullet"/>
      </w:pPr>
      <w:r>
        <w:t xml:space="preserve">Which </w:t>
      </w:r>
      <w:r>
        <w:rPr>
          <w:b/>
        </w:rPr>
        <w:t>retention labels/policies</w:t>
      </w:r>
      <w:r>
        <w:t xml:space="preserve"> implement the records-preservation control, their scope, and whether they use </w:t>
      </w:r>
      <w:r>
        <w:rPr>
          <w:b/>
        </w:rPr>
        <w:t>records</w:t>
      </w:r>
      <w:r>
        <w:t>/</w:t>
      </w:r>
      <w:r>
        <w:rPr>
          <w:b/>
        </w:rPr>
        <w:t>regulatory records</w:t>
      </w:r>
      <w:r>
        <w:t xml:space="preserve"> (immutable) behavior.</w:t>
      </w:r>
    </w:p>
    <w:p>
      <w:pPr>
        <w:pStyle w:val="ListBullet"/>
      </w:pPr>
      <w:r>
        <w:t xml:space="preserve">The </w:t>
      </w:r>
      <w:r>
        <w:rPr>
          <w:b/>
        </w:rPr>
        <w:t>Communication Compliance</w:t>
      </w:r>
      <w:r>
        <w:t xml:space="preserve"> policy scope, conditions, and reviewers — built in </w:t>
      </w:r>
      <w:r>
        <w:rPr>
          <w:b/>
        </w:rPr>
        <w:t>test mode</w:t>
      </w:r>
      <w:r>
        <w:t xml:space="preserve"> first.</w:t>
      </w:r>
    </w:p>
    <w:p>
      <w:pPr>
        <w:pStyle w:val="ListBullet"/>
      </w:pPr>
      <w:r>
        <w:t xml:space="preserve">Which record types/operations/users get </w:t>
      </w:r>
      <w:r>
        <w:rPr>
          <w:b/>
        </w:rPr>
        <w:t>extended audit retention</w:t>
      </w:r>
      <w:r>
        <w:t xml:space="preserve"> as evidence.</w:t>
      </w:r>
    </w:p>
    <w:p>
      <w:pPr>
        <w:pStyle w:val="ListBullet"/>
      </w:pPr>
      <w:r>
        <w:t xml:space="preserve">The </w:t>
      </w:r>
      <w:r>
        <w:rPr>
          <w:b/>
        </w:rPr>
        <w:t>control register</w:t>
      </w:r>
      <w:r>
        <w:t xml:space="preserve"> (which rule maps to which Purview object) and the </w:t>
      </w:r>
      <w:r>
        <w:rPr>
          <w:b/>
        </w:rPr>
        <w:t>evidence binder</w:t>
      </w:r>
      <w:r>
        <w:t xml:space="preserve"> contents.</w:t>
      </w:r>
    </w:p>
    <w:p>
      <w:pPr>
        <w:pStyle w:val="ListBullet"/>
      </w:pPr>
      <w:r>
        <w:t xml:space="preserve">The </w:t>
      </w:r>
      <w:r>
        <w:rPr>
          <w:b/>
        </w:rPr>
        <w:t>pilot scope</w:t>
      </w:r>
      <w:r>
        <w:t xml:space="preserve"> validated in simulation/test/disabled mode before any enforcement.</w:t>
      </w:r>
    </w:p>
    <w:p>
      <w:pPr>
        <w:pStyle w:val="Heading2"/>
      </w:pPr>
      <w:r>
        <w:t>Limitations (be honest with buyers)</w:t>
      </w:r>
    </w:p>
    <w:p>
      <w:pPr>
        <w:pStyle w:val="ListBullet"/>
      </w:pPr>
      <w:r>
        <w:rPr>
          <w:b/>
        </w:rPr>
        <w:t>We configure the control; we do not make the determination.</w:t>
      </w:r>
      <w:r>
        <w:t xml:space="preserve"> Retention schedules, which communications/records are in scope, supervisory lexicons, and whether a configuration satisfies a specific FINRA/SEC rule are </w:t>
      </w:r>
      <w:r>
        <w:rPr>
          <w:b/>
        </w:rPr>
        <w:t>compliance/records/legal</w:t>
      </w:r>
      <w:r>
        <w:t xml:space="preserve"> determinations. </w:t>
      </w:r>
      <w:r>
        <w:rPr>
          <w:b/>
        </w:rPr>
        <w:t>Verify with your regulatory functions.</w:t>
      </w:r>
    </w:p>
    <w:p>
      <w:pPr>
        <w:pStyle w:val="ListBullet"/>
      </w:pPr>
      <w:r>
        <w:rPr>
          <w:b/>
        </w:rPr>
        <w:t>Regulatory records are effectively irreversible by design.</w:t>
      </w:r>
      <w:r>
        <w:t xml:space="preserve"> A </w:t>
      </w:r>
      <w:r>
        <w:rPr>
          <w:b/>
        </w:rPr>
        <w:t>regulatory record</w:t>
      </w:r>
      <w:r>
        <w:t xml:space="preserve"> label cannot be removed and its retention cannot be shortened/disabled — that is the point, and the reason it is </w:t>
      </w:r>
      <w:r>
        <w:rPr>
          <w:b/>
        </w:rPr>
        <w:t>piloted with non-regulatory records first</w:t>
      </w:r>
      <w:r>
        <w:t xml:space="preserve"> and only applied under explicit compliance sign-off.</w:t>
      </w:r>
    </w:p>
    <w:p>
      <w:pPr>
        <w:pStyle w:val="ListBullet"/>
      </w:pPr>
      <w:r>
        <w:rPr>
          <w:b/>
        </w:rPr>
        <w:t>Preservation is largely not retroactive.</w:t>
      </w:r>
      <w:r>
        <w:t xml:space="preserve"> Labels/policies preserve from application forward; they do not reach back to create history that wasn't captured.</w:t>
      </w:r>
    </w:p>
    <w:p>
      <w:pPr>
        <w:pStyle w:val="ListBullet"/>
      </w:pPr>
      <w:r>
        <w:rPr>
          <w:b/>
        </w:rPr>
        <w:t>Communication Compliance is privacy-sensitive and license-gated.</w:t>
      </w:r>
      <w:r>
        <w:t xml:space="preserve"> It requires the right licensing and must be built with privacy-by-design, reviewer role separation, and (where available) pseudonymization; </w:t>
      </w:r>
      <w:r>
        <w:rPr>
          <w:b/>
        </w:rPr>
        <w:t>outcomes and case actions are HR/legal's, not this solution's.</w:t>
      </w:r>
    </w:p>
    <w:p>
      <w:pPr>
        <w:pStyle w:val="ListBullet"/>
      </w:pPr>
      <w:r>
        <w:rPr>
          <w:b/>
        </w:rPr>
        <w:t>17a-4 / WORM vs audit-trail alternative, and third-party attestations.</w:t>
      </w:r>
      <w:r>
        <w:t xml:space="preserve"> Whether your chosen configuration meets the amended SEA Rule 17a-4 (electronic recordkeeping requirements, including the audit-trail alternative) and any required third-party/undertaking letters are </w:t>
      </w:r>
      <w:r>
        <w:rPr>
          <w:b/>
        </w:rPr>
        <w:t>legal determinations</w:t>
      </w:r>
      <w:r>
        <w:t xml:space="preserve"> — </w:t>
      </w:r>
      <w:r>
        <w:rPr>
          <w:b/>
        </w:rPr>
        <w:t>verify with counsel and your records function.</w:t>
      </w:r>
    </w:p>
    <w:p>
      <w:pPr>
        <w:pStyle w:val="Heading2"/>
      </w:pPr>
      <w:r>
        <w:t>Naming convention (used in every doc and script)</w:t>
      </w:r>
    </w:p>
    <w:p>
      <w:r>
        <w:t xml:space="preserve">Every artifact this solution creates is named </w:t>
      </w:r>
      <w:r>
        <w:rPr>
          <w:rFonts w:ascii="Consolas" w:hAnsi="Consolas"/>
          <w:sz w:val="19"/>
        </w:rPr>
        <w:t>&lt;Purpose&gt; – &lt;Scope&gt; – &lt;Stage&gt;</w:t>
      </w:r>
      <w:r>
        <w:t xml:space="preserve"> and reused verbatim across the docs, scripts, and portal. The standard set: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Artifact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</w:tr>
      <w:tr>
        <w:tc>
          <w:tcPr>
            <w:tcW w:type="dxa" w:w="4320"/>
          </w:tcPr>
          <w:p>
            <w:r>
              <w:t>Regulatory-records retention label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Records – FINRA/SEC Regulated – Regulatory</w:t>
            </w:r>
          </w:p>
        </w:tc>
      </w:tr>
      <w:tr>
        <w:tc>
          <w:tcPr>
            <w:tcW w:type="dxa" w:w="4320"/>
          </w:tcPr>
          <w:p>
            <w:r>
              <w:t>Records retention-label publish policy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Retention – FINRA/SEC Records – Publish</w:t>
            </w:r>
          </w:p>
        </w:tc>
      </w:tr>
      <w:tr>
        <w:tc>
          <w:tcPr>
            <w:tcW w:type="dxa" w:w="4320"/>
          </w:tcPr>
          <w:p>
            <w:r>
              <w:t>Communications-store retention policy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Retention – FINRA/SEC Comms Store – Immutable</w:t>
            </w:r>
          </w:p>
        </w:tc>
      </w:tr>
      <w:tr>
        <w:tc>
          <w:tcPr>
            <w:tcW w:type="dxa" w:w="4320"/>
          </w:tcPr>
          <w:p>
            <w:r>
              <w:t>Communication-supervision policy (test)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Supervision – Registered Persons Comms – Test</w:t>
            </w:r>
          </w:p>
        </w:tc>
      </w:tr>
      <w:tr>
        <w:tc>
          <w:tcPr>
            <w:tcW w:type="dxa" w:w="4320"/>
          </w:tcPr>
          <w:p>
            <w:r>
              <w:t>Audit evidence retention policy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Audit Retention – FINRA/SEC Evidence – LongTerm</w:t>
            </w:r>
          </w:p>
        </w:tc>
      </w:tr>
      <w:tr>
        <w:tc>
          <w:tcPr>
            <w:tcW w:type="dxa" w:w="4320"/>
          </w:tcPr>
          <w:p>
            <w:r>
              <w:t>Compliance Manager assessment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Assessment – FINRA/SEC Controls – Program</w:t>
            </w:r>
          </w:p>
        </w:tc>
      </w:tr>
      <w:tr>
        <w:tc>
          <w:tcPr>
            <w:tcW w:type="dxa" w:w="4320"/>
          </w:tcPr>
          <w:p>
            <w:r>
              <w:t>Disposition-review stage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Disposition – FINRA/SEC Records – Review</w:t>
            </w:r>
          </w:p>
        </w:tc>
      </w:tr>
      <w:tr>
        <w:tc>
          <w:tcPr>
            <w:tcW w:type="dxa" w:w="4320"/>
          </w:tcPr>
          <w:p>
            <w:r>
              <w:t>Control-mapping register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Control Map – FINRA/SEC – Purview</w:t>
            </w:r>
          </w:p>
        </w:tc>
      </w:tr>
      <w:tr>
        <w:tc>
          <w:tcPr>
            <w:tcW w:type="dxa" w:w="4320"/>
          </w:tcPr>
          <w:p>
            <w:r>
              <w:t>Evidence binder export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Evidence – FINRA/SEC Controls – Binder</w:t>
            </w:r>
          </w:p>
        </w:tc>
      </w:tr>
      <w:tr>
        <w:tc>
          <w:tcPr>
            <w:tcW w:type="dxa" w:w="4320"/>
          </w:tcPr>
          <w:p>
            <w:r>
              <w:t>Pilot validation scope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FINRA/SEC Pilot – Registered Persons – Stage1</w:t>
            </w:r>
          </w:p>
        </w:tc>
      </w:tr>
    </w:tbl>
    <w:p>
      <w:pPr>
        <w:pStyle w:val="Heading2"/>
      </w:pPr>
      <w:r>
        <w:t>The standard deployment model</w:t>
      </w:r>
    </w:p>
    <w:p>
      <w:pPr>
        <w:ind w:left="432"/>
      </w:pPr>
      <w:r>
        <w:rPr>
          <w:i/>
          <w:color w:val="2E86C1"/>
        </w:rPr>
        <w:t>Assess the controls and licensing you have → design the rule-to-control map with compliance/legal → configure records retention, communication supervision, and audit evidence → pilot in simulation/test/disabled mode on a limited scope → validate the controls work and produce evidence → expand to enforcement. Pattern: Assess → Design → Configure → Pilot (simulate/test) → Validate → Expand (enforce). High-impact controls (regulatory records, supervision, retention) are always piloted before enforcement.</w:t>
      </w:r>
    </w:p>
    <w:p>
      <w:pPr>
        <w:pStyle w:val="Heading1"/>
      </w:pPr>
      <w:r>
        <w:t>2. Requirements Guide — Microsoft Purview FINRA/SEC Compliance Program</w:t>
      </w:r>
    </w:p>
    <w:p>
      <w:r>
        <w:t xml:space="preserve">Verify </w:t>
      </w:r>
      <w:r>
        <w:rPr>
          <w:b/>
        </w:rPr>
        <w:t>every</w:t>
      </w:r>
      <w:r>
        <w:t xml:space="preserve"> requirement before configuring. Each entry: </w:t>
      </w:r>
      <w:r>
        <w:rPr>
          <w:b/>
        </w:rPr>
        <w:t>Description · Why · Verify · Implement-if-missing.</w:t>
      </w:r>
      <w:r>
        <w:t xml:space="preserve"> Category-wide prerequisites (tenant/licensing, Purview roles, the S&amp;C PowerShell + Graph toolchain, in-scope workloads, compliance/records/legal stakeholders, pilot &amp; change control) are in </w:t>
      </w:r>
      <w:r>
        <w:rPr>
          <w:rFonts w:ascii="Consolas" w:hAnsi="Consolas"/>
          <w:sz w:val="19"/>
        </w:rPr>
        <w:t>global-requirements-purview.md</w:t>
      </w:r>
      <w:r>
        <w:t xml:space="preserve"> — this guide adds the FINRA/SEC-program detail.</w:t>
      </w:r>
    </w:p>
    <w:p>
      <w:pPr>
        <w:ind w:left="432"/>
      </w:pPr>
      <w:r>
        <w:rPr>
          <w:i/>
          <w:color w:val="2E86C1"/>
        </w:rPr>
        <w:t>Regulatory/licensing boundary. Regulatory records, Communication Compliance, Audit Premium, and auto-classification require Microsoft 365 E5 or the E5 Compliance add-on and evolve; confirm your entitlements rather than assuming. Which rules apply, which records/communications are in scope, which retention periods and supervisory lexicons are required, and whether a configuration satisfies FINRA/SEC are compliance/records/legal determinations — this solution configures the control and produces evidence; it does not make the determination. Where this guide flags "verify your licensing/tenant" or "compliance/legal to determine," do so before relying on the item.</w:t>
      </w:r>
    </w:p>
    <w:p>
      <w:pPr>
        <w:pStyle w:val="Heading2"/>
      </w:pPr>
      <w:r>
        <w:t>2.1 Compliance licensing for records, supervision, and audit evidence</w:t>
      </w:r>
    </w:p>
    <w:p>
      <w:r>
        <w:rPr>
          <w:b/>
        </w:rPr>
        <w:t>Description:</w:t>
      </w:r>
      <w:r>
        <w:t xml:space="preserve"> The program spans three licensed control domains. </w:t>
      </w:r>
      <w:r>
        <w:rPr>
          <w:b/>
        </w:rPr>
        <w:t>Records/regulatory-records retention</w:t>
      </w:r>
      <w:r>
        <w:t xml:space="preserve"> and </w:t>
      </w:r>
      <w:r>
        <w:rPr>
          <w:b/>
        </w:rPr>
        <w:t>auto-classification</w:t>
      </w:r>
      <w:r>
        <w:t xml:space="preserve"> need </w:t>
      </w:r>
      <w:r>
        <w:rPr>
          <w:b/>
        </w:rPr>
        <w:t>E5 / E5 Compliance</w:t>
      </w:r>
      <w:r>
        <w:t xml:space="preserve">; </w:t>
      </w:r>
      <w:r>
        <w:rPr>
          <w:b/>
        </w:rPr>
        <w:t>Communication Compliance</w:t>
      </w:r>
      <w:r>
        <w:t xml:space="preserve"> needs </w:t>
      </w:r>
      <w:r>
        <w:rPr>
          <w:b/>
        </w:rPr>
        <w:t>E5 / E5 Compliance</w:t>
      </w:r>
      <w:r>
        <w:t xml:space="preserve"> (or the Insider Risk Management add-on family); </w:t>
      </w:r>
      <w:r>
        <w:rPr>
          <w:b/>
        </w:rPr>
        <w:t>Audit Premium</w:t>
      </w:r>
      <w:r>
        <w:t xml:space="preserve"> (high-value events, long-term retention) needs </w:t>
      </w:r>
      <w:r>
        <w:rPr>
          <w:b/>
        </w:rPr>
        <w:t>E5 / E5 Compliance / Audit add-on</w:t>
      </w:r>
      <w:r>
        <w:t xml:space="preserve">, assigned </w:t>
      </w:r>
      <w:r>
        <w:rPr>
          <w:b/>
        </w:rPr>
        <w:t>per user</w:t>
      </w:r>
      <w:r>
        <w:t xml:space="preserve">. </w:t>
      </w:r>
      <w:r>
        <w:rPr>
          <w:b/>
        </w:rPr>
        <w:t>Why:</w:t>
      </w:r>
      <w:r>
        <w:t xml:space="preserve"> Every control below is plan-gated; the feature won't be available without the right plan (GR §1). </w:t>
      </w:r>
      <w:r>
        <w:rPr>
          <w:b/>
        </w:rPr>
        <w:t>Verify:</w:t>
      </w:r>
      <w:r>
        <w:t xml:space="preserve"> M365 admin center → </w:t>
      </w:r>
      <w:r>
        <w:rPr>
          <w:rFonts w:ascii="Consolas" w:hAnsi="Consolas"/>
          <w:sz w:val="19"/>
        </w:rPr>
        <w:t>Billing → Licenses</w:t>
      </w:r>
      <w:r>
        <w:t xml:space="preserve">; and run </w:t>
      </w:r>
      <w:r>
        <w:rPr>
          <w:rFonts w:ascii="Consolas" w:hAnsi="Consolas"/>
          <w:sz w:val="19"/>
        </w:rPr>
        <w:t>CMPFINRA-Discovery.ps1</w:t>
      </w:r>
      <w:r>
        <w:t xml:space="preserve">, which reports whether records/Communication-Compliance/Audit-Premium-bearing plans are present via Graph. </w:t>
      </w:r>
      <w:r>
        <w:rPr>
          <w:b/>
        </w:rPr>
        <w:t>Confirm plan/service-plan names against your tenant — they change.</w:t>
      </w:r>
      <w:r>
        <w:t xml:space="preserve"> </w:t>
      </w:r>
      <w:r>
        <w:rPr>
          <w:b/>
        </w:rPr>
        <w:t>Implement:</w:t>
      </w:r>
      <w:r>
        <w:t xml:space="preserve"> Assign/purchase E5 or the relevant add-ons to in-scope users before expecting the feature.</w:t>
      </w:r>
    </w:p>
    <w:p>
      <w:pPr>
        <w:pStyle w:val="Heading2"/>
      </w:pPr>
      <w:r>
        <w:t>2.2 Least-privilege roles with reviewer separation</w:t>
      </w:r>
    </w:p>
    <w:p>
      <w:r>
        <w:rPr>
          <w:b/>
        </w:rPr>
        <w:t>Description:</w:t>
      </w:r>
      <w:r>
        <w:t xml:space="preserve"> Distinct least-privilege roles for each domain — </w:t>
      </w:r>
      <w:r>
        <w:rPr>
          <w:b/>
        </w:rPr>
        <w:t>Records Management</w:t>
      </w:r>
      <w:r>
        <w:t xml:space="preserve"> / </w:t>
      </w:r>
      <w:r>
        <w:rPr>
          <w:b/>
        </w:rPr>
        <w:t>Retention Management</w:t>
      </w:r>
      <w:r>
        <w:t xml:space="preserve"> for labels &amp; policies; </w:t>
      </w:r>
      <w:r>
        <w:rPr>
          <w:b/>
        </w:rPr>
        <w:t>Compliance Administrator</w:t>
      </w:r>
      <w:r>
        <w:t xml:space="preserve"> / </w:t>
      </w:r>
      <w:r>
        <w:rPr>
          <w:b/>
        </w:rPr>
        <w:t>Communication Compliance</w:t>
      </w:r>
      <w:r>
        <w:t xml:space="preserve"> role groups (Admin, Analyst, Investigator, Viewer) for supervision, kept </w:t>
      </w:r>
      <w:r>
        <w:rPr>
          <w:b/>
        </w:rPr>
        <w:t>separate</w:t>
      </w:r>
      <w:r>
        <w:t xml:space="preserve"> from the configuring admin; </w:t>
      </w:r>
      <w:r>
        <w:rPr>
          <w:b/>
        </w:rPr>
        <w:t>Audit Manager/Reader</w:t>
      </w:r>
      <w:r>
        <w:t xml:space="preserve"> for evidence; </w:t>
      </w:r>
      <w:r>
        <w:rPr>
          <w:b/>
        </w:rPr>
        <w:t>Compliance Manager</w:t>
      </w:r>
      <w:r>
        <w:t xml:space="preserve"> roles for assessments. Global Administrator only where genuinely required. </w:t>
      </w:r>
      <w:r>
        <w:rPr>
          <w:b/>
        </w:rPr>
        <w:t>Why:</w:t>
      </w:r>
      <w:r>
        <w:t xml:space="preserve"> Purview uses fine-grained role groups; </w:t>
      </w:r>
      <w:r>
        <w:rPr>
          <w:b/>
        </w:rPr>
        <w:t>Communication Compliance is HR/privacy-sensitive and demands reviewer role separation</w:t>
      </w:r>
      <w:r>
        <w:t xml:space="preserve"> so configurers can't self-review and reviewers see only their scope (GR §2). </w:t>
      </w:r>
      <w:r>
        <w:rPr>
          <w:b/>
        </w:rPr>
        <w:t>Verify:</w:t>
      </w:r>
      <w:r>
        <w:t xml:space="preserve"> Purview portal → </w:t>
      </w:r>
      <w:r>
        <w:rPr>
          <w:rFonts w:ascii="Consolas" w:hAnsi="Consolas"/>
          <w:sz w:val="19"/>
        </w:rPr>
        <w:t>Settings → Roles &amp; scopes / Permissions</w:t>
      </w:r>
      <w:r>
        <w:t xml:space="preserve"> — confirm membership per domain; </w:t>
      </w:r>
      <w:r>
        <w:rPr>
          <w:rFonts w:ascii="Consolas" w:hAnsi="Consolas"/>
          <w:sz w:val="19"/>
        </w:rPr>
        <w:t>CMPFINRA-Scope.ps1</w:t>
      </w:r>
      <w:r>
        <w:t xml:space="preserve"> reports the role groups it can see and connection identity. </w:t>
      </w:r>
      <w:r>
        <w:rPr>
          <w:b/>
        </w:rPr>
        <w:t>Implement:</w:t>
      </w:r>
      <w:r>
        <w:t xml:space="preserve"> Assign the least-privilege role groups under change control; document the reviewer separation for the supervision control.</w:t>
      </w:r>
    </w:p>
    <w:p>
      <w:pPr>
        <w:pStyle w:val="Heading2"/>
      </w:pPr>
      <w:r>
        <w:t>2.3 Security &amp; Compliance PowerShell + Graph toolchain</w:t>
      </w:r>
    </w:p>
    <w:p>
      <w:r>
        <w:rPr>
          <w:b/>
        </w:rPr>
        <w:t>Description:</w:t>
      </w:r>
      <w:r>
        <w:t xml:space="preserve"> A workstation with the </w:t>
      </w:r>
      <w:r>
        <w:rPr>
          <w:rFonts w:ascii="Consolas" w:hAnsi="Consolas"/>
          <w:sz w:val="19"/>
        </w:rPr>
        <w:t>ExchangeOnlineManagement</w:t>
      </w:r>
      <w:r>
        <w:t xml:space="preserve"> module (for </w:t>
      </w:r>
      <w:r>
        <w:rPr>
          <w:rFonts w:ascii="Consolas" w:hAnsi="Consolas"/>
          <w:sz w:val="19"/>
        </w:rPr>
        <w:t>Connect-IPPSSession</w:t>
      </w:r>
      <w:r>
        <w:t xml:space="preserve"> — retention labels/policies, </w:t>
      </w:r>
      <w:r>
        <w:rPr>
          <w:rFonts w:ascii="Consolas" w:hAnsi="Consolas"/>
          <w:sz w:val="19"/>
        </w:rPr>
        <w:t>*-RetentionCompliancePolicy</w:t>
      </w:r>
      <w:r>
        <w:t>/</w:t>
      </w:r>
      <w:r>
        <w:rPr>
          <w:rFonts w:ascii="Consolas" w:hAnsi="Consolas"/>
          <w:sz w:val="19"/>
        </w:rPr>
        <w:t>*-ComplianceTag</w:t>
      </w:r>
      <w:r>
        <w:t xml:space="preserve">, </w:t>
      </w:r>
      <w:r>
        <w:rPr>
          <w:rFonts w:ascii="Consolas" w:hAnsi="Consolas"/>
          <w:sz w:val="19"/>
        </w:rPr>
        <w:t>*-SupervisoryReview*</w:t>
      </w:r>
      <w:r>
        <w:t xml:space="preserve">, </w:t>
      </w:r>
      <w:r>
        <w:rPr>
          <w:rFonts w:ascii="Consolas" w:hAnsi="Consolas"/>
          <w:sz w:val="19"/>
        </w:rPr>
        <w:t>*-UnifiedAuditLogRetentionPolicy</w:t>
      </w:r>
      <w:r>
        <w:t xml:space="preserve">) and </w:t>
      </w:r>
      <w:r>
        <w:rPr>
          <w:rFonts w:ascii="Consolas" w:hAnsi="Consolas"/>
          <w:sz w:val="19"/>
        </w:rPr>
        <w:t>Microsoft.Graph</w:t>
      </w:r>
      <w:r>
        <w:t xml:space="preserve"> (licensing reads), with a modern-auth/MFA admin. </w:t>
      </w:r>
      <w:r>
        <w:rPr>
          <w:b/>
        </w:rPr>
        <w:t>Why:</w:t>
      </w:r>
      <w:r>
        <w:t xml:space="preserve"> All configuration and the provided scripts run through Security &amp; Compliance PowerShell and Graph (GR §3).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Get-Module -ListAvailable ExchangeOnlineManagement</w:t>
      </w:r>
      <w:r>
        <w:t xml:space="preserve">; </w:t>
      </w:r>
      <w:r>
        <w:rPr>
          <w:rFonts w:ascii="Consolas" w:hAnsi="Consolas"/>
          <w:sz w:val="19"/>
        </w:rPr>
        <w:t>Connect-IPPSSession</w:t>
      </w:r>
      <w:r>
        <w:t xml:space="preserve"> and </w:t>
      </w:r>
      <w:r>
        <w:rPr>
          <w:rFonts w:ascii="Consolas" w:hAnsi="Consolas"/>
          <w:sz w:val="19"/>
        </w:rPr>
        <w:t>Connect-MgGraph</w:t>
      </w:r>
      <w:r>
        <w:t xml:space="preserve"> succeed; </w:t>
      </w:r>
      <w:r>
        <w:rPr>
          <w:rFonts w:ascii="Consolas" w:hAnsi="Consolas"/>
          <w:sz w:val="19"/>
        </w:rPr>
        <w:t>CMPFINRA-Discovery.ps1</w:t>
      </w:r>
      <w:r>
        <w:t xml:space="preserve"> reports which endpoints are reachable. </w:t>
      </w:r>
      <w:r>
        <w:rPr>
          <w:b/>
        </w:rPr>
        <w:t>Implement:</w:t>
      </w:r>
      <w:r>
        <w:t xml:space="preserve"> </w:t>
      </w:r>
      <w:r>
        <w:rPr>
          <w:rFonts w:ascii="Consolas" w:hAnsi="Consolas"/>
          <w:sz w:val="19"/>
        </w:rPr>
        <w:t>Install-Module ExchangeOnlineManagement -Scope CurrentUser</w:t>
      </w:r>
      <w:r>
        <w:t xml:space="preserve">; </w:t>
      </w:r>
      <w:r>
        <w:rPr>
          <w:rFonts w:ascii="Consolas" w:hAnsi="Consolas"/>
          <w:sz w:val="19"/>
        </w:rPr>
        <w:t>Install-Module Microsoft.Graph -Scope CurrentUser</w:t>
      </w:r>
      <w:r>
        <w:t>.</w:t>
      </w:r>
    </w:p>
    <w:p>
      <w:pPr>
        <w:pStyle w:val="Heading2"/>
      </w:pPr>
      <w:r>
        <w:t>2.4 In-scope population, workloads, and communications channels</w:t>
      </w:r>
    </w:p>
    <w:p>
      <w:r>
        <w:rPr>
          <w:b/>
        </w:rPr>
        <w:t>Description:</w:t>
      </w:r>
      <w:r>
        <w:t xml:space="preserve"> The </w:t>
      </w:r>
      <w:r>
        <w:rPr>
          <w:b/>
        </w:rPr>
        <w:t>registered/covered persons</w:t>
      </w:r>
      <w:r>
        <w:t xml:space="preserve"> in scope, the </w:t>
      </w:r>
      <w:r>
        <w:rPr>
          <w:b/>
        </w:rPr>
        <w:t>workloads</w:t>
      </w:r>
      <w:r>
        <w:t xml:space="preserve"> holding books-and-records (Exchange, SharePoint, OneDrive, Teams) and the </w:t>
      </w:r>
      <w:r>
        <w:rPr>
          <w:b/>
        </w:rPr>
        <w:t>communication channels</w:t>
      </w:r>
      <w:r>
        <w:t xml:space="preserve"> to supervise (Exchange email, Teams chat/channels, and any connected channels), plus a </w:t>
      </w:r>
      <w:r>
        <w:rPr>
          <w:b/>
        </w:rPr>
        <w:t>classification intent</w:t>
      </w:r>
      <w:r>
        <w:t xml:space="preserve"> to drive labels. </w:t>
      </w:r>
      <w:r>
        <w:rPr>
          <w:b/>
        </w:rPr>
        <w:t>Why:</w:t>
      </w:r>
      <w:r>
        <w:t xml:space="preserve"> Retention, supervision, and audit controls key off the in-scope population/workloads/channels (GR §4). </w:t>
      </w:r>
      <w:r>
        <w:rPr>
          <w:b/>
        </w:rPr>
        <w:t>Verify:</w:t>
      </w:r>
      <w:r>
        <w:t xml:space="preserve"> Confirm the population (a group/OU of covered persons), the in-scope workloads/channels, and the classification approach with compliance; </w:t>
      </w:r>
      <w:r>
        <w:rPr>
          <w:rFonts w:ascii="Consolas" w:hAnsi="Consolas"/>
          <w:sz w:val="19"/>
        </w:rPr>
        <w:t>CMPFINRA-Scope.ps1</w:t>
      </w:r>
      <w:r>
        <w:t xml:space="preserve"> enumerates the target group's members and the mailboxes/sites in scope (read-only). </w:t>
      </w:r>
      <w:r>
        <w:rPr>
          <w:b/>
        </w:rPr>
        <w:t>Implement:</w:t>
      </w:r>
      <w:r>
        <w:t xml:space="preserve"> Define the covered-persons group and the in-scope workloads/channels before authoring controls.</w:t>
      </w:r>
    </w:p>
    <w:p>
      <w:pPr>
        <w:pStyle w:val="Heading2"/>
      </w:pPr>
      <w:r>
        <w:t>2.5 The rule-to-control map and retention schedule (from compliance/records/legal)</w:t>
      </w:r>
    </w:p>
    <w:p>
      <w:r>
        <w:rPr>
          <w:b/>
        </w:rPr>
        <w:t>Description:</w:t>
      </w:r>
      <w:r>
        <w:t xml:space="preserve"> A documented statement — </w:t>
      </w:r>
      <w:r>
        <w:rPr>
          <w:b/>
        </w:rPr>
        <w:t>from compliance, records, and legal</w:t>
      </w:r>
      <w:r>
        <w:t xml:space="preserve"> — of which FINRA/SEC obligations are in scope, what must be </w:t>
      </w:r>
      <w:r>
        <w:rPr>
          <w:b/>
        </w:rPr>
        <w:t>retained and for how long</w:t>
      </w:r>
      <w:r>
        <w:t xml:space="preserve"> (the records schedule), which communications must be </w:t>
      </w:r>
      <w:r>
        <w:rPr>
          <w:b/>
        </w:rPr>
        <w:t>supervised</w:t>
      </w:r>
      <w:r>
        <w:t xml:space="preserve"> and against what conditions/lexicon, and who approves. </w:t>
      </w:r>
      <w:r>
        <w:rPr>
          <w:b/>
        </w:rPr>
        <w:t>Why:</w:t>
      </w:r>
      <w:r>
        <w:t xml:space="preserve"> Rule applicability, retention duration, and supervisory scope are </w:t>
      </w:r>
      <w:r>
        <w:rPr>
          <w:b/>
        </w:rPr>
        <w:t>regulatory/legal determinations</w:t>
      </w:r>
      <w:r>
        <w:t xml:space="preserve">, not technical defaults (GR §5); the solution configures to them and evidences them — it does not decide them. </w:t>
      </w:r>
      <w:r>
        <w:rPr>
          <w:b/>
        </w:rPr>
        <w:t>Verify:</w:t>
      </w:r>
      <w:r>
        <w:t xml:space="preserve"> You can name, per control domain, the obligation, the required retention/supervision, and the named approver; these populate the </w:t>
      </w:r>
      <w:r>
        <w:rPr>
          <w:rFonts w:ascii="Consolas" w:hAnsi="Consolas"/>
          <w:sz w:val="19"/>
        </w:rPr>
        <w:t>Control Map – FINRA/SEC – Purview</w:t>
      </w:r>
      <w:r>
        <w:t xml:space="preserve"> register. </w:t>
      </w:r>
      <w:r>
        <w:rPr>
          <w:b/>
        </w:rPr>
        <w:t>Implement:</w:t>
      </w:r>
      <w:r>
        <w:t xml:space="preserve"> Capture the rule-to-control map, retention schedule, and supervisory scope with approvals before configuring — especially before any </w:t>
      </w:r>
      <w:r>
        <w:rPr>
          <w:b/>
        </w:rPr>
        <w:t>regulatory-records</w:t>
      </w:r>
      <w:r>
        <w:t xml:space="preserve"> (irreversible) label.</w:t>
      </w:r>
    </w:p>
    <w:p>
      <w:pPr>
        <w:pStyle w:val="Heading2"/>
      </w:pPr>
      <w:r>
        <w:t>2.6 Communication Compliance privacy &amp; governance preconditions</w:t>
      </w:r>
    </w:p>
    <w:p>
      <w:r>
        <w:rPr>
          <w:b/>
        </w:rPr>
        <w:t>Description:</w:t>
      </w:r>
      <w:r>
        <w:t xml:space="preserve"> For the supervision control specifically: agreement on </w:t>
      </w:r>
      <w:r>
        <w:rPr>
          <w:b/>
        </w:rPr>
        <w:t>privacy-by-design</w:t>
      </w:r>
      <w:r>
        <w:t xml:space="preserve"> (data minimization, </w:t>
      </w:r>
      <w:r>
        <w:rPr>
          <w:b/>
        </w:rPr>
        <w:t>pseudonymization</w:t>
      </w:r>
      <w:r>
        <w:t xml:space="preserve"> of monitored users where the tenant supports it), </w:t>
      </w:r>
      <w:r>
        <w:rPr>
          <w:b/>
        </w:rPr>
        <w:t>reviewer role separation</w:t>
      </w:r>
      <w:r>
        <w:t xml:space="preserve">, works-council/employee-notice obligations where applicable, and the disposition of review outcomes. </w:t>
      </w:r>
      <w:r>
        <w:rPr>
          <w:b/>
        </w:rPr>
        <w:t>Why:</w:t>
      </w:r>
      <w:r>
        <w:t xml:space="preserve"> Supervision reads employees' communications — it is HR/privacy-sensitive; outcomes and case actions are </w:t>
      </w:r>
      <w:r>
        <w:rPr>
          <w:b/>
        </w:rPr>
        <w:t>HR/legal's</w:t>
      </w:r>
      <w:r>
        <w:t xml:space="preserve">, and mis-scoped monitoring is a privacy risk (GR §5, and the category's insider-risk/comms-compliance sensitivity rule). </w:t>
      </w:r>
      <w:r>
        <w:rPr>
          <w:b/>
        </w:rPr>
        <w:t>Verify:</w:t>
      </w:r>
      <w:r>
        <w:t xml:space="preserve"> Named reviewers (separated from configurers), a privacy/notice sign-off, and whether pseudonymization is enabled in the tenant. </w:t>
      </w:r>
      <w:r>
        <w:rPr>
          <w:b/>
        </w:rPr>
        <w:t>Implement:</w:t>
      </w:r>
      <w:r>
        <w:t xml:space="preserve"> Obtain the privacy sign-off and reviewer roster; enable pseudonymization if required; </w:t>
      </w:r>
      <w:r>
        <w:rPr>
          <w:b/>
        </w:rPr>
        <w:t>build the policy in test mode</w:t>
      </w:r>
      <w:r>
        <w:t xml:space="preserve"> until sign-off is complete.</w:t>
      </w:r>
    </w:p>
    <w:p>
      <w:pPr>
        <w:pStyle w:val="Heading2"/>
      </w:pPr>
      <w:r>
        <w:t>2.7 Unified audit logging on, and an evidence-retention requirement</w:t>
      </w:r>
    </w:p>
    <w:p>
      <w:r>
        <w:rPr>
          <w:b/>
        </w:rPr>
        <w:t>Description:</w:t>
      </w:r>
      <w:r>
        <w:t xml:space="preserve"> </w:t>
      </w:r>
      <w:r>
        <w:rPr>
          <w:rFonts w:ascii="Consolas" w:hAnsi="Consolas"/>
          <w:sz w:val="19"/>
        </w:rPr>
        <w:t>UnifiedAuditLogIngestionEnabled</w:t>
      </w:r>
      <w:r>
        <w:t xml:space="preserve"> must be </w:t>
      </w:r>
      <w:r>
        <w:rPr>
          <w:b/>
        </w:rPr>
        <w:t>true</w:t>
      </w:r>
      <w:r>
        <w:t xml:space="preserve"> so the audit-trail control captures evidence, plus a documented statement of how long audit </w:t>
      </w:r>
      <w:r>
        <w:rPr>
          <w:b/>
        </w:rPr>
        <w:t>evidence</w:t>
      </w:r>
      <w:r>
        <w:t xml:space="preserve"> must be retained. </w:t>
      </w:r>
      <w:r>
        <w:rPr>
          <w:b/>
        </w:rPr>
        <w:t>Why:</w:t>
      </w:r>
      <w:r>
        <w:t xml:space="preserve"> No audit evidence is written while ingestion is off, and it is </w:t>
      </w:r>
      <w:r>
        <w:rPr>
          <w:b/>
        </w:rPr>
        <w:t>not retroactive</w:t>
      </w:r>
      <w:r>
        <w:t xml:space="preserve">; retention duration is a compliance determination (GR §5/§6).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CMPFINRA-Discovery.ps1</w:t>
      </w:r>
      <w:r>
        <w:t xml:space="preserve"> reports </w:t>
      </w:r>
      <w:r>
        <w:rPr>
          <w:rFonts w:ascii="Consolas" w:hAnsi="Consolas"/>
          <w:sz w:val="19"/>
        </w:rPr>
        <w:t>UnifiedAuditLogIngestionEnabled</w:t>
      </w:r>
      <w:r>
        <w:t xml:space="preserve"> and existing audit retention policies. </w:t>
      </w:r>
      <w:r>
        <w:rPr>
          <w:b/>
        </w:rPr>
        <w:t>Implement:</w:t>
      </w:r>
      <w:r>
        <w:t xml:space="preserve"> Enable unified audit under change control (via the Purview Audit solution / Exchange Online), then create the evidence-retention policy in Step 4 of the Implementation Guide.</w:t>
      </w:r>
    </w:p>
    <w:p>
      <w:pPr>
        <w:pStyle w:val="Heading2"/>
      </w:pPr>
      <w:r>
        <w:t>2.8 A pilot scope, simulation/test mode, and change control</w:t>
      </w:r>
    </w:p>
    <w:p>
      <w:r>
        <w:rPr>
          <w:b/>
        </w:rPr>
        <w:t>Description:</w:t>
      </w:r>
      <w:r>
        <w:t xml:space="preserve"> A bounded </w:t>
      </w:r>
      <w:r>
        <w:rPr>
          <w:b/>
        </w:rPr>
        <w:t>pilot scope</w:t>
      </w:r>
      <w:r>
        <w:t xml:space="preserve"> (</w:t>
      </w:r>
      <w:r>
        <w:rPr>
          <w:rFonts w:ascii="Consolas" w:hAnsi="Consolas"/>
          <w:sz w:val="19"/>
        </w:rPr>
        <w:t>FINRA/SEC Pilot – Registered Persons – Stage1</w:t>
      </w:r>
      <w:r>
        <w:t xml:space="preserve"> — a small set of covered persons/mailboxes/sites) and a </w:t>
      </w:r>
      <w:r>
        <w:rPr>
          <w:b/>
        </w:rPr>
        <w:t>change-control</w:t>
      </w:r>
      <w:r>
        <w:t xml:space="preserve"> window. Retention labels can be trialed with </w:t>
      </w:r>
      <w:r>
        <w:rPr>
          <w:b/>
        </w:rPr>
        <w:t>non-regulatory</w:t>
      </w:r>
      <w:r>
        <w:t xml:space="preserve"> records first; Communication Compliance supports a </w:t>
      </w:r>
      <w:r>
        <w:rPr>
          <w:b/>
        </w:rPr>
        <w:t>test mode</w:t>
      </w:r>
      <w:r>
        <w:t xml:space="preserve">; audit changes are reversible. </w:t>
      </w:r>
      <w:r>
        <w:rPr>
          <w:b/>
        </w:rPr>
        <w:t>Why:</w:t>
      </w:r>
      <w:r>
        <w:t xml:space="preserve"> Records/regulatory-records, supervision, and retention are </w:t>
      </w:r>
      <w:r>
        <w:rPr>
          <w:b/>
        </w:rPr>
        <w:t>high-impact</w:t>
      </w:r>
      <w:r>
        <w:t xml:space="preserve"> — regulatory records are effectively irreversible — so every change is piloted in simulation/test/disabled mode before enforcement (GR §6). </w:t>
      </w:r>
      <w:r>
        <w:rPr>
          <w:b/>
        </w:rPr>
        <w:t>Verify:</w:t>
      </w:r>
      <w:r>
        <w:t xml:space="preserve"> A named pilot scope, confirmation that test/disabled mode is available for each control, and a change window/approval path. </w:t>
      </w:r>
      <w:r>
        <w:rPr>
          <w:b/>
        </w:rPr>
        <w:t>Implement:</w:t>
      </w:r>
      <w:r>
        <w:t xml:space="preserve"> Define the pilot scope and agree change control before enabling or applying any control — </w:t>
      </w:r>
      <w:r>
        <w:rPr>
          <w:b/>
        </w:rPr>
        <w:t>never apply a regulatory-records label outside the pilot without explicit compliance sign-off.</w:t>
      </w:r>
    </w:p>
    <w:p>
      <w:pPr>
        <w:pStyle w:val="Heading1"/>
      </w:pPr>
      <w:r>
        <w:t>Global Requirements — Microsoft Purview Solutions</w:t>
      </w:r>
    </w:p>
    <w:p>
      <w:r>
        <w:t xml:space="preserve">These requirements apply to </w:t>
      </w:r>
      <w:r>
        <w:rPr>
          <w:b/>
        </w:rPr>
        <w:t>every</w:t>
      </w:r>
      <w:r>
        <w:t xml:space="preserve"> solution in the </w:t>
      </w:r>
      <w:r>
        <w:rPr>
          <w:b/>
        </w:rPr>
        <w:t>Purview</w:t>
      </w:r>
      <w:r>
        <w:t xml:space="preserve"> category (implementing and managing Microsoft Purview, sensitivity &amp; retention labels, DLP, data lifecycle &amp; records, insider risk, communication compliance, audit, data security posture management, and data governance). Verify each before starting a solution's implementation steps.</w:t>
      </w:r>
    </w:p>
    <w:p>
      <w:pPr>
        <w:ind w:left="432"/>
      </w:pPr>
      <w:r>
        <w:rPr>
          <w:i/>
          <w:color w:val="2E86C1"/>
        </w:rPr>
        <w:t>Vendor boundary (applies to every Purview solution). The Microsoft Purview portal (purview.microsoft.com), the Microsoft 365 admin center, Security &amp; Compliance PowerShell (Connect-IPPSSession), and Microsoft Graph are authored at exact, current click-by-click / cmdlet detail from Microsoft's public documentation. Microsoft Purview features are heavily licensing-/plan-dependent (many require Microsoft 365 E5 or the E5 Compliance add-on; some are in preview) and the portal is actively evolving — capability availability and portal paths are cited or flagged "verify your licensing/tenant", never asserted or invented. Regulatory, records-retention, and legal determinations (retention schedules, records file plans, legal holds, insider-risk case actions, regulatory applicability) are deferred to the organization's compliance, records, privacy, and legal functions — the solutions provide the technical configuration method and evidence, not the determination. Automation is PowerShell (Security &amp; Compliance PowerShell / Graph) — never with hardcoded credentials or secrets.</w:t>
      </w:r>
    </w:p>
    <w:p>
      <w:pPr>
        <w:pStyle w:val="Heading2"/>
      </w:pPr>
      <w:r>
        <w:t>1. Microsoft 365 tenant with the required Purview/compliance licensing</w:t>
      </w:r>
    </w:p>
    <w:p>
      <w:pPr>
        <w:pStyle w:val="ListBullet"/>
      </w:pPr>
      <w:r>
        <w:rPr>
          <w:b/>
        </w:rPr>
        <w:t>Description:</w:t>
      </w:r>
      <w:r>
        <w:t xml:space="preserve"> A Microsoft 365 tenant with the </w:t>
      </w:r>
      <w:r>
        <w:rPr>
          <w:b/>
        </w:rPr>
        <w:t>compliance licensing</w:t>
      </w:r>
      <w:r>
        <w:t xml:space="preserve"> the capability requires</w:t>
      </w:r>
    </w:p>
    <w:p>
      <w:r>
        <w:t xml:space="preserve">  (E3 for baseline; </w:t>
      </w:r>
      <w:r>
        <w:rPr>
          <w:b/>
        </w:rPr>
        <w:t>E5 / E5 Compliance</w:t>
      </w:r>
      <w:r>
        <w:t xml:space="preserve"> for advanced DLP, auto-labeling, insider risk, communication   compliance, Audit Premium, DSPM, etc.).</w:t>
      </w:r>
    </w:p>
    <w:p>
      <w:pPr>
        <w:pStyle w:val="ListBullet"/>
      </w:pPr>
      <w:r>
        <w:rPr>
          <w:b/>
        </w:rPr>
        <w:t>Why required:</w:t>
      </w:r>
      <w:r>
        <w:t xml:space="preserve"> Most Purview capabilities are plan-gated; the feature won't be available without the</w:t>
      </w:r>
    </w:p>
    <w:p>
      <w:r>
        <w:t xml:space="preserve">  right plan.</w:t>
      </w:r>
    </w:p>
    <w:p>
      <w:pPr>
        <w:pStyle w:val="ListBullet"/>
      </w:pPr>
      <w:r>
        <w:rPr>
          <w:b/>
        </w:rPr>
        <w:t>How to verify:</w:t>
      </w:r>
      <w:r>
        <w:t xml:space="preserve"> In the M365 admin center confirm the subscription/add-ons; check the feature is</w:t>
      </w:r>
    </w:p>
    <w:p>
      <w:r>
        <w:t xml:space="preserve">  visible in the Purview portal.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Assign/purchase the required licensing before starting.</w:t>
      </w:r>
    </w:p>
    <w:p>
      <w:pPr>
        <w:pStyle w:val="Heading2"/>
      </w:pPr>
      <w:r>
        <w:t>2. Purview roles (least-privilege) and portal access</w:t>
      </w:r>
    </w:p>
    <w:p>
      <w:pPr>
        <w:pStyle w:val="ListBullet"/>
      </w:pPr>
      <w:r>
        <w:rPr>
          <w:b/>
        </w:rPr>
        <w:t>Description:</w:t>
      </w:r>
      <w:r>
        <w:t xml:space="preserve"> Access with the least-privilege </w:t>
      </w:r>
      <w:r>
        <w:rPr>
          <w:b/>
        </w:rPr>
        <w:t>Purview / compliance role</w:t>
      </w:r>
      <w:r>
        <w:t xml:space="preserve"> the solution names</w:t>
      </w:r>
    </w:p>
    <w:p>
      <w:r>
        <w:t xml:space="preserve">  (e.g. Compliance Administrator, Compliance Data Administrator, Information Protection, Records   Management, Insider Risk, eDiscovery, Audit roles), with Global Administrator only where required.</w:t>
      </w:r>
    </w:p>
    <w:p>
      <w:pPr>
        <w:pStyle w:val="ListBullet"/>
      </w:pPr>
      <w:r>
        <w:rPr>
          <w:b/>
        </w:rPr>
        <w:t>Why required:</w:t>
      </w:r>
      <w:r>
        <w:t xml:space="preserve"> Purview uses fine-grained role groups; configuration requires the matching role.</w:t>
      </w:r>
    </w:p>
    <w:p>
      <w:pPr>
        <w:pStyle w:val="ListBullet"/>
      </w:pPr>
      <w:r>
        <w:rPr>
          <w:b/>
        </w:rPr>
        <w:t>How to verify:</w:t>
      </w:r>
      <w:r>
        <w:t xml:space="preserve"> Purview portal → </w:t>
      </w:r>
      <w:r>
        <w:rPr>
          <w:b/>
        </w:rPr>
        <w:t>Roles &amp; scopes / Permissions</w:t>
      </w:r>
      <w:r>
        <w:t xml:space="preserve"> — confirm the role membership.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Assign the least-privilege role group under change control.</w:t>
      </w:r>
    </w:p>
    <w:p>
      <w:pPr>
        <w:pStyle w:val="Heading2"/>
      </w:pPr>
      <w:r>
        <w:t>3. Security &amp; Compliance PowerShell + Graph toolchain</w:t>
      </w:r>
    </w:p>
    <w:p>
      <w:pPr>
        <w:pStyle w:val="ListBullet"/>
      </w:pPr>
      <w:r>
        <w:rPr>
          <w:b/>
        </w:rPr>
        <w:t>Description:</w:t>
      </w:r>
      <w:r>
        <w:t xml:space="preserve"> A workstation with </w:t>
      </w:r>
      <w:r>
        <w:rPr>
          <w:b/>
        </w:rPr>
        <w:t>Security &amp; Compliance PowerShell</w:t>
      </w:r>
      <w:r>
        <w:t xml:space="preserve"> (</w:t>
      </w:r>
      <w:r>
        <w:rPr>
          <w:rFonts w:ascii="Consolas" w:hAnsi="Consolas"/>
          <w:sz w:val="19"/>
        </w:rPr>
        <w:t>Connect-IPPSSession</w:t>
      </w:r>
      <w:r>
        <w:t xml:space="preserve"> via the</w:t>
      </w:r>
    </w:p>
    <w:p>
      <w:r>
        <w:t xml:space="preserve">  ExchangeOnlineManagement module) and </w:t>
      </w:r>
      <w:r>
        <w:rPr>
          <w:b/>
        </w:rPr>
        <w:t>Microsoft Graph PowerShell</w:t>
      </w:r>
      <w:r>
        <w:t>, modern-auth / MFA-capable admin.</w:t>
      </w:r>
    </w:p>
    <w:p>
      <w:pPr>
        <w:pStyle w:val="ListBullet"/>
      </w:pPr>
      <w:r>
        <w:rPr>
          <w:b/>
        </w:rPr>
        <w:t>Why required:</w:t>
      </w:r>
      <w:r>
        <w:t xml:space="preserve"> Configuration, automation, and the provided scripts run through these.</w:t>
      </w:r>
    </w:p>
    <w:p>
      <w:pPr>
        <w:pStyle w:val="ListBullet"/>
      </w:pPr>
      <w:r>
        <w:rPr>
          <w:b/>
        </w:rPr>
        <w:t>How to verify:</w:t>
      </w:r>
      <w:r>
        <w:t xml:space="preserve"> </w:t>
      </w:r>
      <w:r>
        <w:rPr>
          <w:rFonts w:ascii="Consolas" w:hAnsi="Consolas"/>
          <w:sz w:val="19"/>
        </w:rPr>
        <w:t>Connect-IPPSSession</w:t>
      </w:r>
      <w:r>
        <w:t xml:space="preserve"> and </w:t>
      </w:r>
      <w:r>
        <w:rPr>
          <w:rFonts w:ascii="Consolas" w:hAnsi="Consolas"/>
          <w:sz w:val="19"/>
        </w:rPr>
        <w:t>Connect-MgGraph</w:t>
      </w:r>
      <w:r>
        <w:t xml:space="preserve"> succeed with the admin account.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Install the modules and confirm modern-auth sign-in before running steps.</w:t>
      </w:r>
    </w:p>
    <w:p>
      <w:pPr>
        <w:pStyle w:val="Heading2"/>
      </w:pPr>
      <w:r>
        <w:t>4. Data sources &amp; scope in scope</w:t>
      </w:r>
    </w:p>
    <w:p>
      <w:pPr>
        <w:pStyle w:val="ListBullet"/>
      </w:pPr>
      <w:r>
        <w:rPr>
          <w:b/>
        </w:rPr>
        <w:t>Description:</w:t>
      </w:r>
      <w:r>
        <w:t xml:space="preserve"> The </w:t>
      </w:r>
      <w:r>
        <w:rPr>
          <w:b/>
        </w:rPr>
        <w:t>workloads and data sources</w:t>
      </w:r>
      <w:r>
        <w:t xml:space="preserve"> in scope (Exchange, SharePoint, OneDrive, Teams,</w:t>
      </w:r>
    </w:p>
    <w:p>
      <w:r>
        <w:t xml:space="preserve">  endpoints/devices, and — for data governance — the broader data estate) and a </w:t>
      </w:r>
      <w:r>
        <w:rPr>
          <w:b/>
        </w:rPr>
        <w:t>data-classification /   sensitivity</w:t>
      </w:r>
      <w:r>
        <w:t xml:space="preserve"> intent to drive labels, DLP, and retention.</w:t>
      </w:r>
    </w:p>
    <w:p>
      <w:pPr>
        <w:pStyle w:val="ListBullet"/>
      </w:pPr>
      <w:r>
        <w:rPr>
          <w:b/>
        </w:rPr>
        <w:t>Why required:</w:t>
      </w:r>
      <w:r>
        <w:t xml:space="preserve"> Purview policies key off the in-scope workloads and the classification scheme.</w:t>
      </w:r>
    </w:p>
    <w:p>
      <w:pPr>
        <w:pStyle w:val="ListBullet"/>
      </w:pPr>
      <w:r>
        <w:rPr>
          <w:b/>
        </w:rPr>
        <w:t>How to verify:</w:t>
      </w:r>
      <w:r>
        <w:t xml:space="preserve"> Confirm the in-scope workloads and the classification/sensitivity approach with</w:t>
      </w:r>
    </w:p>
    <w:p>
      <w:r>
        <w:t xml:space="preserve">  stakeholders.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Define the scope and classification intent before authoring policies.</w:t>
      </w:r>
    </w:p>
    <w:p>
      <w:pPr>
        <w:pStyle w:val="Heading2"/>
      </w:pPr>
      <w:r>
        <w:t>5. Compliance, records, privacy &amp; legal stakeholders</w:t>
      </w:r>
    </w:p>
    <w:p>
      <w:pPr>
        <w:pStyle w:val="ListBullet"/>
      </w:pPr>
      <w:r>
        <w:rPr>
          <w:b/>
        </w:rPr>
        <w:t>Description:</w:t>
      </w:r>
      <w:r>
        <w:t xml:space="preserve"> Engagement with the </w:t>
      </w:r>
      <w:r>
        <w:rPr>
          <w:b/>
        </w:rPr>
        <w:t>compliance, records-management, privacy, security, and legal</w:t>
      </w:r>
    </w:p>
    <w:p>
      <w:r>
        <w:t xml:space="preserve">  stakeholders whose policies the configuration must satisfy (retention schedules, records file plans,   regulatory obligations, insider-risk and communication-compliance policy, legal hold).</w:t>
      </w:r>
    </w:p>
    <w:p>
      <w:pPr>
        <w:pStyle w:val="ListBullet"/>
      </w:pPr>
      <w:r>
        <w:rPr>
          <w:b/>
        </w:rPr>
        <w:t>Why required:</w:t>
      </w:r>
      <w:r>
        <w:t xml:space="preserve"> Purview configuration must align to enterprise policy and legal/records requirements,</w:t>
      </w:r>
    </w:p>
    <w:p>
      <w:r>
        <w:t xml:space="preserve">  not technical defaults; several capabilities have HR/legal sensitivity.</w:t>
      </w:r>
    </w:p>
    <w:p>
      <w:pPr>
        <w:pStyle w:val="ListBullet"/>
      </w:pPr>
      <w:r>
        <w:rPr>
          <w:b/>
        </w:rPr>
        <w:t>How to verify:</w:t>
      </w:r>
      <w:r>
        <w:t xml:space="preserve"> Confirm the applicable policies, the records schedule, and named approvers.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Identify the owners and capture the requirements before configuring.</w:t>
      </w:r>
    </w:p>
    <w:p>
      <w:pPr>
        <w:pStyle w:val="Heading2"/>
      </w:pPr>
      <w:r>
        <w:t>6. A pilot scope and change control</w:t>
      </w:r>
    </w:p>
    <w:p>
      <w:pPr>
        <w:pStyle w:val="ListBullet"/>
      </w:pPr>
      <w:r>
        <w:rPr>
          <w:b/>
        </w:rPr>
        <w:t>Description:</w:t>
      </w:r>
      <w:r>
        <w:t xml:space="preserve"> A </w:t>
      </w:r>
      <w:r>
        <w:rPr>
          <w:b/>
        </w:rPr>
        <w:t>pilot scope</w:t>
      </w:r>
      <w:r>
        <w:t xml:space="preserve"> (users/sites/policies in simulation or a limited ring) to validate</w:t>
      </w:r>
    </w:p>
    <w:p>
      <w:r>
        <w:t xml:space="preserve">  on before tenant-wide enforcement, and a </w:t>
      </w:r>
      <w:r>
        <w:rPr>
          <w:b/>
        </w:rPr>
        <w:t>change-control</w:t>
      </w:r>
      <w:r>
        <w:t xml:space="preserve"> process — most Purview policies support a   </w:t>
      </w:r>
      <w:r>
        <w:rPr>
          <w:b/>
        </w:rPr>
        <w:t>simulation / test / disabled</w:t>
      </w:r>
      <w:r>
        <w:t xml:space="preserve"> mode that MUST be used before enforcement.</w:t>
      </w:r>
    </w:p>
    <w:p>
      <w:pPr>
        <w:pStyle w:val="ListBullet"/>
      </w:pPr>
      <w:r>
        <w:rPr>
          <w:b/>
        </w:rPr>
        <w:t>Why required:</w:t>
      </w:r>
      <w:r>
        <w:t xml:space="preserve"> Every solution follows an **Assess → Design → Configure → Pilot (simulate) → Validate</w:t>
      </w:r>
    </w:p>
    <w:p>
      <w:r>
        <w:t xml:space="preserve">  → Expand (enforce)** model; DLP, labels, retention, and insider-risk changes are high-impact.</w:t>
      </w:r>
    </w:p>
    <w:p>
      <w:pPr>
        <w:pStyle w:val="ListBullet"/>
      </w:pPr>
      <w:r>
        <w:rPr>
          <w:b/>
        </w:rPr>
        <w:t>How to verify:</w:t>
      </w:r>
      <w:r>
        <w:t xml:space="preserve"> Confirm a named pilot scope, that simulation/test mode is available, and a change</w:t>
      </w:r>
    </w:p>
    <w:p>
      <w:r>
        <w:t xml:space="preserve">  window/approval path.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Define the pilot and agree change control before enforcing anything.</w:t>
      </w:r>
    </w:p>
    <w:p>
      <w:r>
        <w:t xml:space="preserve">*The deployment model across every Purview solution is the same: </w:t>
      </w:r>
      <w:r>
        <w:rPr>
          <w:b/>
        </w:rPr>
        <w:t>Assess → Design → Configure → Pilot (simulate/test) → Validate → Expand (enforce)</w:t>
      </w:r>
      <w:r>
        <w:t xml:space="preserve">, with explicit pass/fail gates and a documented rollback. Automation is delivered as </w:t>
      </w:r>
      <w:r>
        <w:rPr>
          <w:b/>
        </w:rPr>
        <w:t>PowerShell</w:t>
      </w:r>
      <w:r>
        <w:t xml:space="preserve"> (Security &amp; Compliance PowerShell / Graph) — never with hardcoded credentials or secrets. Regulatory/records/legal determinations are deferred to the relevant governance functions.*</w:t>
      </w:r>
    </w:p>
    <w:p>
      <w:pPr>
        <w:pStyle w:val="Heading1"/>
      </w:pPr>
      <w:r>
        <w:t>3. Implementation Guide — Microsoft Purview FINRA/SEC Compliance Program</w:t>
      </w:r>
    </w:p>
    <w:p>
      <w:r>
        <w:t xml:space="preserve">Follow these steps </w:t>
      </w:r>
      <w:r>
        <w:rPr>
          <w:b/>
        </w:rPr>
        <w:t>in order</w:t>
      </w:r>
      <w:r>
        <w:t xml:space="preserve">. Configuration uses the </w:t>
      </w:r>
      <w:r>
        <w:rPr>
          <w:b/>
        </w:rPr>
        <w:t>Microsoft Purview portal</w:t>
      </w:r>
      <w:r>
        <w:t xml:space="preserve"> (</w:t>
      </w:r>
      <w:r>
        <w:rPr>
          <w:rFonts w:ascii="Consolas" w:hAnsi="Consolas"/>
          <w:sz w:val="19"/>
        </w:rPr>
        <w:t>https://purview.microsoft.com</w:t>
      </w:r>
      <w:r>
        <w:t xml:space="preserve">), </w:t>
      </w:r>
      <w:r>
        <w:rPr>
          <w:b/>
        </w:rPr>
        <w:t>Security &amp; Compliance PowerShell</w:t>
      </w:r>
      <w:r>
        <w:t xml:space="preserve"> (</w:t>
      </w:r>
      <w:r>
        <w:rPr>
          <w:rFonts w:ascii="Consolas" w:hAnsi="Consolas"/>
          <w:sz w:val="19"/>
        </w:rPr>
        <w:t>Connect-IPPSSession</w:t>
      </w:r>
      <w:r>
        <w:t xml:space="preserve"> — the </w:t>
      </w:r>
      <w:r>
        <w:rPr>
          <w:rFonts w:ascii="Consolas" w:hAnsi="Consolas"/>
          <w:sz w:val="19"/>
        </w:rPr>
        <w:t>*-RetentionCompliancePolicy</w:t>
      </w:r>
      <w:r>
        <w:t xml:space="preserve">, </w:t>
      </w:r>
      <w:r>
        <w:rPr>
          <w:rFonts w:ascii="Consolas" w:hAnsi="Consolas"/>
          <w:sz w:val="19"/>
        </w:rPr>
        <w:t>*-ComplianceTag</w:t>
      </w:r>
      <w:r>
        <w:t xml:space="preserve">, </w:t>
      </w:r>
      <w:r>
        <w:rPr>
          <w:rFonts w:ascii="Consolas" w:hAnsi="Consolas"/>
          <w:sz w:val="19"/>
        </w:rPr>
        <w:t>*-SupervisoryReview*</w:t>
      </w:r>
      <w:r>
        <w:t xml:space="preserve">, and </w:t>
      </w:r>
      <w:r>
        <w:rPr>
          <w:rFonts w:ascii="Consolas" w:hAnsi="Consolas"/>
          <w:sz w:val="19"/>
        </w:rPr>
        <w:t>*-UnifiedAuditLogRetentionPolicy</w:t>
      </w:r>
      <w:r>
        <w:t xml:space="preserve"> cmdlets), and </w:t>
      </w:r>
      <w:r>
        <w:rPr>
          <w:b/>
        </w:rPr>
        <w:t>Microsoft Graph</w:t>
      </w:r>
      <w:r>
        <w:t xml:space="preserve"> (licensing). Every write is gated: scripts run </w:t>
      </w:r>
      <w:r>
        <w:rPr>
          <w:b/>
        </w:rPr>
        <w:t>read-only or `-WhatIf` by default</w:t>
      </w:r>
      <w:r>
        <w:t xml:space="preserve"> and only change state with </w:t>
      </w:r>
      <w:r>
        <w:rPr>
          <w:rFonts w:ascii="Consolas" w:hAnsi="Consolas"/>
          <w:sz w:val="19"/>
        </w:rPr>
        <w:t>-Commit</w:t>
      </w:r>
      <w:r>
        <w:t xml:space="preserve">. Artifact names follow the </w:t>
      </w:r>
      <w:r>
        <w:rPr>
          <w:rFonts w:ascii="Consolas" w:hAnsi="Consolas"/>
          <w:sz w:val="19"/>
        </w:rPr>
        <w:t>&lt;Purpose&gt; – &lt;Scope&gt; – &lt;Stage&gt;</w:t>
      </w:r>
      <w:r>
        <w:t xml:space="preserve"> convention from the Overview and are reused verbatim.</w:t>
      </w:r>
    </w:p>
    <w:p>
      <w:pPr>
        <w:ind w:left="432"/>
      </w:pPr>
      <w:r>
        <w:rPr>
          <w:i/>
          <w:color w:val="2E86C1"/>
        </w:rPr>
        <w:t>Model: Assess the controls/licensing you have → design the rule-to-control map with compliance/legal → configure records retention, communication supervision, and audit evidence → pilot in simulation/test/disabled mode → validate and evidence → expand to enforcement. Pattern: Assess → Design → Configure → Pilot (simulate/test) → Validate → Expand (enforce).  Determination boundary: which rules apply, retention durations, supervisory scope/lexicons, and whether a configuration *satisfies* FINRA/SEC are compliance/records/legal determinations. This guide configures the control and evidences it; it does not make the determination. A regulatory-records label is effectively irreversible — never apply it outside the pilot without explicit compliance sign-off.</w:t>
      </w:r>
    </w:p>
    <w:p>
      <w:pPr>
        <w:pStyle w:val="Heading2"/>
      </w:pPr>
      <w:r>
        <w:t>Step 1 — Assess current controls and licensing (Assess)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CMPFINRA-Discovery.ps1</w:t>
      </w:r>
      <w:r>
        <w:t xml:space="preserve"> (read-only). It connects to Security &amp; Compliance PowerShell and Graph and reports:</w:t>
      </w:r>
    </w:p>
    <w:p>
      <w:pPr>
        <w:pStyle w:val="ListBullet"/>
      </w:pPr>
      <w:r>
        <w:t xml:space="preserve">compliance licensing present (records / Communication Compliance / Audit Premium-bearing plans — </w:t>
      </w:r>
      <w:r>
        <w:rPr>
          <w:b/>
        </w:rPr>
        <w:t>verify plan names for your tenant</w:t>
      </w:r>
      <w:r>
        <w:t>),</w:t>
      </w:r>
    </w:p>
    <w:p>
      <w:pPr>
        <w:pStyle w:val="ListBullet"/>
      </w:pPr>
      <w:r>
        <w:t xml:space="preserve">existing </w:t>
      </w:r>
      <w:r>
        <w:rPr>
          <w:b/>
        </w:rPr>
        <w:t>retention labels</w:t>
      </w:r>
      <w:r>
        <w:t xml:space="preserve"> (</w:t>
      </w:r>
      <w:r>
        <w:rPr>
          <w:rFonts w:ascii="Consolas" w:hAnsi="Consolas"/>
          <w:sz w:val="19"/>
        </w:rPr>
        <w:t>Get-ComplianceTag</w:t>
      </w:r>
      <w:r>
        <w:t xml:space="preserve">) and </w:t>
      </w:r>
      <w:r>
        <w:rPr>
          <w:b/>
        </w:rPr>
        <w:t>retention policies</w:t>
      </w:r>
      <w:r>
        <w:t xml:space="preserve"> (</w:t>
      </w:r>
      <w:r>
        <w:rPr>
          <w:rFonts w:ascii="Consolas" w:hAnsi="Consolas"/>
          <w:sz w:val="19"/>
        </w:rPr>
        <w:t>Get-RetentionCompliancePolicy</w:t>
      </w:r>
      <w:r>
        <w:t xml:space="preserve">), flagging any that are </w:t>
      </w:r>
      <w:r>
        <w:rPr>
          <w:b/>
        </w:rPr>
        <w:t>records</w:t>
      </w:r>
      <w:r>
        <w:t>/</w:t>
      </w:r>
      <w:r>
        <w:rPr>
          <w:b/>
        </w:rPr>
        <w:t>regulatory records</w:t>
      </w:r>
      <w:r>
        <w:t>,</w:t>
      </w:r>
    </w:p>
    <w:p>
      <w:pPr>
        <w:pStyle w:val="ListBullet"/>
      </w:pPr>
      <w:r>
        <w:t xml:space="preserve">existing </w:t>
      </w:r>
      <w:r>
        <w:rPr>
          <w:b/>
        </w:rPr>
        <w:t>Communication Compliance</w:t>
      </w:r>
      <w:r>
        <w:t xml:space="preserve"> (supervisory-review) policies (</w:t>
      </w:r>
      <w:r>
        <w:rPr>
          <w:rFonts w:ascii="Consolas" w:hAnsi="Consolas"/>
          <w:sz w:val="19"/>
        </w:rPr>
        <w:t>Get-SupervisoryReviewPolicyV2</w:t>
      </w:r>
      <w:r>
        <w:t>),</w:t>
      </w:r>
    </w:p>
    <w:p>
      <w:pPr>
        <w:pStyle w:val="ListBullet"/>
      </w:pPr>
      <w:r>
        <w:rPr>
          <w:rFonts w:ascii="Consolas" w:hAnsi="Consolas"/>
          <w:sz w:val="19"/>
        </w:rPr>
        <w:t>UnifiedAuditLogIngestionEnabled</w:t>
      </w:r>
      <w:r>
        <w:t xml:space="preserve"> and existing </w:t>
      </w:r>
      <w:r>
        <w:rPr>
          <w:b/>
        </w:rPr>
        <w:t>audit retention policies</w:t>
      </w:r>
      <w:r>
        <w:t xml:space="preserve"> (</w:t>
      </w:r>
      <w:r>
        <w:rPr>
          <w:rFonts w:ascii="Consolas" w:hAnsi="Consolas"/>
          <w:sz w:val="19"/>
        </w:rPr>
        <w:t>Get-UnifiedAuditLogRetentionPolicy</w:t>
      </w:r>
      <w:r>
        <w:t>).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CMPFINRA-Scope.ps1</w:t>
      </w:r>
      <w:r>
        <w:t xml:space="preserve"> (read-only) to enumerate the intended covered-persons group, in-scope mailboxes/sites, and the role groups it can see (Requirement 2.2/2.4).</w:t>
      </w:r>
    </w:p>
    <w:p>
      <w:pPr>
        <w:pStyle w:val="ListNumber"/>
      </w:pPr>
      <w:r>
        <w:t xml:space="preserve">Record the gaps against the three control domains. </w:t>
      </w:r>
      <w:r>
        <w:rPr>
          <w:b/>
        </w:rPr>
        <w:t>Pass gate:</w:t>
      </w:r>
      <w:r>
        <w:t xml:space="preserve"> a written current-state for records, supervision, and audit.</w:t>
      </w:r>
    </w:p>
    <w:p>
      <w:pPr>
        <w:pStyle w:val="Heading2"/>
      </w:pPr>
      <w:r>
        <w:t>Step 2 — Design the rule-to-control map (Design)</w:t>
      </w:r>
    </w:p>
    <w:p>
      <w:pPr>
        <w:pStyle w:val="ListNumber"/>
      </w:pPr>
      <w:r>
        <w:t xml:space="preserve">With compliance/records/legal (Requirement 2.5), populate the </w:t>
      </w:r>
      <w:r>
        <w:rPr>
          <w:rFonts w:ascii="Consolas" w:hAnsi="Consolas"/>
          <w:sz w:val="19"/>
        </w:rPr>
        <w:t>Control Map – FINRA/SEC – Purview</w:t>
      </w:r>
      <w:r>
        <w:t xml:space="preserve"> register: for each in-scope obligation, name the Purview control object that implements it, the required retention/supervisory scope, and the approver. </w:t>
      </w:r>
      <w:r>
        <w:rPr>
          <w:b/>
        </w:rPr>
        <w:t>The rule-to-control mapping is compliance's determination; you provide the register and the technical control.</w:t>
      </w:r>
    </w:p>
    <w:p>
      <w:pPr>
        <w:pStyle w:val="ListNumber"/>
      </w:pPr>
      <w:r>
        <w:t>Map the obligations to the standard named artifacts:</w:t>
      </w:r>
    </w:p>
    <w:p>
      <w:pPr>
        <w:pStyle w:val="ListBullet"/>
      </w:pPr>
      <w:r>
        <w:t xml:space="preserve">Records preservation → </w:t>
      </w:r>
      <w:r>
        <w:rPr>
          <w:rFonts w:ascii="Consolas" w:hAnsi="Consolas"/>
          <w:sz w:val="19"/>
        </w:rPr>
        <w:t>Records – FINRA/SEC Regulated – Regulatory</w:t>
      </w:r>
      <w:r>
        <w:t xml:space="preserve"> (label) + </w:t>
      </w:r>
      <w:r>
        <w:rPr>
          <w:rFonts w:ascii="Consolas" w:hAnsi="Consolas"/>
          <w:sz w:val="19"/>
        </w:rPr>
        <w:t>Retention – FINRA/SEC Records – Publish</w:t>
      </w:r>
      <w:r>
        <w:t xml:space="preserve"> (publish policy) + </w:t>
      </w:r>
      <w:r>
        <w:rPr>
          <w:rFonts w:ascii="Consolas" w:hAnsi="Consolas"/>
          <w:sz w:val="19"/>
        </w:rPr>
        <w:t>Retention – FINRA/SEC Comms Store – Immutable</w:t>
      </w:r>
      <w:r>
        <w:t xml:space="preserve"> (comms-store retention).</w:t>
      </w:r>
    </w:p>
    <w:p>
      <w:pPr>
        <w:pStyle w:val="ListBullet"/>
      </w:pPr>
      <w:r>
        <w:t xml:space="preserve">Communication supervision → </w:t>
      </w:r>
      <w:r>
        <w:rPr>
          <w:rFonts w:ascii="Consolas" w:hAnsi="Consolas"/>
          <w:sz w:val="19"/>
        </w:rPr>
        <w:t>Supervision – Registered Persons Comms – Test</w:t>
      </w:r>
      <w:r>
        <w:t>.</w:t>
      </w:r>
    </w:p>
    <w:p>
      <w:pPr>
        <w:pStyle w:val="ListBullet"/>
      </w:pPr>
      <w:r>
        <w:t xml:space="preserve">Audit evidence → </w:t>
      </w:r>
      <w:r>
        <w:rPr>
          <w:rFonts w:ascii="Consolas" w:hAnsi="Consolas"/>
          <w:sz w:val="19"/>
        </w:rPr>
        <w:t>Audit Retention – FINRA/SEC Evidence – LongTerm</w:t>
      </w:r>
      <w:r>
        <w:t>.</w:t>
      </w:r>
    </w:p>
    <w:p>
      <w:pPr>
        <w:pStyle w:val="ListBullet"/>
      </w:pPr>
      <w:r>
        <w:t xml:space="preserve">Control tracking → </w:t>
      </w:r>
      <w:r>
        <w:rPr>
          <w:rFonts w:ascii="Consolas" w:hAnsi="Consolas"/>
          <w:sz w:val="19"/>
        </w:rPr>
        <w:t>Assessment – FINRA/SEC Controls – Program</w:t>
      </w:r>
      <w:r>
        <w:t xml:space="preserve"> (Compliance Manager).</w:t>
      </w:r>
    </w:p>
    <w:p>
      <w:pPr>
        <w:pStyle w:val="ListNumber"/>
      </w:pPr>
      <w:r>
        <w:t xml:space="preserve">Define the pilot scope </w:t>
      </w:r>
      <w:r>
        <w:rPr>
          <w:rFonts w:ascii="Consolas" w:hAnsi="Consolas"/>
          <w:sz w:val="19"/>
        </w:rPr>
        <w:t>FINRA/SEC Pilot – Registered Persons – Stage1</w:t>
      </w:r>
      <w:r>
        <w:t xml:space="preserve"> (Requirement 2.8) and the privacy/reviewer sign-off for supervision (Requirement 2.6). </w:t>
      </w:r>
      <w:r>
        <w:rPr>
          <w:b/>
        </w:rPr>
        <w:t>Pass gate:</w:t>
      </w:r>
      <w:r>
        <w:t xml:space="preserve"> the control map, retention schedule, supervisory scope, pilot, and approvals are documented.</w:t>
      </w:r>
    </w:p>
    <w:p>
      <w:pPr>
        <w:pStyle w:val="Heading2"/>
      </w:pPr>
      <w:r>
        <w:t>Step 3 — Configure the records-preservation control (Configure → Pilot)</w:t>
      </w:r>
    </w:p>
    <w:p>
      <w:pPr>
        <w:pStyle w:val="ListNumber"/>
      </w:pPr>
      <w:r>
        <w:rPr>
          <w:b/>
        </w:rPr>
        <w:t>Pilot with a non-regulatory records label first</w:t>
      </w:r>
      <w:r>
        <w:t xml:space="preserve"> to prove behavior safely. Create the labels and publish policy with the helper, </w:t>
      </w:r>
      <w:r>
        <w:rPr>
          <w:rFonts w:ascii="Consolas" w:hAnsi="Consolas"/>
          <w:sz w:val="19"/>
        </w:rPr>
        <w:t>-WhatIf</w:t>
      </w:r>
      <w:r>
        <w:t xml:space="preserve"> first (prints the exact </w:t>
      </w:r>
      <w:r>
        <w:rPr>
          <w:rFonts w:ascii="Consolas" w:hAnsi="Consolas"/>
          <w:sz w:val="19"/>
        </w:rPr>
        <w:t>New-ComplianceTag</w:t>
      </w:r>
      <w:r>
        <w:t>/</w:t>
      </w:r>
      <w:r>
        <w:rPr>
          <w:rFonts w:ascii="Consolas" w:hAnsi="Consolas"/>
          <w:sz w:val="19"/>
        </w:rPr>
        <w:t>New-RetentionCompliancePolicy</w:t>
      </w:r>
      <w:r>
        <w:t xml:space="preserve"> it would run):</w:t>
      </w:r>
    </w:p>
    <w:p>
      <w:pPr>
        <w:pStyle w:val="ListBullet"/>
      </w:pPr>
      <w:r>
        <w:rPr>
          <w:rFonts w:ascii="Consolas" w:hAnsi="Consolas"/>
          <w:sz w:val="19"/>
        </w:rPr>
        <w:t>CMPFINRA-Configure.ps1 -Control Records -PilotLabel -WhatIf</w:t>
      </w:r>
      <w:r>
        <w:t xml:space="preserve"> → review → </w:t>
      </w:r>
      <w:r>
        <w:rPr>
          <w:rFonts w:ascii="Consolas" w:hAnsi="Consolas"/>
          <w:sz w:val="19"/>
        </w:rPr>
        <w:t>-Commit</w:t>
      </w:r>
      <w:r>
        <w:t xml:space="preserve"> (creates a </w:t>
      </w:r>
      <w:r>
        <w:rPr>
          <w:b/>
        </w:rPr>
        <w:t>records</w:t>
      </w:r>
      <w:r>
        <w:t xml:space="preserve"> — not regulatory — label for pilot testing, plus </w:t>
      </w:r>
      <w:r>
        <w:rPr>
          <w:rFonts w:ascii="Consolas" w:hAnsi="Consolas"/>
          <w:sz w:val="19"/>
        </w:rPr>
        <w:t>Retention – FINRA/SEC Records – Publish</w:t>
      </w:r>
      <w:r>
        <w:t xml:space="preserve"> scoped to the pilot).</w:t>
      </w:r>
    </w:p>
    <w:p>
      <w:pPr>
        <w:pStyle w:val="ListNumber"/>
      </w:pPr>
      <w:r>
        <w:t xml:space="preserve">Validate the pilot label applies and preserves on pilot content (Testing Gate 2). </w:t>
      </w:r>
      <w:r>
        <w:rPr>
          <w:b/>
        </w:rPr>
        <w:t>Only after compliance sign-off</w:t>
      </w:r>
      <w:r>
        <w:t xml:space="preserve">, create the production </w:t>
      </w:r>
      <w:r>
        <w:rPr>
          <w:b/>
        </w:rPr>
        <w:t>regulatory record</w:t>
      </w:r>
      <w:r>
        <w:t xml:space="preserve"> label </w:t>
      </w:r>
      <w:r>
        <w:rPr>
          <w:rFonts w:ascii="Consolas" w:hAnsi="Consolas"/>
          <w:sz w:val="19"/>
        </w:rPr>
        <w:t>Records – FINRA/SEC Regulated – Regulatory</w:t>
      </w:r>
      <w:r>
        <w:t xml:space="preserve"> (immutable, un-disablable) and, where the design calls for immutable comms preservation, the </w:t>
      </w:r>
      <w:r>
        <w:rPr>
          <w:rFonts w:ascii="Consolas" w:hAnsi="Consolas"/>
          <w:sz w:val="19"/>
        </w:rPr>
        <w:t>Retention – FINRA/SEC Comms Store – Immutable</w:t>
      </w:r>
      <w:r>
        <w:t xml:space="preserve"> location-based retention policy across Exchange/Teams:</w:t>
      </w:r>
    </w:p>
    <w:p>
      <w:pPr>
        <w:pStyle w:val="ListBullet"/>
      </w:pPr>
      <w:r>
        <w:rPr>
          <w:rFonts w:ascii="Consolas" w:hAnsi="Consolas"/>
          <w:sz w:val="19"/>
        </w:rPr>
        <w:t>CMPFINRA-Configure.ps1 -Control Records -Regulatory -WhatIf</w:t>
      </w:r>
      <w:r>
        <w:t xml:space="preserve"> → review → </w:t>
      </w:r>
      <w:r>
        <w:rPr>
          <w:rFonts w:ascii="Consolas" w:hAnsi="Consolas"/>
          <w:sz w:val="19"/>
        </w:rPr>
        <w:t>-Commit</w:t>
      </w:r>
      <w:r>
        <w:t>.</w:t>
      </w:r>
    </w:p>
    <w:p>
      <w:pPr>
        <w:pStyle w:val="ListNumber"/>
      </w:pPr>
      <w:r>
        <w:rPr>
          <w:b/>
        </w:rPr>
        <w:t>Pass gate:</w:t>
      </w:r>
      <w:r>
        <w:t xml:space="preserve"> </w:t>
      </w:r>
      <w:r>
        <w:rPr>
          <w:rFonts w:ascii="Consolas" w:hAnsi="Consolas"/>
          <w:sz w:val="19"/>
        </w:rPr>
        <w:t>CMPFINRA-Discovery.ps1</w:t>
      </w:r>
      <w:r>
        <w:t xml:space="preserve"> lists the labels/policies with the expected records/regulatory behavior and scope. </w:t>
      </w:r>
      <w:r>
        <w:rPr>
          <w:b/>
        </w:rPr>
        <w:t>Rollback:</w:t>
      </w:r>
      <w:r>
        <w:t xml:space="preserve"> the </w:t>
      </w:r>
      <w:r>
        <w:rPr>
          <w:b/>
        </w:rPr>
        <w:t>non-regulatory</w:t>
      </w:r>
      <w:r>
        <w:t xml:space="preserve"> pilot label/policy is removable (</w:t>
      </w:r>
      <w:r>
        <w:rPr>
          <w:rFonts w:ascii="Consolas" w:hAnsi="Consolas"/>
          <w:sz w:val="19"/>
        </w:rPr>
        <w:t>-Control Records -Remove -Commit</w:t>
      </w:r>
      <w:r>
        <w:t xml:space="preserve">); a </w:t>
      </w:r>
      <w:r>
        <w:rPr>
          <w:b/>
        </w:rPr>
        <w:t>regulatory-records</w:t>
      </w:r>
      <w:r>
        <w:t xml:space="preserve"> label is </w:t>
      </w:r>
      <w:r>
        <w:rPr>
          <w:b/>
        </w:rPr>
        <w:t>not removable and its retention cannot be shortened by design</w:t>
      </w:r>
      <w:r>
        <w:t xml:space="preserve"> — this is why sign-off precedes it (verify behavior in your tenant before committing).</w:t>
      </w:r>
    </w:p>
    <w:p>
      <w:pPr>
        <w:pStyle w:val="Heading2"/>
      </w:pPr>
      <w:r>
        <w:t>Step 4 — Configure the audit-evidence control (Configure)</w:t>
      </w:r>
    </w:p>
    <w:p>
      <w:pPr>
        <w:pStyle w:val="ListNumber"/>
      </w:pPr>
      <w:r>
        <w:t>Confirm unified audit is on (Requirement 2.7). Create the evidence-retention policy pilot-first:</w:t>
      </w:r>
    </w:p>
    <w:p>
      <w:pPr>
        <w:pStyle w:val="ListBullet"/>
      </w:pPr>
      <w:r>
        <w:rPr>
          <w:rFonts w:ascii="Consolas" w:hAnsi="Consolas"/>
          <w:sz w:val="19"/>
        </w:rPr>
        <w:t>CMPFINRA-Configure.ps1 -Control Audit -PolicyName "Audit Retention – FINRA/SEC Evidence – LongTerm" -WhatIf</w:t>
      </w:r>
      <w:r>
        <w:t xml:space="preserve"> → review → </w:t>
      </w:r>
      <w:r>
        <w:rPr>
          <w:rFonts w:ascii="Consolas" w:hAnsi="Consolas"/>
          <w:sz w:val="19"/>
        </w:rPr>
        <w:t>-Commit</w:t>
      </w:r>
      <w:r>
        <w:t xml:space="preserve"> (creates a </w:t>
      </w:r>
      <w:r>
        <w:rPr>
          <w:rFonts w:ascii="Consolas" w:hAnsi="Consolas"/>
          <w:sz w:val="19"/>
        </w:rPr>
        <w:t>New-UnifiedAuditLogRetentionPolicy</w:t>
      </w:r>
      <w:r>
        <w:t xml:space="preserve"> for the record types/operations your compliance function requires as evidence, at the agreed duration and a unique priority). </w:t>
      </w:r>
      <w:r>
        <w:rPr>
          <w:b/>
        </w:rPr>
        <w:t>Verify accepted `RetentionDuration` values and that the long-term tier is licensed</w:t>
      </w:r>
      <w:r>
        <w:t xml:space="preserve"> (Requirement 2.1).</w:t>
      </w:r>
    </w:p>
    <w:p>
      <w:pPr>
        <w:pStyle w:val="ListNumber"/>
      </w:pPr>
      <w:r>
        <w:rPr>
          <w:b/>
        </w:rPr>
        <w:t>Pass gate:</w:t>
      </w:r>
      <w:r>
        <w:t xml:space="preserve"> </w:t>
      </w:r>
      <w:r>
        <w:rPr>
          <w:rFonts w:ascii="Consolas" w:hAnsi="Consolas"/>
          <w:sz w:val="19"/>
        </w:rPr>
        <w:t>CMPFINRA-Discovery.ps1</w:t>
      </w:r>
      <w:r>
        <w:t xml:space="preserve"> lists the audit retention policy with the expected duration/priority. </w:t>
      </w:r>
      <w:r>
        <w:rPr>
          <w:b/>
        </w:rPr>
        <w:t>Rollback:</w:t>
      </w:r>
      <w:r>
        <w:t xml:space="preserve"> </w:t>
      </w:r>
      <w:r>
        <w:rPr>
          <w:rFonts w:ascii="Consolas" w:hAnsi="Consolas"/>
          <w:sz w:val="19"/>
        </w:rPr>
        <w:t>CMPFINRA-Configure.ps1 -Control Audit -PolicyName "…" -Remove -Commit</w:t>
      </w:r>
      <w:r>
        <w:t xml:space="preserve"> (already-retained records age out under remaining rules).</w:t>
      </w:r>
    </w:p>
    <w:p>
      <w:pPr>
        <w:pStyle w:val="Heading2"/>
      </w:pPr>
      <w:r>
        <w:t>Step 5 — Configure the communication-supervision control — IN TEST MODE (Configure → Pilot)</w:t>
      </w:r>
    </w:p>
    <w:p>
      <w:pPr>
        <w:pStyle w:val="ListNumber"/>
      </w:pPr>
      <w:r>
        <w:rPr>
          <w:b/>
        </w:rPr>
        <w:t>Build the supervision policy in test/pilot mode</w:t>
      </w:r>
      <w:r>
        <w:t xml:space="preserve"> with reviewer separation in place (Requirement 2.6). The helper creates it disabled/test-scoped to the pilot covered persons:</w:t>
      </w:r>
    </w:p>
    <w:p>
      <w:pPr>
        <w:pStyle w:val="ListBullet"/>
      </w:pPr>
      <w:r>
        <w:rPr>
          <w:rFonts w:ascii="Consolas" w:hAnsi="Consolas"/>
          <w:sz w:val="19"/>
        </w:rPr>
        <w:t>CMPFINRA-Configure.ps1 -Control Supervision -PilotScope "FINRA/SEC Pilot – Registered Persons – Stage1" -WhatIf</w:t>
      </w:r>
      <w:r>
        <w:t xml:space="preserve"> → review → </w:t>
      </w:r>
      <w:r>
        <w:rPr>
          <w:rFonts w:ascii="Consolas" w:hAnsi="Consolas"/>
          <w:sz w:val="19"/>
        </w:rPr>
        <w:t>-Commit</w:t>
      </w:r>
      <w:r>
        <w:t xml:space="preserve"> (creates </w:t>
      </w:r>
      <w:r>
        <w:rPr>
          <w:rFonts w:ascii="Consolas" w:hAnsi="Consolas"/>
          <w:sz w:val="19"/>
        </w:rPr>
        <w:t>Supervision – Registered Persons Comms – Test</w:t>
      </w:r>
      <w:r>
        <w:t xml:space="preserve"> via </w:t>
      </w:r>
      <w:r>
        <w:rPr>
          <w:rFonts w:ascii="Consolas" w:hAnsi="Consolas"/>
          <w:sz w:val="19"/>
        </w:rPr>
        <w:t>New-SupervisoryReviewPolicyV2</w:t>
      </w:r>
      <w:r>
        <w:t xml:space="preserve">, scoped to the pilot group and its supervising reviewers, with the conditions your compliance function specified — </w:t>
      </w:r>
      <w:r>
        <w:rPr>
          <w:b/>
        </w:rPr>
        <w:t>the lexicon/conditions are compliance's determination</w:t>
      </w:r>
      <w:r>
        <w:t>).</w:t>
      </w:r>
    </w:p>
    <w:p>
      <w:pPr>
        <w:pStyle w:val="ListNumber"/>
      </w:pPr>
      <w:r>
        <w:t xml:space="preserve">Confirm the policy generates review items against </w:t>
      </w:r>
      <w:r>
        <w:rPr>
          <w:b/>
        </w:rPr>
        <w:t>benign test communications</w:t>
      </w:r>
      <w:r>
        <w:t xml:space="preserve"> for the pilot group, and that only the designated reviewers can see them. </w:t>
      </w:r>
      <w:r>
        <w:rPr>
          <w:b/>
        </w:rPr>
        <w:t>Do not enforce tenant-wide, and do not action any real item — case actions/outcomes are HR/legal's.</w:t>
      </w:r>
    </w:p>
    <w:p>
      <w:pPr>
        <w:pStyle w:val="ListNumber"/>
      </w:pPr>
      <w:r>
        <w:rPr>
          <w:b/>
        </w:rPr>
        <w:t>Pass gate:</w:t>
      </w:r>
      <w:r>
        <w:t xml:space="preserve"> the test policy exists, is scoped to the pilot with correct reviewer separation, and surfaces test items. </w:t>
      </w:r>
      <w:r>
        <w:rPr>
          <w:b/>
        </w:rPr>
        <w:t>Rollback:</w:t>
      </w:r>
      <w:r>
        <w:t xml:space="preserve"> disable/remove the test policy (</w:t>
      </w:r>
      <w:r>
        <w:rPr>
          <w:rFonts w:ascii="Consolas" w:hAnsi="Consolas"/>
          <w:sz w:val="19"/>
        </w:rPr>
        <w:t>-Control Supervision -Remove -Commit</w:t>
      </w:r>
      <w:r>
        <w:t>); no employee communications are altered by the control.</w:t>
      </w:r>
    </w:p>
    <w:p>
      <w:pPr>
        <w:pStyle w:val="Heading2"/>
      </w:pPr>
      <w:r>
        <w:t>Step 6 — Track the program in Compliance Manager (Configure, in-portal)</w:t>
      </w:r>
    </w:p>
    <w:p>
      <w:pPr>
        <w:pStyle w:val="ListNumber"/>
      </w:pPr>
      <w:r>
        <w:t xml:space="preserve">In the Purview portal → </w:t>
      </w:r>
      <w:r>
        <w:rPr>
          <w:b/>
        </w:rPr>
        <w:t>Compliance Manager</w:t>
      </w:r>
      <w:r>
        <w:t xml:space="preserve">, create/assign the assessment </w:t>
      </w:r>
      <w:r>
        <w:rPr>
          <w:rFonts w:ascii="Consolas" w:hAnsi="Consolas"/>
          <w:sz w:val="19"/>
        </w:rPr>
        <w:t>Assessment – FINRA/SEC Controls – Program</w:t>
      </w:r>
      <w:r>
        <w:t xml:space="preserve"> from a FINRA/SEC-relevant </w:t>
      </w:r>
      <w:r>
        <w:rPr>
          <w:b/>
        </w:rPr>
        <w:t>assessment template</w:t>
      </w:r>
      <w:r>
        <w:t xml:space="preserve"> (</w:t>
      </w:r>
      <w:r>
        <w:rPr>
          <w:b/>
        </w:rPr>
        <w:t>template availability depends on your licensing — verify in-portal</w:t>
      </w:r>
      <w:r>
        <w:t>). Map its improvement actions to the Purview controls configured above.</w:t>
      </w:r>
    </w:p>
    <w:p>
      <w:pPr>
        <w:pStyle w:val="ListNumber"/>
      </w:pPr>
      <w:r>
        <w:t xml:space="preserve">Record, per improvement action, the implementing Purview object and its evidence location (this cross-links to the </w:t>
      </w:r>
      <w:r>
        <w:rPr>
          <w:rFonts w:ascii="Consolas" w:hAnsi="Consolas"/>
          <w:sz w:val="19"/>
        </w:rPr>
        <w:t>Control Map – FINRA/SEC – Purview</w:t>
      </w:r>
      <w:r>
        <w:t xml:space="preserve"> register). </w:t>
      </w:r>
      <w:r>
        <w:rPr>
          <w:b/>
        </w:rPr>
        <w:t>Pass gate:</w:t>
      </w:r>
      <w:r>
        <w:t xml:space="preserve"> the assessment reflects the configured controls with evidence links. *(Compliance Manager assessment content and applicability are compliance's determination; no cmdlet invents this — it is authored in-portal.)*</w:t>
      </w:r>
    </w:p>
    <w:p>
      <w:pPr>
        <w:pStyle w:val="Heading2"/>
      </w:pPr>
      <w:r>
        <w:t>Step 7 — Validate the controls and generate evidence (Validate)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CMPFINRA-Validate.ps1</w:t>
      </w:r>
      <w:r>
        <w:t xml:space="preserve"> (read-only) to score the program across gates: labels/policies present and correctly typed, comms-store retention scoped, audit ingestion on with the evidence policy in place, the supervision policy present in test with reviewer separation, and the pilot scope covered.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CMPFINRA-Report.ps1</w:t>
      </w:r>
      <w:r>
        <w:t xml:space="preserve"> (read-only) to produce </w:t>
      </w:r>
      <w:r>
        <w:rPr>
          <w:rFonts w:ascii="Consolas" w:hAnsi="Consolas"/>
          <w:sz w:val="19"/>
        </w:rPr>
        <w:t>Evidence – FINRA/SEC Controls – Binder</w:t>
      </w:r>
      <w:r>
        <w:t xml:space="preserve"> — a control → Purview object → configuration → proof export (CSV/JSON) for the compliance/audit file, cross-referenced to </w:t>
      </w:r>
      <w:r>
        <w:rPr>
          <w:rFonts w:ascii="Consolas" w:hAnsi="Consolas"/>
          <w:sz w:val="19"/>
        </w:rPr>
        <w:t>Control Map – FINRA/SEC – Purview</w:t>
      </w:r>
      <w:r>
        <w:t>.</w:t>
      </w:r>
    </w:p>
    <w:p>
      <w:pPr>
        <w:pStyle w:val="ListNumber"/>
      </w:pPr>
      <w:r>
        <w:t xml:space="preserve">Complete the </w:t>
      </w:r>
      <w:r>
        <w:rPr>
          <w:b/>
        </w:rPr>
        <w:t>Testing Guide</w:t>
      </w:r>
      <w:r>
        <w:t xml:space="preserve"> before expanding. </w:t>
      </w:r>
      <w:r>
        <w:rPr>
          <w:b/>
        </w:rPr>
        <w:t>Pass gate:</w:t>
      </w:r>
      <w:r>
        <w:t xml:space="preserve"> the validation scorecard is green for the pilot scope and the evidence binder is generated.</w:t>
      </w:r>
    </w:p>
    <w:p>
      <w:pPr>
        <w:pStyle w:val="Heading2"/>
      </w:pPr>
      <w:r>
        <w:t>Step 8 — Expand to enforcement and operationalize (Expand)</w:t>
      </w:r>
    </w:p>
    <w:p>
      <w:pPr>
        <w:pStyle w:val="ListNumber"/>
      </w:pPr>
      <w:r>
        <w:t xml:space="preserve">Once the pilot passes and compliance signs off, expand scope: publish the </w:t>
      </w:r>
      <w:r>
        <w:rPr>
          <w:b/>
        </w:rPr>
        <w:t>regulatory-records</w:t>
      </w:r>
      <w:r>
        <w:t xml:space="preserve"> label to the full covered-persons/workload scope, extend the comms-store retention and audit-evidence policies, and </w:t>
      </w:r>
      <w:r>
        <w:rPr>
          <w:b/>
        </w:rPr>
        <w:t>move the supervision policy from test to enforced</w:t>
      </w:r>
      <w:r>
        <w:t xml:space="preserve"> (compliance-approved) coverage — each under change control.</w:t>
      </w:r>
    </w:p>
    <w:p>
      <w:pPr>
        <w:pStyle w:val="ListNumber"/>
      </w:pPr>
      <w:r>
        <w:t xml:space="preserve">Configure the </w:t>
      </w:r>
      <w:r>
        <w:rPr>
          <w:rFonts w:ascii="Consolas" w:hAnsi="Consolas"/>
          <w:sz w:val="19"/>
        </w:rPr>
        <w:t>Disposition – FINRA/SEC Records – Review</w:t>
      </w:r>
      <w:r>
        <w:t xml:space="preserve"> stage so end-of-retention disposal is reviewed, not automatic (where the records schedule requires disposition review).</w:t>
      </w:r>
    </w:p>
    <w:p>
      <w:pPr>
        <w:pStyle w:val="ListNumber"/>
      </w:pPr>
      <w:r>
        <w:t>Schedule the read-only chain (</w:t>
      </w:r>
      <w:r>
        <w:rPr>
          <w:rFonts w:ascii="Consolas" w:hAnsi="Consolas"/>
          <w:sz w:val="19"/>
        </w:rPr>
        <w:t>CMPFINRA-Discovery.ps1</w:t>
      </w:r>
      <w:r>
        <w:t xml:space="preserve"> → </w:t>
      </w:r>
      <w:r>
        <w:rPr>
          <w:rFonts w:ascii="Consolas" w:hAnsi="Consolas"/>
          <w:sz w:val="19"/>
        </w:rPr>
        <w:t>CMPFINRA-Validate.ps1</w:t>
      </w:r>
      <w:r>
        <w:t xml:space="preserve"> → </w:t>
      </w:r>
      <w:r>
        <w:rPr>
          <w:rFonts w:ascii="Consolas" w:hAnsi="Consolas"/>
          <w:sz w:val="19"/>
        </w:rPr>
        <w:t>CMPFINRA-Report.ps1</w:t>
      </w:r>
      <w:r>
        <w:t xml:space="preserve">) on a cadence so drift — a disabled policy, a removed label scope, a lapsed license, audit turned off — is caught, and re-generate the evidence binder before each exam. </w:t>
      </w:r>
      <w:r>
        <w:rPr>
          <w:b/>
        </w:rPr>
        <w:t>Pass gate:</w:t>
      </w:r>
      <w:r>
        <w:t xml:space="preserve"> controls enforced tenant-wide on the approved scope, evidence binder current, monitoring cadence scheduled. Hand the register, binder, and runbook to the compliance function as the standing procedure.</w:t>
      </w:r>
    </w:p>
    <w:p>
      <w:pPr>
        <w:pStyle w:val="Heading1"/>
      </w:pPr>
      <w:r>
        <w:t>5. Testing &amp; Validation — Microsoft Purview FINRA/SEC Compliance Program</w:t>
      </w:r>
    </w:p>
    <w:p>
      <w:r>
        <w:t xml:space="preserve">Work through every gate. Each has a </w:t>
      </w:r>
      <w:r>
        <w:rPr>
          <w:b/>
        </w:rPr>
        <w:t>method</w:t>
      </w:r>
      <w:r>
        <w:t xml:space="preserve">, an </w:t>
      </w:r>
      <w:r>
        <w:rPr>
          <w:b/>
        </w:rPr>
        <w:t>expected result (pass)</w:t>
      </w:r>
      <w:r>
        <w:t xml:space="preserve">, and a </w:t>
      </w:r>
      <w:r>
        <w:rPr>
          <w:b/>
        </w:rPr>
        <w:t>fail action</w:t>
      </w:r>
      <w:r>
        <w:t xml:space="preserve">. Tests are read-only or use </w:t>
      </w:r>
      <w:r>
        <w:rPr>
          <w:b/>
        </w:rPr>
        <w:t>benign, self-generated pilot content</w:t>
      </w:r>
      <w:r>
        <w:t xml:space="preserve"> — no production records or real employee communications are actioned. Do not declare "FINRA/SEC-ready" until every gate passes for the pilot scope, then re-confirm on expand.</w:t>
      </w:r>
    </w:p>
    <w:p>
      <w:pPr>
        <w:ind w:left="432"/>
      </w:pPr>
      <w:r>
        <w:rPr>
          <w:i/>
          <w:color w:val="2E86C1"/>
        </w:rPr>
        <w:t>Boundary: these gates prove the technical control works and is evidenced. Whether the control satisfies a specific FINRA/SEC rule — retention adequacy, supervisory scope/lexicon sufficiency, 17a-4 electronic-recordkeeping compliance — is a compliance/records/legal determination, not a test outcome. Never action a real supervision item during testing — outcomes are HR/legal's.</w:t>
      </w:r>
    </w:p>
    <w:p>
      <w:pPr>
        <w:pStyle w:val="Heading2"/>
      </w:pPr>
      <w:r>
        <w:t>Gate 1 — Compliance licensing present for each control</w:t>
      </w:r>
    </w:p>
    <w:p>
      <w:pPr>
        <w:pStyle w:val="ListBullet"/>
      </w:pPr>
      <w:r>
        <w:rPr>
          <w:b/>
        </w:rPr>
        <w:t>Method:</w:t>
      </w:r>
      <w:r>
        <w:t xml:space="preserve"> </w:t>
      </w:r>
      <w:r>
        <w:rPr>
          <w:rFonts w:ascii="Consolas" w:hAnsi="Consolas"/>
          <w:sz w:val="19"/>
        </w:rPr>
        <w:t>CMPFINRA-Discovery.ps1</w:t>
      </w:r>
      <w:r>
        <w:t xml:space="preserve"> licensing section (Graph </w:t>
      </w:r>
      <w:r>
        <w:rPr>
          <w:rFonts w:ascii="Consolas" w:hAnsi="Consolas"/>
          <w:sz w:val="19"/>
        </w:rPr>
        <w:t>subscribedSkus</w:t>
      </w:r>
      <w:r>
        <w:t xml:space="preserve"> / service plans).</w:t>
      </w:r>
    </w:p>
    <w:p>
      <w:pPr>
        <w:pStyle w:val="ListBullet"/>
      </w:pPr>
      <w:r>
        <w:rPr>
          <w:b/>
        </w:rPr>
        <w:t>Pass:</w:t>
      </w:r>
      <w:r>
        <w:t xml:space="preserve"> records/regulatory-records, Communication Compliance, and Audit Premium-bearing plans are present and assigned to the in-scope population.</w:t>
      </w:r>
    </w:p>
    <w:p>
      <w:pPr>
        <w:pStyle w:val="ListBullet"/>
      </w:pPr>
      <w:r>
        <w:rPr>
          <w:b/>
        </w:rPr>
        <w:t>Fail:</w:t>
      </w:r>
      <w:r>
        <w:t xml:space="preserve"> assign the license (Requirement 2.1); a missing plan makes the corresponding control unavailable — that is a licensing gap, not a config defect. </w:t>
      </w:r>
      <w:r>
        <w:rPr>
          <w:b/>
        </w:rPr>
        <w:t>Verify plan names for your tenant.</w:t>
      </w:r>
    </w:p>
    <w:p>
      <w:pPr>
        <w:pStyle w:val="Heading2"/>
      </w:pPr>
      <w:r>
        <w:t>Gate 2 — Records label applies and preserves (pilot, non-regulatory first)</w:t>
      </w:r>
    </w:p>
    <w:p>
      <w:pPr>
        <w:pStyle w:val="ListBullet"/>
      </w:pPr>
      <w:r>
        <w:rPr>
          <w:b/>
        </w:rPr>
        <w:t>Method:</w:t>
      </w:r>
      <w:r>
        <w:t xml:space="preserve"> apply the </w:t>
      </w:r>
      <w:r>
        <w:rPr>
          <w:b/>
        </w:rPr>
        <w:t>non-regulatory</w:t>
      </w:r>
      <w:r>
        <w:t xml:space="preserve"> pilot records label to benign pilot content, attempt to edit/delete it, then confirm via </w:t>
      </w:r>
      <w:r>
        <w:rPr>
          <w:rFonts w:ascii="Consolas" w:hAnsi="Consolas"/>
          <w:sz w:val="19"/>
        </w:rPr>
        <w:t>CMPFINRA-Discovery.ps1</w:t>
      </w:r>
      <w:r>
        <w:t xml:space="preserve"> / portal that retention held.</w:t>
      </w:r>
    </w:p>
    <w:p>
      <w:pPr>
        <w:pStyle w:val="ListBullet"/>
      </w:pPr>
      <w:r>
        <w:rPr>
          <w:b/>
        </w:rPr>
        <w:t>Pass:</w:t>
      </w:r>
      <w:r>
        <w:t xml:space="preserve"> the label applies, records behavior prevents disallowed deletion, and </w:t>
      </w:r>
      <w:r>
        <w:rPr>
          <w:rFonts w:ascii="Consolas" w:hAnsi="Consolas"/>
          <w:sz w:val="19"/>
        </w:rPr>
        <w:t>Get-ComplianceTag</w:t>
      </w:r>
      <w:r>
        <w:t>/</w:t>
      </w:r>
      <w:r>
        <w:rPr>
          <w:rFonts w:ascii="Consolas" w:hAnsi="Consolas"/>
          <w:sz w:val="19"/>
        </w:rPr>
        <w:t>Get-RetentionCompliancePolicy</w:t>
      </w:r>
      <w:r>
        <w:t xml:space="preserve"> show it scoped to the pilot.</w:t>
      </w:r>
    </w:p>
    <w:p>
      <w:pPr>
        <w:pStyle w:val="ListBullet"/>
      </w:pPr>
      <w:r>
        <w:rPr>
          <w:b/>
        </w:rPr>
        <w:t>Fail:</w:t>
      </w:r>
      <w:r>
        <w:t xml:space="preserve"> confirm the label type (</w:t>
      </w:r>
      <w:r>
        <w:rPr>
          <w:rFonts w:ascii="Consolas" w:hAnsi="Consolas"/>
          <w:sz w:val="19"/>
        </w:rPr>
        <w:t>-IsRecordLabel</w:t>
      </w:r>
      <w:r>
        <w:t xml:space="preserve">), the publish policy scope, and label availability latency; retest. </w:t>
      </w:r>
      <w:r>
        <w:rPr>
          <w:b/>
        </w:rPr>
        <w:t>Do not proceed to the regulatory-records label until this passes and compliance signs off.</w:t>
      </w:r>
    </w:p>
    <w:p>
      <w:pPr>
        <w:pStyle w:val="Heading2"/>
      </w:pPr>
      <w:r>
        <w:t>Gate 3 — Regulatory-records behavior confirmed (post sign-off)</w:t>
      </w:r>
    </w:p>
    <w:p>
      <w:pPr>
        <w:pStyle w:val="ListBullet"/>
      </w:pPr>
      <w:r>
        <w:rPr>
          <w:b/>
        </w:rPr>
        <w:t>Method:</w:t>
      </w:r>
      <w:r>
        <w:t xml:space="preserve"> after compliance sign-off, confirm </w:t>
      </w:r>
      <w:r>
        <w:rPr>
          <w:rFonts w:ascii="Consolas" w:hAnsi="Consolas"/>
          <w:sz w:val="19"/>
        </w:rPr>
        <w:t>Records – FINRA/SEC Regulated – Regulatory</w:t>
      </w:r>
      <w:r>
        <w:t xml:space="preserve"> exists as a </w:t>
      </w:r>
      <w:r>
        <w:rPr>
          <w:b/>
        </w:rPr>
        <w:t>regulatory</w:t>
      </w:r>
      <w:r>
        <w:t xml:space="preserve"> record label (immutable, retention non-shortenable) on the approved scope.</w:t>
      </w:r>
    </w:p>
    <w:p>
      <w:pPr>
        <w:pStyle w:val="ListBullet"/>
      </w:pPr>
      <w:r>
        <w:rPr>
          <w:b/>
        </w:rPr>
        <w:t>Pass:</w:t>
      </w:r>
      <w:r>
        <w:t xml:space="preserve"> the label is present and typed regulatory; its irreversibility is understood and documented.</w:t>
      </w:r>
    </w:p>
    <w:p>
      <w:pPr>
        <w:pStyle w:val="ListBullet"/>
      </w:pPr>
      <w:r>
        <w:rPr>
          <w:b/>
        </w:rPr>
        <w:t>Fail:</w:t>
      </w:r>
      <w:r>
        <w:t xml:space="preserve"> verify the regulatory-record behavior in your tenant before wider application; a regulatory label </w:t>
      </w:r>
      <w:r>
        <w:rPr>
          <w:b/>
        </w:rPr>
        <w:t>cannot be undone</w:t>
      </w:r>
      <w:r>
        <w:t>, so treat any doubt as a stop.</w:t>
      </w:r>
    </w:p>
    <w:p>
      <w:pPr>
        <w:pStyle w:val="Heading2"/>
      </w:pPr>
      <w:r>
        <w:t>Gate 4 — Communications-store retention scoped</w:t>
      </w:r>
    </w:p>
    <w:p>
      <w:pPr>
        <w:pStyle w:val="ListBullet"/>
      </w:pPr>
      <w:r>
        <w:rPr>
          <w:b/>
        </w:rPr>
        <w:t>Method:</w:t>
      </w:r>
      <w:r>
        <w:t xml:space="preserve"> </w:t>
      </w:r>
      <w:r>
        <w:rPr>
          <w:rFonts w:ascii="Consolas" w:hAnsi="Consolas"/>
          <w:sz w:val="19"/>
        </w:rPr>
        <w:t>CMPFINRA-Discovery.ps1</w:t>
      </w:r>
      <w:r>
        <w:t xml:space="preserve"> / portal — confirm </w:t>
      </w:r>
      <w:r>
        <w:rPr>
          <w:rFonts w:ascii="Consolas" w:hAnsi="Consolas"/>
          <w:sz w:val="19"/>
        </w:rPr>
        <w:t>Retention – FINRA/SEC Comms Store – Immutable</w:t>
      </w:r>
      <w:r>
        <w:t xml:space="preserve"> covers the in-scope Exchange/Teams locations for the pilot.</w:t>
      </w:r>
    </w:p>
    <w:p>
      <w:pPr>
        <w:pStyle w:val="ListBullet"/>
      </w:pPr>
      <w:r>
        <w:rPr>
          <w:b/>
        </w:rPr>
        <w:t>Pass:</w:t>
      </w:r>
      <w:r>
        <w:t xml:space="preserve"> the retention policy exists, is enabled, and covers the intended comms locations at the agreed duration.</w:t>
      </w:r>
    </w:p>
    <w:p>
      <w:pPr>
        <w:pStyle w:val="ListBullet"/>
      </w:pPr>
      <w:r>
        <w:rPr>
          <w:b/>
        </w:rPr>
        <w:t>Fail:</w:t>
      </w:r>
      <w:r>
        <w:t xml:space="preserve"> correct the locations/duration with </w:t>
      </w:r>
      <w:r>
        <w:rPr>
          <w:rFonts w:ascii="Consolas" w:hAnsi="Consolas"/>
          <w:sz w:val="19"/>
        </w:rPr>
        <w:t>CMPFINRA-Configure.ps1 -Control Records</w:t>
      </w:r>
      <w:r>
        <w:t>; re-verify. Confirm the retention duration with compliance (determination).</w:t>
      </w:r>
    </w:p>
    <w:p>
      <w:pPr>
        <w:pStyle w:val="Heading2"/>
      </w:pPr>
      <w:r>
        <w:t>Gate 5 — Unified audit on and evidence policy present</w:t>
      </w:r>
    </w:p>
    <w:p>
      <w:pPr>
        <w:pStyle w:val="ListBullet"/>
      </w:pPr>
      <w:r>
        <w:rPr>
          <w:b/>
        </w:rPr>
        <w:t>Method:</w:t>
      </w:r>
      <w:r>
        <w:t xml:space="preserve"> </w:t>
      </w:r>
      <w:r>
        <w:rPr>
          <w:rFonts w:ascii="Consolas" w:hAnsi="Consolas"/>
          <w:sz w:val="19"/>
        </w:rPr>
        <w:t>CMPFINRA-Discovery.ps1</w:t>
      </w:r>
      <w:r>
        <w:t xml:space="preserve"> audit section (</w:t>
      </w:r>
      <w:r>
        <w:rPr>
          <w:rFonts w:ascii="Consolas" w:hAnsi="Consolas"/>
          <w:sz w:val="19"/>
        </w:rPr>
        <w:t>UnifiedAuditLogIngestionEnabled</w:t>
      </w:r>
      <w:r>
        <w:t xml:space="preserve">, </w:t>
      </w:r>
      <w:r>
        <w:rPr>
          <w:rFonts w:ascii="Consolas" w:hAnsi="Consolas"/>
          <w:sz w:val="19"/>
        </w:rPr>
        <w:t>Get-UnifiedAuditLogRetentionPolicy</w:t>
      </w:r>
      <w:r>
        <w:t>).</w:t>
      </w:r>
    </w:p>
    <w:p>
      <w:pPr>
        <w:pStyle w:val="ListBullet"/>
      </w:pPr>
      <w:r>
        <w:rPr>
          <w:b/>
        </w:rPr>
        <w:t>Pass:</w:t>
      </w:r>
      <w:r>
        <w:t xml:space="preserve"> ingestion is </w:t>
      </w:r>
      <w:r>
        <w:rPr>
          <w:rFonts w:ascii="Consolas" w:hAnsi="Consolas"/>
          <w:sz w:val="19"/>
        </w:rPr>
        <w:t>True</w:t>
      </w:r>
      <w:r>
        <w:t xml:space="preserve"> and </w:t>
      </w:r>
      <w:r>
        <w:rPr>
          <w:rFonts w:ascii="Consolas" w:hAnsi="Consolas"/>
          <w:sz w:val="19"/>
        </w:rPr>
        <w:t>Audit Retention – FINRA/SEC Evidence – LongTerm</w:t>
      </w:r>
      <w:r>
        <w:t xml:space="preserve"> exists with the agreed duration and a unique priority.</w:t>
      </w:r>
    </w:p>
    <w:p>
      <w:pPr>
        <w:pStyle w:val="ListBullet"/>
      </w:pPr>
      <w:r>
        <w:rPr>
          <w:b/>
        </w:rPr>
        <w:t>Fail:</w:t>
      </w:r>
      <w:r>
        <w:t xml:space="preserve"> enable ingestion under change control; create/correct the policy (Implementation Step 4); verify the </w:t>
      </w:r>
      <w:r>
        <w:rPr>
          <w:rFonts w:ascii="Consolas" w:hAnsi="Consolas"/>
          <w:sz w:val="19"/>
        </w:rPr>
        <w:t>RetentionDuration</w:t>
      </w:r>
      <w:r>
        <w:t xml:space="preserve"> value and licensing.</w:t>
      </w:r>
    </w:p>
    <w:p>
      <w:pPr>
        <w:pStyle w:val="Heading2"/>
      </w:pPr>
      <w:r>
        <w:t>Gate 6 — Supervision policy exists in TEST with reviewer separation</w:t>
      </w:r>
    </w:p>
    <w:p>
      <w:pPr>
        <w:pStyle w:val="ListBullet"/>
      </w:pPr>
      <w:r>
        <w:rPr>
          <w:b/>
        </w:rPr>
        <w:t>Method:</w:t>
      </w:r>
      <w:r>
        <w:t xml:space="preserve"> </w:t>
      </w:r>
      <w:r>
        <w:rPr>
          <w:rFonts w:ascii="Consolas" w:hAnsi="Consolas"/>
          <w:sz w:val="19"/>
        </w:rPr>
        <w:t>CMPFINRA-Discovery.ps1</w:t>
      </w:r>
      <w:r>
        <w:t xml:space="preserve"> / </w:t>
      </w:r>
      <w:r>
        <w:rPr>
          <w:rFonts w:ascii="Consolas" w:hAnsi="Consolas"/>
          <w:sz w:val="19"/>
        </w:rPr>
        <w:t>CMPFINRA-Validate.ps1</w:t>
      </w:r>
      <w:r>
        <w:t xml:space="preserve"> — confirm </w:t>
      </w:r>
      <w:r>
        <w:rPr>
          <w:rFonts w:ascii="Consolas" w:hAnsi="Consolas"/>
          <w:sz w:val="19"/>
        </w:rPr>
        <w:t>Supervision – Registered Persons Comms – Test</w:t>
      </w:r>
      <w:r>
        <w:t xml:space="preserve"> (</w:t>
      </w:r>
      <w:r>
        <w:rPr>
          <w:rFonts w:ascii="Consolas" w:hAnsi="Consolas"/>
          <w:sz w:val="19"/>
        </w:rPr>
        <w:t>Get-SupervisoryReviewPolicyV2</w:t>
      </w:r>
      <w:r>
        <w:t>) is scoped to the pilot group, in test, and that reviewers are separated from the configuring admin (Requirement 2.2/2.6).</w:t>
      </w:r>
    </w:p>
    <w:p>
      <w:pPr>
        <w:pStyle w:val="ListBullet"/>
      </w:pPr>
      <w:r>
        <w:rPr>
          <w:b/>
        </w:rPr>
        <w:t>Pass:</w:t>
      </w:r>
      <w:r>
        <w:t xml:space="preserve"> the test policy exists, is pilot-scoped, and only designated reviewers can access its items.</w:t>
      </w:r>
    </w:p>
    <w:p>
      <w:pPr>
        <w:pStyle w:val="ListBullet"/>
      </w:pPr>
      <w:r>
        <w:rPr>
          <w:b/>
        </w:rPr>
        <w:t>Fail:</w:t>
      </w:r>
      <w:r>
        <w:t xml:space="preserve"> correct scope/reviewers; </w:t>
      </w:r>
      <w:r>
        <w:rPr>
          <w:b/>
        </w:rPr>
        <w:t>do not enforce or action real items</w:t>
      </w:r>
      <w:r>
        <w:t>. If pseudonymization is required and not enabled, resolve before proceeding.</w:t>
      </w:r>
    </w:p>
    <w:p>
      <w:pPr>
        <w:pStyle w:val="Heading2"/>
      </w:pPr>
      <w:r>
        <w:t>Gate 7 — Supervision surfaces test items (benign)</w:t>
      </w:r>
    </w:p>
    <w:p>
      <w:pPr>
        <w:pStyle w:val="ListBullet"/>
      </w:pPr>
      <w:r>
        <w:rPr>
          <w:b/>
        </w:rPr>
        <w:t>Method:</w:t>
      </w:r>
      <w:r>
        <w:t xml:space="preserve"> generate </w:t>
      </w:r>
      <w:r>
        <w:rPr>
          <w:b/>
        </w:rPr>
        <w:t>benign test communications</w:t>
      </w:r>
      <w:r>
        <w:t xml:space="preserve"> matching the policy conditions for a pilot user; confirm a review item appears to the designated reviewer.</w:t>
      </w:r>
    </w:p>
    <w:p>
      <w:pPr>
        <w:pStyle w:val="ListBullet"/>
      </w:pPr>
      <w:r>
        <w:rPr>
          <w:b/>
        </w:rPr>
        <w:t>Pass:</w:t>
      </w:r>
      <w:r>
        <w:t xml:space="preserve"> a review item is generated and visible only to the reviewer.</w:t>
      </w:r>
    </w:p>
    <w:p>
      <w:pPr>
        <w:pStyle w:val="ListBullet"/>
      </w:pPr>
      <w:r>
        <w:rPr>
          <w:b/>
        </w:rPr>
        <w:t>Fail:</w:t>
      </w:r>
      <w:r>
        <w:t xml:space="preserve"> confirm the policy conditions/scope and ingestion latency; adjust and retest. </w:t>
      </w:r>
      <w:r>
        <w:rPr>
          <w:b/>
        </w:rPr>
        <w:t>Conditions/lexicon adequacy is compliance's determination, not a test.</w:t>
      </w:r>
    </w:p>
    <w:p>
      <w:pPr>
        <w:pStyle w:val="Heading2"/>
      </w:pPr>
      <w:r>
        <w:t>Gate 8 — Control map and evidence binder generated</w:t>
      </w:r>
    </w:p>
    <w:p>
      <w:pPr>
        <w:pStyle w:val="ListBullet"/>
      </w:pPr>
      <w:r>
        <w:rPr>
          <w:b/>
        </w:rPr>
        <w:t>Method:</w:t>
      </w:r>
      <w:r>
        <w:t xml:space="preserve"> </w:t>
      </w:r>
      <w:r>
        <w:rPr>
          <w:rFonts w:ascii="Consolas" w:hAnsi="Consolas"/>
          <w:sz w:val="19"/>
        </w:rPr>
        <w:t>CMPFINRA-Report.ps1</w:t>
      </w:r>
      <w:r>
        <w:t xml:space="preserve"> → </w:t>
      </w:r>
      <w:r>
        <w:rPr>
          <w:rFonts w:ascii="Consolas" w:hAnsi="Consolas"/>
          <w:sz w:val="19"/>
        </w:rPr>
        <w:t>Evidence – FINRA/SEC Controls – Binder</w:t>
      </w:r>
      <w:r>
        <w:t xml:space="preserve">, cross-referenced to </w:t>
      </w:r>
      <w:r>
        <w:rPr>
          <w:rFonts w:ascii="Consolas" w:hAnsi="Consolas"/>
          <w:sz w:val="19"/>
        </w:rPr>
        <w:t>Control Map – FINRA/SEC – Purview</w:t>
      </w:r>
      <w:r>
        <w:t>.</w:t>
      </w:r>
    </w:p>
    <w:p>
      <w:pPr>
        <w:pStyle w:val="ListBullet"/>
      </w:pPr>
      <w:r>
        <w:rPr>
          <w:b/>
        </w:rPr>
        <w:t>Pass:</w:t>
      </w:r>
      <w:r>
        <w:t xml:space="preserve"> every in-scope obligation maps to a Purview object with its configuration and a proof reference; the binder exports cleanly.</w:t>
      </w:r>
    </w:p>
    <w:p>
      <w:pPr>
        <w:pStyle w:val="ListBullet"/>
      </w:pPr>
      <w:r>
        <w:rPr>
          <w:b/>
        </w:rPr>
        <w:t>Fail:</w:t>
      </w:r>
      <w:r>
        <w:t xml:space="preserve"> fill the gap (missing control or missing evidence) and re-run. A control with no evidence fails an exam.</w:t>
      </w:r>
    </w:p>
    <w:p>
      <w:pPr>
        <w:pStyle w:val="Heading2"/>
      </w:pPr>
      <w:r>
        <w:t>Gate 9 — Validation scorecard is green (pilot)</w:t>
      </w:r>
    </w:p>
    <w:p>
      <w:pPr>
        <w:pStyle w:val="ListBullet"/>
      </w:pPr>
      <w:r>
        <w:rPr>
          <w:b/>
        </w:rPr>
        <w:t>Method:</w:t>
      </w:r>
      <w:r>
        <w:t xml:space="preserve"> </w:t>
      </w:r>
      <w:r>
        <w:rPr>
          <w:rFonts w:ascii="Consolas" w:hAnsi="Consolas"/>
          <w:sz w:val="19"/>
        </w:rPr>
        <w:t>CMPFINRA-Validate.ps1</w:t>
      </w:r>
      <w:r>
        <w:t>.</w:t>
      </w:r>
    </w:p>
    <w:p>
      <w:pPr>
        <w:pStyle w:val="ListBullet"/>
      </w:pPr>
      <w:r>
        <w:rPr>
          <w:b/>
        </w:rPr>
        <w:t>Pass:</w:t>
      </w:r>
      <w:r>
        <w:t xml:space="preserve"> every gate above is green for the pilot scope (and, on expand, for the approved production scope).</w:t>
      </w:r>
    </w:p>
    <w:p>
      <w:pPr>
        <w:pStyle w:val="ListBullet"/>
      </w:pPr>
      <w:r>
        <w:rPr>
          <w:b/>
        </w:rPr>
        <w:t>Fail:</w:t>
      </w:r>
      <w:r>
        <w:t xml:space="preserve"> address the specific red item and re-run before enforcing anything tenant-wide.</w:t>
      </w:r>
    </w:p>
    <w:p>
      <w:pPr>
        <w:pStyle w:val="Heading2"/>
      </w:pPr>
      <w:r>
        <w:t>Evidence to retain</w:t>
      </w:r>
    </w:p>
    <w:p>
      <w:pPr>
        <w:pStyle w:val="ListBullet"/>
      </w:pPr>
      <w:r>
        <w:rPr>
          <w:rFonts w:ascii="Consolas" w:hAnsi="Consolas"/>
          <w:sz w:val="19"/>
        </w:rPr>
        <w:t>CMPFINRA-Discovery.ps1</w:t>
      </w:r>
      <w:r>
        <w:t xml:space="preserve"> and </w:t>
      </w:r>
      <w:r>
        <w:rPr>
          <w:rFonts w:ascii="Consolas" w:hAnsi="Consolas"/>
          <w:sz w:val="19"/>
        </w:rPr>
        <w:t>CMPFINRA-Validate.ps1</w:t>
      </w:r>
      <w:r>
        <w:t xml:space="preserve"> outputs (before/after).</w:t>
      </w:r>
    </w:p>
    <w:p>
      <w:pPr>
        <w:pStyle w:val="ListBullet"/>
      </w:pPr>
      <w:r>
        <w:t xml:space="preserve">The </w:t>
      </w:r>
      <w:r>
        <w:rPr>
          <w:rFonts w:ascii="Consolas" w:hAnsi="Consolas"/>
          <w:sz w:val="19"/>
        </w:rPr>
        <w:t>-WhatIf</w:t>
      </w:r>
      <w:r>
        <w:t xml:space="preserve"> transcripts for every label, retention, audit, and supervision change.</w:t>
      </w:r>
    </w:p>
    <w:p>
      <w:pPr>
        <w:pStyle w:val="ListBullet"/>
      </w:pPr>
      <w:r>
        <w:t xml:space="preserve">The </w:t>
      </w:r>
      <w:r>
        <w:rPr>
          <w:rFonts w:ascii="Consolas" w:hAnsi="Consolas"/>
          <w:sz w:val="19"/>
        </w:rPr>
        <w:t>Evidence – FINRA/SEC Controls – Binder</w:t>
      </w:r>
      <w:r>
        <w:t xml:space="preserve"> export and the </w:t>
      </w:r>
      <w:r>
        <w:rPr>
          <w:rFonts w:ascii="Consolas" w:hAnsi="Consolas"/>
          <w:sz w:val="19"/>
        </w:rPr>
        <w:t>Control Map – FINRA/SEC – Purview</w:t>
      </w:r>
      <w:r>
        <w:t xml:space="preserve"> register.</w:t>
      </w:r>
    </w:p>
    <w:p>
      <w:pPr>
        <w:pStyle w:val="ListBullet"/>
      </w:pPr>
      <w:r>
        <w:t>The compliance sign-offs (regulatory-records application, supervisory scope, retention schedule) and the pilot roster/approvals (Requirement 2.5/2.6/2.8).</w:t>
      </w:r>
    </w:p>
    <w:p>
      <w:pPr>
        <w:ind w:left="432"/>
      </w:pPr>
      <w:r>
        <w:rPr>
          <w:i/>
          <w:color w:val="2E86C1"/>
        </w:rPr>
        <w:t>Retention adequacy, supervisory-scope sufficiency, 17a-4 compliance, and rule applicability are compliance/records/legal determinations — these gates prove the Purview controls work and are evidenced, not that the program satisfies the regulation.</w:t>
      </w:r>
    </w:p>
    <w:p>
      <w:pPr>
        <w:pStyle w:val="Heading1"/>
      </w:pPr>
      <w:r>
        <w:t>6. Troubleshooting — Microsoft Purview FINRA/SEC Compliance Program</w:t>
      </w:r>
    </w:p>
    <w:p>
      <w:r>
        <w:t xml:space="preserve">Symptom → likely cause → fix, for the failure modes you are most likely to hit. Diagnosis is read-only: run </w:t>
      </w:r>
      <w:r>
        <w:rPr>
          <w:rFonts w:ascii="Consolas" w:hAnsi="Consolas"/>
          <w:sz w:val="19"/>
        </w:rPr>
        <w:t>CMPFINRA-Discovery.ps1</w:t>
      </w:r>
      <w:r>
        <w:t xml:space="preserve">, </w:t>
      </w:r>
      <w:r>
        <w:rPr>
          <w:rFonts w:ascii="Consolas" w:hAnsi="Consolas"/>
          <w:sz w:val="19"/>
        </w:rPr>
        <w:t>CMPFINRA-Scope.ps1</w:t>
      </w:r>
      <w:r>
        <w:t xml:space="preserve">, and </w:t>
      </w:r>
      <w:r>
        <w:rPr>
          <w:rFonts w:ascii="Consolas" w:hAnsi="Consolas"/>
          <w:sz w:val="19"/>
        </w:rPr>
        <w:t>CMPFINRA-Validate.ps1</w:t>
      </w:r>
      <w:r>
        <w:t xml:space="preserve"> first — they name the specific gap and the Implementation step that closes it. Remember the boundary throughout: these fixes make the </w:t>
      </w:r>
      <w:r>
        <w:rPr>
          <w:b/>
        </w:rPr>
        <w:t>technical control</w:t>
      </w:r>
      <w:r>
        <w:t xml:space="preserve"> work and be </w:t>
      </w:r>
      <w:r>
        <w:rPr>
          <w:b/>
        </w:rPr>
        <w:t>evidenced</w:t>
      </w:r>
      <w:r>
        <w:t xml:space="preserve">; whether a control </w:t>
      </w:r>
      <w:r>
        <w:rPr>
          <w:b/>
        </w:rPr>
        <w:t>satisfies</w:t>
      </w:r>
      <w:r>
        <w:t xml:space="preserve"> a FINRA/SEC rule is a </w:t>
      </w:r>
      <w:r>
        <w:rPr>
          <w:b/>
        </w:rPr>
        <w:t>compliance/records/legal determination</w:t>
      </w:r>
      <w:r>
        <w:t>.</w:t>
      </w:r>
    </w:p>
    <w:p>
      <w:pPr>
        <w:pStyle w:val="Heading2"/>
      </w:pPr>
      <w:r>
        <w:t>A capability is missing entirely (label type, supervision, audit tier) — likely a licensing gap</w:t>
      </w:r>
    </w:p>
    <w:p>
      <w:pPr>
        <w:pStyle w:val="ListBullet"/>
      </w:pPr>
      <w:r>
        <w:rPr>
          <w:b/>
        </w:rPr>
        <w:t>Cause:</w:t>
      </w:r>
      <w:r>
        <w:t xml:space="preserve"> Records/regulatory-records, Communication Compliance, and Audit Premium are </w:t>
      </w:r>
      <w:r>
        <w:rPr>
          <w:b/>
        </w:rPr>
        <w:t>plan-gated</w:t>
      </w:r>
    </w:p>
    <w:p>
      <w:r>
        <w:t xml:space="preserve">  (Microsoft 365 </w:t>
      </w:r>
      <w:r>
        <w:rPr>
          <w:b/>
        </w:rPr>
        <w:t>E5</w:t>
      </w:r>
      <w:r>
        <w:t xml:space="preserve"> or the </w:t>
      </w:r>
      <w:r>
        <w:rPr>
          <w:b/>
        </w:rPr>
        <w:t>E5 Compliance</w:t>
      </w:r>
      <w:r>
        <w:t xml:space="preserve"> add-on; Requirement 2.1). If the plan/service plan is   absent or unassigned to the in-scope user, the control simply isn't available — that is a licensing   gap, not a configuration defect.</w:t>
      </w:r>
    </w:p>
    <w:p>
      <w:pPr>
        <w:pStyle w:val="ListBullet"/>
      </w:pPr>
      <w:r>
        <w:rPr>
          <w:b/>
        </w:rPr>
        <w:t>Fix:</w:t>
      </w:r>
      <w:r>
        <w:t xml:space="preserve"> </w:t>
      </w:r>
      <w:r>
        <w:rPr>
          <w:rFonts w:ascii="Consolas" w:hAnsi="Consolas"/>
          <w:sz w:val="19"/>
        </w:rPr>
        <w:t>CMPFINRA-Discovery.ps1</w:t>
      </w:r>
      <w:r>
        <w:t xml:space="preserve"> licensing section reports the indicative plans; confirm in **M365</w:t>
      </w:r>
    </w:p>
    <w:p>
      <w:r>
        <w:t xml:space="preserve">  admin center → Billing → Licenses</w:t>
      </w:r>
      <w:r>
        <w:rPr>
          <w:b/>
        </w:rPr>
        <w:t xml:space="preserve"> and assign the right plan to the in-scope population. </w:t>
      </w:r>
      <w:r>
        <w:t>Plan and   service-plan names change — verify them for your tenant** rather than trusting the script's indicative   list.</w:t>
      </w:r>
    </w:p>
    <w:p>
      <w:pPr>
        <w:pStyle w:val="Heading2"/>
      </w:pPr>
      <w:r>
        <w:t>`Connect-IPPSSession` fails or cmdlets are "not recognized"</w:t>
      </w:r>
    </w:p>
    <w:p>
      <w:pPr>
        <w:pStyle w:val="ListBullet"/>
      </w:pPr>
      <w:r>
        <w:rPr>
          <w:b/>
        </w:rPr>
        <w:t>Cause:</w:t>
      </w:r>
      <w:r>
        <w:t xml:space="preserve"> The </w:t>
      </w:r>
      <w:r>
        <w:rPr>
          <w:rFonts w:ascii="Consolas" w:hAnsi="Consolas"/>
          <w:sz w:val="19"/>
        </w:rPr>
        <w:t>ExchangeOnlineManagement</w:t>
      </w:r>
      <w:r>
        <w:t xml:space="preserve"> module isn't installed/updated, you're not on modern</w:t>
      </w:r>
    </w:p>
    <w:p>
      <w:r>
        <w:t xml:space="preserve">  auth/MFA, or you ran a Security &amp; Compliance cmdlet in the wrong session.</w:t>
      </w:r>
    </w:p>
    <w:p>
      <w:pPr>
        <w:pStyle w:val="ListBullet"/>
      </w:pPr>
      <w:r>
        <w:rPr>
          <w:b/>
        </w:rPr>
        <w:t>Fix:</w:t>
      </w:r>
      <w:r>
        <w:t xml:space="preserve"> </w:t>
      </w:r>
      <w:r>
        <w:rPr>
          <w:rFonts w:ascii="Consolas" w:hAnsi="Consolas"/>
          <w:sz w:val="19"/>
        </w:rPr>
        <w:t>Install-Module ExchangeOnlineManagement -Scope CurrentUser</w:t>
      </w:r>
      <w:r>
        <w:t xml:space="preserve"> (update if old);</w:t>
      </w:r>
    </w:p>
    <w:p>
      <w:r>
        <w:t xml:space="preserve">  </w:t>
      </w:r>
      <w:r>
        <w:rPr>
          <w:rFonts w:ascii="Consolas" w:hAnsi="Consolas"/>
          <w:sz w:val="19"/>
        </w:rPr>
        <w:t>Connect-IPPSSession</w:t>
      </w:r>
      <w:r>
        <w:t xml:space="preserve"> with an MFA-capable admin. Note the </w:t>
      </w:r>
      <w:r>
        <w:rPr>
          <w:b/>
        </w:rPr>
        <w:t>two different sessions</w:t>
      </w:r>
      <w:r>
        <w:t xml:space="preserve">: retention labels,   DLP, supervision, and audit-retention cmdlets are </w:t>
      </w:r>
      <w:r>
        <w:rPr>
          <w:b/>
        </w:rPr>
        <w:t>Security &amp; Compliance PowerShell</w:t>
      </w:r>
      <w:r>
        <w:t xml:space="preserve">   (</w:t>
      </w:r>
      <w:r>
        <w:rPr>
          <w:rFonts w:ascii="Consolas" w:hAnsi="Consolas"/>
          <w:sz w:val="19"/>
        </w:rPr>
        <w:t>Connect-IPPSSession</w:t>
      </w:r>
      <w:r>
        <w:t xml:space="preserve">), while </w:t>
      </w:r>
      <w:r>
        <w:rPr>
          <w:rFonts w:ascii="Consolas" w:hAnsi="Consolas"/>
          <w:sz w:val="19"/>
        </w:rPr>
        <w:t>Get-AdminAuditLogConfig</w:t>
      </w:r>
      <w:r>
        <w:t xml:space="preserve"> runs in </w:t>
      </w:r>
      <w:r>
        <w:rPr>
          <w:b/>
        </w:rPr>
        <w:t>Exchange Online PowerShell</w:t>
      </w:r>
      <w:r>
        <w:t xml:space="preserve">   (</w:t>
      </w:r>
      <w:r>
        <w:rPr>
          <w:rFonts w:ascii="Consolas" w:hAnsi="Consolas"/>
          <w:sz w:val="19"/>
        </w:rPr>
        <w:t>Connect-ExchangeOnline</w:t>
      </w:r>
      <w:r>
        <w:t xml:space="preserve">). </w:t>
      </w:r>
      <w:r>
        <w:rPr>
          <w:rFonts w:ascii="Consolas" w:hAnsi="Consolas"/>
          <w:sz w:val="19"/>
        </w:rPr>
        <w:t>CMPFINRA-Validate.ps1</w:t>
      </w:r>
      <w:r>
        <w:t xml:space="preserve"> falls back to </w:t>
      </w:r>
      <w:r>
        <w:rPr>
          <w:rFonts w:ascii="Consolas" w:hAnsi="Consolas"/>
          <w:sz w:val="19"/>
        </w:rPr>
        <w:t>Connect-ExchangeOnline</w:t>
      </w:r>
      <w:r>
        <w:t xml:space="preserve"> for the   ingestion check — connect there if the audit gate can't read config.</w:t>
      </w:r>
    </w:p>
    <w:p>
      <w:pPr>
        <w:pStyle w:val="Heading2"/>
      </w:pPr>
      <w:r>
        <w:t>`Get-SupervisoryReviewPolicyV2` (or the supervision cmdlets) error / not found</w:t>
      </w:r>
    </w:p>
    <w:p>
      <w:pPr>
        <w:pStyle w:val="ListBullet"/>
      </w:pPr>
      <w:r>
        <w:rPr>
          <w:b/>
        </w:rPr>
        <w:t>Cause:</w:t>
      </w:r>
      <w:r>
        <w:t xml:space="preserve"> The Communication Compliance feature/cmdlet set isn't available for your tenant/licensing,</w:t>
      </w:r>
    </w:p>
    <w:p>
      <w:r>
        <w:t xml:space="preserve">  or your account lacks the Communication Compliance role.</w:t>
      </w:r>
    </w:p>
    <w:p>
      <w:pPr>
        <w:pStyle w:val="ListBullet"/>
      </w:pPr>
      <w:r>
        <w:rPr>
          <w:b/>
        </w:rPr>
        <w:t>Fix:</w:t>
      </w:r>
      <w:r>
        <w:t xml:space="preserve"> Confirm Communication Compliance licensing (Requirement 2.1) and that you hold the least-</w:t>
      </w:r>
    </w:p>
    <w:p>
      <w:r>
        <w:t xml:space="preserve">  privilege </w:t>
      </w:r>
      <w:r>
        <w:rPr>
          <w:b/>
        </w:rPr>
        <w:t>Communication Compliance</w:t>
      </w:r>
      <w:r>
        <w:t xml:space="preserve"> role (Requirement 2.2). The cmdlet surface for supervision has   </w:t>
      </w:r>
      <w:r>
        <w:rPr>
          <w:b/>
        </w:rPr>
        <w:t>changed over time and varies by tenant</w:t>
      </w:r>
      <w:r>
        <w:t xml:space="preserve"> — </w:t>
      </w:r>
      <w:r>
        <w:rPr>
          <w:b/>
        </w:rPr>
        <w:t>verify the current cmdlet/feature for your tenant</w:t>
      </w:r>
      <w:r>
        <w:t xml:space="preserve"> in   Microsoft's documentation before assuming a defect. Build the policy </w:t>
      </w:r>
      <w:r>
        <w:rPr>
          <w:b/>
        </w:rPr>
        <w:t>in test mode</w:t>
      </w:r>
      <w:r>
        <w:t xml:space="preserve"> regardless.</w:t>
      </w:r>
    </w:p>
    <w:p>
      <w:pPr>
        <w:pStyle w:val="Heading2"/>
      </w:pPr>
      <w:r>
        <w:t>Records/regulatory-records label applied but content can still be deleted, or label isn't visible</w:t>
      </w:r>
    </w:p>
    <w:p>
      <w:pPr>
        <w:pStyle w:val="ListBullet"/>
      </w:pPr>
      <w:r>
        <w:rPr>
          <w:b/>
        </w:rPr>
        <w:t>Cause:</w:t>
      </w:r>
      <w:r>
        <w:t xml:space="preserve"> Label </w:t>
      </w:r>
      <w:r>
        <w:rPr>
          <w:b/>
        </w:rPr>
        <w:t>publish latency</w:t>
      </w:r>
      <w:r>
        <w:t xml:space="preserve"> (a published label can take time to appear), the publish policy</w:t>
      </w:r>
    </w:p>
    <w:p>
      <w:r>
        <w:t xml:space="preserve">  isn't scoped to the location, or the label was created as </w:t>
      </w:r>
      <w:r>
        <w:rPr>
          <w:b/>
        </w:rPr>
        <w:t>retain-only</w:t>
      </w:r>
      <w:r>
        <w:t xml:space="preserve"> rather than a </w:t>
      </w:r>
      <w:r>
        <w:rPr>
          <w:b/>
        </w:rPr>
        <w:t>record</w:t>
      </w:r>
      <w:r>
        <w:t xml:space="preserve">   (</w:t>
      </w:r>
      <w:r>
        <w:rPr>
          <w:rFonts w:ascii="Consolas" w:hAnsi="Consolas"/>
          <w:sz w:val="19"/>
        </w:rPr>
        <w:t>-IsRecordLabel</w:t>
      </w:r>
      <w:r>
        <w:t>)/</w:t>
      </w:r>
      <w:r>
        <w:rPr>
          <w:b/>
        </w:rPr>
        <w:t>regulatory record</w:t>
      </w:r>
      <w:r>
        <w:t xml:space="preserve"> (</w:t>
      </w:r>
      <w:r>
        <w:rPr>
          <w:rFonts w:ascii="Consolas" w:hAnsi="Consolas"/>
          <w:sz w:val="19"/>
        </w:rPr>
        <w:t>-Regulatory</w:t>
      </w:r>
      <w:r>
        <w:t>).</w:t>
      </w:r>
    </w:p>
    <w:p>
      <w:pPr>
        <w:pStyle w:val="ListBullet"/>
      </w:pPr>
      <w:r>
        <w:rPr>
          <w:b/>
        </w:rPr>
        <w:t>Fix:</w:t>
      </w:r>
      <w:r>
        <w:t xml:space="preserve"> Confirm the label type with </w:t>
      </w:r>
      <w:r>
        <w:rPr>
          <w:rFonts w:ascii="Consolas" w:hAnsi="Consolas"/>
          <w:sz w:val="19"/>
        </w:rPr>
        <w:t>Get-ComplianceTag</w:t>
      </w:r>
      <w:r>
        <w:t xml:space="preserve"> (</w:t>
      </w:r>
      <w:r>
        <w:rPr>
          <w:rFonts w:ascii="Consolas" w:hAnsi="Consolas"/>
          <w:sz w:val="19"/>
        </w:rPr>
        <w:t>IsRecordLabel</w:t>
      </w:r>
      <w:r>
        <w:t>/</w:t>
      </w:r>
      <w:r>
        <w:rPr>
          <w:rFonts w:ascii="Consolas" w:hAnsi="Consolas"/>
          <w:sz w:val="19"/>
        </w:rPr>
        <w:t>RegulatoryRecord</w:t>
      </w:r>
      <w:r>
        <w:t>), confirm</w:t>
      </w:r>
    </w:p>
    <w:p>
      <w:r>
        <w:t xml:space="preserve">  </w:t>
      </w:r>
      <w:r>
        <w:rPr>
          <w:rFonts w:ascii="Consolas" w:hAnsi="Consolas"/>
          <w:sz w:val="19"/>
        </w:rPr>
        <w:t>Retention – FINRA/SEC Records – Publish</w:t>
      </w:r>
      <w:r>
        <w:t xml:space="preserve"> covers the pilot location, and allow for propagation before   retesting (Testing Gate 2). </w:t>
      </w:r>
      <w:r>
        <w:rPr>
          <w:b/>
        </w:rPr>
        <w:t>Pilot with the non-regulatory label first</w:t>
      </w:r>
      <w:r>
        <w:t xml:space="preserve"> — never chase this on a   regulatory-records label.</w:t>
      </w:r>
    </w:p>
    <w:p>
      <w:pPr>
        <w:pStyle w:val="Heading2"/>
      </w:pPr>
      <w:r>
        <w:t>"I need to undo a regulatory-records label" — you can't</w:t>
      </w:r>
    </w:p>
    <w:p>
      <w:pPr>
        <w:pStyle w:val="ListBullet"/>
      </w:pPr>
      <w:r>
        <w:rPr>
          <w:b/>
        </w:rPr>
        <w:t>Cause:</w:t>
      </w:r>
      <w:r>
        <w:t xml:space="preserve"> A </w:t>
      </w:r>
      <w:r>
        <w:rPr>
          <w:b/>
        </w:rPr>
        <w:t>regulatory record</w:t>
      </w:r>
      <w:r>
        <w:t xml:space="preserve"> label is </w:t>
      </w:r>
      <w:r>
        <w:rPr>
          <w:b/>
        </w:rPr>
        <w:t>immutable and cannot be removed</w:t>
      </w:r>
      <w:r>
        <w:t>, and its retention</w:t>
      </w:r>
    </w:p>
    <w:p>
      <w:r>
        <w:t xml:space="preserve">  </w:t>
      </w:r>
      <w:r>
        <w:rPr>
          <w:b/>
        </w:rPr>
        <w:t>cannot be shortened or disabled</w:t>
      </w:r>
      <w:r>
        <w:t xml:space="preserve"> — by design (that is the point of the control).</w:t>
      </w:r>
    </w:p>
    <w:p>
      <w:pPr>
        <w:pStyle w:val="ListBullet"/>
      </w:pPr>
      <w:r>
        <w:rPr>
          <w:b/>
        </w:rPr>
        <w:t>Fix:</w:t>
      </w:r>
      <w:r>
        <w:t xml:space="preserve"> There is no rollback. This is exactly why the model **pilots with a non-regulatory records</w:t>
      </w:r>
    </w:p>
    <w:p>
      <w:r>
        <w:t xml:space="preserve">  label first</w:t>
      </w:r>
      <w:r>
        <w:rPr>
          <w:b/>
        </w:rPr>
        <w:t xml:space="preserve"> and applies the regulatory label </w:t>
      </w:r>
      <w:r>
        <w:t>only under explicit compliance sign-off</w:t>
      </w:r>
      <w:r>
        <w:rPr>
          <w:b/>
        </w:rPr>
        <w:t xml:space="preserve"> on the   approved scope. If you applied it in error, this is a </w:t>
      </w:r>
      <w:r>
        <w:t>compliance/records** escalation, not a   technical fix. Treat any doubt before committing as a stop.</w:t>
      </w:r>
    </w:p>
    <w:p>
      <w:pPr>
        <w:pStyle w:val="Heading2"/>
      </w:pPr>
      <w:r>
        <w:t>Comms-store retention policy exists but Validate shows it DISABLED or out of scope</w:t>
      </w:r>
    </w:p>
    <w:p>
      <w:pPr>
        <w:pStyle w:val="ListBullet"/>
      </w:pPr>
      <w:r>
        <w:rPr>
          <w:b/>
        </w:rPr>
        <w:t>Cause:</w:t>
      </w:r>
      <w:r>
        <w:t xml:space="preserve"> The policy was created disabled, or its locations don't cover the intended Exchange/Teams</w:t>
      </w:r>
    </w:p>
    <w:p>
      <w:r>
        <w:t xml:space="preserve">  targets.</w:t>
      </w:r>
    </w:p>
    <w:p>
      <w:pPr>
        <w:pStyle w:val="ListBullet"/>
      </w:pPr>
      <w:r>
        <w:rPr>
          <w:b/>
        </w:rPr>
        <w:t>Fix:</w:t>
      </w:r>
      <w:r>
        <w:t xml:space="preserve"> </w:t>
      </w:r>
      <w:r>
        <w:rPr>
          <w:rFonts w:ascii="Consolas" w:hAnsi="Consolas"/>
          <w:sz w:val="19"/>
        </w:rPr>
        <w:t>CMPFINRA-Discovery.ps1</w:t>
      </w:r>
      <w:r>
        <w:t xml:space="preserve"> shows </w:t>
      </w:r>
      <w:r>
        <w:rPr>
          <w:rFonts w:ascii="Consolas" w:hAnsi="Consolas"/>
          <w:sz w:val="19"/>
        </w:rPr>
        <w:t>Enabled</w:t>
      </w:r>
      <w:r>
        <w:t>/</w:t>
      </w:r>
      <w:r>
        <w:rPr>
          <w:rFonts w:ascii="Consolas" w:hAnsi="Consolas"/>
          <w:sz w:val="19"/>
        </w:rPr>
        <w:t>Workload</w:t>
      </w:r>
      <w:r>
        <w:t>; correct the scope/enable it with</w:t>
      </w:r>
    </w:p>
    <w:p>
      <w:r>
        <w:t xml:space="preserve">  </w:t>
      </w:r>
      <w:r>
        <w:rPr>
          <w:rFonts w:ascii="Consolas" w:hAnsi="Consolas"/>
          <w:sz w:val="19"/>
        </w:rPr>
        <w:t>CMPFINRA-Configure.ps1 -Control Records</w:t>
      </w:r>
      <w:r>
        <w:t xml:space="preserve"> and re-run </w:t>
      </w:r>
      <w:r>
        <w:rPr>
          <w:rFonts w:ascii="Consolas" w:hAnsi="Consolas"/>
          <w:sz w:val="19"/>
        </w:rPr>
        <w:t>CMPFINRA-Validate.ps1</w:t>
      </w:r>
      <w:r>
        <w:t xml:space="preserve"> (Testing Gate 4). Confirm   the </w:t>
      </w:r>
      <w:r>
        <w:rPr>
          <w:b/>
        </w:rPr>
        <w:t>retention duration</w:t>
      </w:r>
      <w:r>
        <w:t xml:space="preserve"> with compliance — the duration is their determination, not a default.</w:t>
      </w:r>
    </w:p>
    <w:p>
      <w:pPr>
        <w:pStyle w:val="Heading2"/>
      </w:pPr>
      <w:r>
        <w:t>Audit gate red: ingestion off, or evidence policy missing</w:t>
      </w:r>
    </w:p>
    <w:p>
      <w:pPr>
        <w:pStyle w:val="ListBullet"/>
      </w:pPr>
      <w:r>
        <w:rPr>
          <w:b/>
        </w:rPr>
        <w:t>Cause:</w:t>
      </w:r>
      <w:r>
        <w:t xml:space="preserve"> </w:t>
      </w:r>
      <w:r>
        <w:rPr>
          <w:rFonts w:ascii="Consolas" w:hAnsi="Consolas"/>
          <w:sz w:val="19"/>
        </w:rPr>
        <w:t>UnifiedAuditLogIngestionEnabled</w:t>
      </w:r>
      <w:r>
        <w:t xml:space="preserve"> is </w:t>
      </w:r>
      <w:r>
        <w:rPr>
          <w:b/>
        </w:rPr>
        <w:t>False</w:t>
      </w:r>
      <w:r>
        <w:t xml:space="preserve"> (no evidence is being written, and it is</w:t>
      </w:r>
    </w:p>
    <w:p>
      <w:r>
        <w:t xml:space="preserve">  </w:t>
      </w:r>
      <w:r>
        <w:rPr>
          <w:b/>
        </w:rPr>
        <w:t>not retroactive</w:t>
      </w:r>
      <w:r>
        <w:t xml:space="preserve">), or </w:t>
      </w:r>
      <w:r>
        <w:rPr>
          <w:rFonts w:ascii="Consolas" w:hAnsi="Consolas"/>
          <w:sz w:val="19"/>
        </w:rPr>
        <w:t>Audit Retention – FINRA/SEC Evidence – LongTerm</w:t>
      </w:r>
      <w:r>
        <w:t xml:space="preserve"> doesn't exist / uses an   invalid </w:t>
      </w:r>
      <w:r>
        <w:rPr>
          <w:rFonts w:ascii="Consolas" w:hAnsi="Consolas"/>
          <w:sz w:val="19"/>
        </w:rPr>
        <w:t>RetentionDuration</w:t>
      </w:r>
      <w:r>
        <w:t xml:space="preserve"> for your tenant/licensing.</w:t>
      </w:r>
    </w:p>
    <w:p>
      <w:pPr>
        <w:pStyle w:val="ListBullet"/>
      </w:pPr>
      <w:r>
        <w:rPr>
          <w:b/>
        </w:rPr>
        <w:t>Fix:</w:t>
      </w:r>
      <w:r>
        <w:t xml:space="preserve"> Enable unified audit under change control (Purview Audit solution / Exchange Online), then</w:t>
      </w:r>
    </w:p>
    <w:p>
      <w:r>
        <w:t xml:space="preserve">  create the policy with </w:t>
      </w:r>
      <w:r>
        <w:rPr>
          <w:rFonts w:ascii="Consolas" w:hAnsi="Consolas"/>
          <w:sz w:val="19"/>
        </w:rPr>
        <w:t>CMPFINRA-Configure.ps1 -Control Audit</w:t>
      </w:r>
      <w:r>
        <w:t xml:space="preserve"> (Implementation Step 4). </w:t>
      </w:r>
      <w:r>
        <w:rPr>
          <w:b/>
        </w:rPr>
        <w:t>Verify the   accepted `RetentionDuration` values and that the long-term tier is licensed</w:t>
      </w:r>
      <w:r>
        <w:t xml:space="preserve"> (Requirement 2.1) —   an unlicensed long-term duration is rejected.</w:t>
      </w:r>
    </w:p>
    <w:p>
      <w:pPr>
        <w:pStyle w:val="Heading2"/>
      </w:pPr>
      <w:r>
        <w:t>Supervision policy created but no review items appear</w:t>
      </w:r>
    </w:p>
    <w:p>
      <w:pPr>
        <w:pStyle w:val="ListBullet"/>
      </w:pPr>
      <w:r>
        <w:rPr>
          <w:b/>
        </w:rPr>
        <w:t>Cause:</w:t>
      </w:r>
      <w:r>
        <w:t xml:space="preserve"> No content yet matches the policy conditions, ingestion/indexing latency, the supervised</w:t>
      </w:r>
    </w:p>
    <w:p>
      <w:r>
        <w:t xml:space="preserve">  users aren't the pilot population, or the conditions/lexicon don't match your test content.</w:t>
      </w:r>
    </w:p>
    <w:p>
      <w:pPr>
        <w:pStyle w:val="ListBullet"/>
      </w:pPr>
      <w:r>
        <w:rPr>
          <w:b/>
        </w:rPr>
        <w:t>Fix:</w:t>
      </w:r>
      <w:r>
        <w:t xml:space="preserve"> Generate </w:t>
      </w:r>
      <w:r>
        <w:rPr>
          <w:b/>
        </w:rPr>
        <w:t>benign test communications</w:t>
      </w:r>
      <w:r>
        <w:t xml:space="preserve"> matching the conditions for a pilot user, allow for</w:t>
      </w:r>
    </w:p>
    <w:p>
      <w:r>
        <w:t xml:space="preserve">  latency, and confirm the policy's supervised users are the pilot group and reviewers are the   designated (separated) reviewers (Testing Gates 6–7). </w:t>
      </w:r>
      <w:r>
        <w:rPr>
          <w:b/>
        </w:rPr>
        <w:t>Never action a real item to "test" it —   outcomes are HR/legal's.</w:t>
      </w:r>
      <w:r>
        <w:t xml:space="preserve"> Whether the conditions/lexicon are </w:t>
      </w:r>
      <w:r>
        <w:rPr>
          <w:b/>
        </w:rPr>
        <w:t>adequate</w:t>
      </w:r>
      <w:r>
        <w:t xml:space="preserve"> is compliance's   determination, not a test result.</w:t>
      </w:r>
    </w:p>
    <w:p>
      <w:pPr>
        <w:pStyle w:val="Heading2"/>
      </w:pPr>
      <w:r>
        <w:t>Reviewers can see too much, or the configuring admin can self-review</w:t>
      </w:r>
    </w:p>
    <w:p>
      <w:pPr>
        <w:pStyle w:val="ListBullet"/>
      </w:pPr>
      <w:r>
        <w:rPr>
          <w:b/>
        </w:rPr>
        <w:t>Cause:</w:t>
      </w:r>
      <w:r>
        <w:t xml:space="preserve"> </w:t>
      </w:r>
      <w:r>
        <w:rPr>
          <w:b/>
        </w:rPr>
        <w:t>Reviewer role separation</w:t>
      </w:r>
      <w:r>
        <w:t xml:space="preserve"> wasn't enforced — a privacy/governance defect, not a bug.</w:t>
      </w:r>
    </w:p>
    <w:p>
      <w:pPr>
        <w:pStyle w:val="ListBullet"/>
      </w:pPr>
      <w:r>
        <w:rPr>
          <w:b/>
        </w:rPr>
        <w:t>Fix:</w:t>
      </w:r>
      <w:r>
        <w:t xml:space="preserve"> Separate the </w:t>
      </w:r>
      <w:r>
        <w:rPr>
          <w:b/>
        </w:rPr>
        <w:t>Communication Compliance</w:t>
      </w:r>
      <w:r>
        <w:t xml:space="preserve"> reviewer roles from the configuring admin</w:t>
      </w:r>
    </w:p>
    <w:p>
      <w:r>
        <w:t xml:space="preserve">  (Requirement 2.2/2.6); enable </w:t>
      </w:r>
      <w:r>
        <w:rPr>
          <w:b/>
        </w:rPr>
        <w:t>pseudonymization</w:t>
      </w:r>
      <w:r>
        <w:t xml:space="preserve"> where the tenant supports it; obtain the privacy/   notice sign-off. </w:t>
      </w:r>
      <w:r>
        <w:rPr>
          <w:rFonts w:ascii="Consolas" w:hAnsi="Consolas"/>
          <w:sz w:val="19"/>
        </w:rPr>
        <w:t>CMPFINRA-Scope.ps1</w:t>
      </w:r>
      <w:r>
        <w:t xml:space="preserve"> lists visible role groups to check separation. Keep the policy   in </w:t>
      </w:r>
      <w:r>
        <w:rPr>
          <w:b/>
        </w:rPr>
        <w:t>test</w:t>
      </w:r>
      <w:r>
        <w:t xml:space="preserve"> until this is resolved.</w:t>
      </w:r>
    </w:p>
    <w:p>
      <w:pPr>
        <w:pStyle w:val="Heading2"/>
      </w:pPr>
      <w:r>
        <w:t>Graph licensing or population check fails</w:t>
      </w:r>
    </w:p>
    <w:p>
      <w:pPr>
        <w:pStyle w:val="ListBullet"/>
      </w:pPr>
      <w:r>
        <w:rPr>
          <w:b/>
        </w:rPr>
        <w:t>Cause:</w:t>
      </w:r>
      <w:r>
        <w:t xml:space="preserve"> </w:t>
      </w:r>
      <w:r>
        <w:rPr>
          <w:rFonts w:ascii="Consolas" w:hAnsi="Consolas"/>
          <w:sz w:val="19"/>
        </w:rPr>
        <w:t>Microsoft.Graph</w:t>
      </w:r>
      <w:r>
        <w:t xml:space="preserve"> isn't installed, consent for </w:t>
      </w:r>
      <w:r>
        <w:rPr>
          <w:rFonts w:ascii="Consolas" w:hAnsi="Consolas"/>
          <w:sz w:val="19"/>
        </w:rPr>
        <w:t>Organization.Read.All</w:t>
      </w:r>
      <w:r>
        <w:t xml:space="preserve"> /</w:t>
      </w:r>
    </w:p>
    <w:p>
      <w:r>
        <w:t xml:space="preserve">  </w:t>
      </w:r>
      <w:r>
        <w:rPr>
          <w:rFonts w:ascii="Consolas" w:hAnsi="Consolas"/>
          <w:sz w:val="19"/>
        </w:rPr>
        <w:t>Directory.Read.All</w:t>
      </w:r>
      <w:r>
        <w:t xml:space="preserve"> / </w:t>
      </w:r>
      <w:r>
        <w:rPr>
          <w:rFonts w:ascii="Consolas" w:hAnsi="Consolas"/>
          <w:sz w:val="19"/>
        </w:rPr>
        <w:t>Group.Read.All</w:t>
      </w:r>
      <w:r>
        <w:t xml:space="preserve"> / </w:t>
      </w:r>
      <w:r>
        <w:rPr>
          <w:rFonts w:ascii="Consolas" w:hAnsi="Consolas"/>
          <w:sz w:val="19"/>
        </w:rPr>
        <w:t>User.Read.All</w:t>
      </w:r>
      <w:r>
        <w:t xml:space="preserve"> wasn't granted, or the covered-persons group   display name is wrong.</w:t>
      </w:r>
    </w:p>
    <w:p>
      <w:pPr>
        <w:pStyle w:val="ListBullet"/>
      </w:pPr>
      <w:r>
        <w:rPr>
          <w:b/>
        </w:rPr>
        <w:t>Fix:</w:t>
      </w:r>
      <w:r>
        <w:t xml:space="preserve"> </w:t>
      </w:r>
      <w:r>
        <w:rPr>
          <w:rFonts w:ascii="Consolas" w:hAnsi="Consolas"/>
          <w:sz w:val="19"/>
        </w:rPr>
        <w:t>Install-Module Microsoft.Graph -Scope CurrentUser</w:t>
      </w:r>
      <w:r>
        <w:t>; consent to the delegated scopes at</w:t>
      </w:r>
    </w:p>
    <w:p>
      <w:r>
        <w:t xml:space="preserve">  </w:t>
      </w:r>
      <w:r>
        <w:rPr>
          <w:rFonts w:ascii="Consolas" w:hAnsi="Consolas"/>
          <w:sz w:val="19"/>
        </w:rPr>
        <w:t>Connect-MgGraph</w:t>
      </w:r>
      <w:r>
        <w:t xml:space="preserve">; pass the </w:t>
      </w:r>
      <w:r>
        <w:rPr>
          <w:b/>
        </w:rPr>
        <w:t>exact</w:t>
      </w:r>
      <w:r>
        <w:t xml:space="preserve"> group display name to </w:t>
      </w:r>
      <w:r>
        <w:rPr>
          <w:rFonts w:ascii="Consolas" w:hAnsi="Consolas"/>
          <w:sz w:val="19"/>
        </w:rPr>
        <w:t>CMPFINRA-Scope.ps1 -CoveredPersonsGroup</w:t>
      </w:r>
      <w:r>
        <w:t xml:space="preserve">.   Use </w:t>
      </w:r>
      <w:r>
        <w:rPr>
          <w:rFonts w:ascii="Consolas" w:hAnsi="Consolas"/>
          <w:sz w:val="19"/>
        </w:rPr>
        <w:t>-SkipGraphLicensing</w:t>
      </w:r>
      <w:r>
        <w:t xml:space="preserve"> / </w:t>
      </w:r>
      <w:r>
        <w:rPr>
          <w:rFonts w:ascii="Consolas" w:hAnsi="Consolas"/>
          <w:sz w:val="19"/>
        </w:rPr>
        <w:t>-SkipGraph</w:t>
      </w:r>
      <w:r>
        <w:t xml:space="preserve"> to run the S&amp;C-only sections if Graph is unavailable.</w:t>
      </w:r>
    </w:p>
    <w:p>
      <w:pPr>
        <w:pStyle w:val="Heading2"/>
      </w:pPr>
      <w:r>
        <w:t>Evidence binder has gaps (a control with no proof)</w:t>
      </w:r>
    </w:p>
    <w:p>
      <w:pPr>
        <w:pStyle w:val="ListBullet"/>
      </w:pPr>
      <w:r>
        <w:rPr>
          <w:b/>
        </w:rPr>
        <w:t>Cause:</w:t>
      </w:r>
      <w:r>
        <w:t xml:space="preserve"> A control isn't configured, or it's configured but the report can't resolve its object</w:t>
      </w:r>
    </w:p>
    <w:p>
      <w:r>
        <w:t xml:space="preserve">  (name mismatch) — either way it exports as </w:t>
      </w:r>
      <w:r>
        <w:rPr>
          <w:rFonts w:ascii="Consolas" w:hAnsi="Consolas"/>
          <w:sz w:val="19"/>
        </w:rPr>
        <w:t>Present=False</w:t>
      </w:r>
      <w:r>
        <w:t>.</w:t>
      </w:r>
    </w:p>
    <w:p>
      <w:pPr>
        <w:pStyle w:val="ListBullet"/>
      </w:pPr>
      <w:r>
        <w:rPr>
          <w:b/>
        </w:rPr>
        <w:t>Fix:</w:t>
      </w:r>
      <w:r>
        <w:t xml:space="preserve"> </w:t>
      </w:r>
      <w:r>
        <w:rPr>
          <w:rFonts w:ascii="Consolas" w:hAnsi="Consolas"/>
          <w:sz w:val="19"/>
        </w:rPr>
        <w:t>CMPFINRA-Report.ps1</w:t>
      </w:r>
      <w:r>
        <w:t xml:space="preserve"> lists every missing object; either configure the control (Implementation</w:t>
      </w:r>
    </w:p>
    <w:p>
      <w:r>
        <w:t xml:space="preserve">  Steps 3–6) or correct the artifact name so it matches the </w:t>
      </w:r>
      <w:r>
        <w:rPr>
          <w:b/>
        </w:rPr>
        <w:t>verbatim</w:t>
      </w:r>
      <w:r>
        <w:t xml:space="preserve"> naming convention   (Overview §"Naming convention"). Re-run until no control is missing — </w:t>
      </w:r>
      <w:r>
        <w:rPr>
          <w:b/>
        </w:rPr>
        <w:t>a control with no evidence   fails an exam</w:t>
      </w:r>
      <w:r>
        <w:t xml:space="preserve"> (Testing Gate 8).</w:t>
      </w:r>
    </w:p>
    <w:p>
      <w:pPr>
        <w:pStyle w:val="Heading2"/>
      </w:pPr>
      <w:r>
        <w:t>A `-Commit` change didn't take effect</w:t>
      </w:r>
    </w:p>
    <w:p>
      <w:pPr>
        <w:pStyle w:val="ListBullet"/>
      </w:pPr>
      <w:r>
        <w:rPr>
          <w:b/>
        </w:rPr>
        <w:t>Cause:</w:t>
      </w:r>
      <w:r>
        <w:t xml:space="preserve"> </w:t>
      </w:r>
      <w:r>
        <w:rPr>
          <w:rFonts w:ascii="Consolas" w:hAnsi="Consolas"/>
          <w:sz w:val="19"/>
        </w:rPr>
        <w:t>-WhatIf</w:t>
      </w:r>
      <w:r>
        <w:t xml:space="preserve"> and </w:t>
      </w:r>
      <w:r>
        <w:rPr>
          <w:rFonts w:ascii="Consolas" w:hAnsi="Consolas"/>
          <w:sz w:val="19"/>
        </w:rPr>
        <w:t>-Commit</w:t>
      </w:r>
      <w:r>
        <w:t xml:space="preserve"> were both passed (</w:t>
      </w:r>
      <w:r>
        <w:rPr>
          <w:rFonts w:ascii="Consolas" w:hAnsi="Consolas"/>
          <w:sz w:val="19"/>
        </w:rPr>
        <w:t>-WhatIf</w:t>
      </w:r>
      <w:r>
        <w:t xml:space="preserve"> wins — nothing changes), or the cmdlet</w:t>
      </w:r>
    </w:p>
    <w:p>
      <w:r>
        <w:t xml:space="preserve">  errored mid-run.</w:t>
      </w:r>
    </w:p>
    <w:p>
      <w:pPr>
        <w:pStyle w:val="ListBullet"/>
      </w:pPr>
      <w:r>
        <w:rPr>
          <w:b/>
        </w:rPr>
        <w:t>Fix:</w:t>
      </w:r>
      <w:r>
        <w:t xml:space="preserve"> Re-run with </w:t>
      </w:r>
      <w:r>
        <w:rPr>
          <w:b/>
        </w:rPr>
        <w:t>only</w:t>
      </w:r>
      <w:r>
        <w:t xml:space="preserve"> </w:t>
      </w:r>
      <w:r>
        <w:rPr>
          <w:rFonts w:ascii="Consolas" w:hAnsi="Consolas"/>
          <w:sz w:val="19"/>
        </w:rPr>
        <w:t>-Commit</w:t>
      </w:r>
      <w:r>
        <w:t xml:space="preserve"> (no </w:t>
      </w:r>
      <w:r>
        <w:rPr>
          <w:rFonts w:ascii="Consolas" w:hAnsi="Consolas"/>
          <w:sz w:val="19"/>
        </w:rPr>
        <w:t>-WhatIf</w:t>
      </w:r>
      <w:r>
        <w:t>), read the error, and confirm with</w:t>
      </w:r>
    </w:p>
    <w:p>
      <w:r>
        <w:t xml:space="preserve">  </w:t>
      </w:r>
      <w:r>
        <w:rPr>
          <w:rFonts w:ascii="Consolas" w:hAnsi="Consolas"/>
          <w:sz w:val="19"/>
        </w:rPr>
        <w:t>CMPFINRA-Discovery.ps1</w:t>
      </w:r>
      <w:r>
        <w:t xml:space="preserve"> / </w:t>
      </w:r>
      <w:r>
        <w:rPr>
          <w:rFonts w:ascii="Consolas" w:hAnsi="Consolas"/>
          <w:sz w:val="19"/>
        </w:rPr>
        <w:t>CMPFINRA-Validate.ps1</w:t>
      </w:r>
      <w:r>
        <w:t xml:space="preserve">. The Configure helper prints </w:t>
      </w:r>
      <w:r>
        <w:rPr>
          <w:rFonts w:ascii="Consolas" w:hAnsi="Consolas"/>
          <w:sz w:val="19"/>
        </w:rPr>
        <w:t>SAFE MODE</w:t>
      </w:r>
      <w:r>
        <w:t xml:space="preserve"> when no   write will occur — if you see it, you're still in preview.</w:t>
      </w:r>
    </w:p>
    <w:p>
      <w:pPr>
        <w:pStyle w:val="Heading2"/>
      </w:pPr>
      <w:r>
        <w:t>Everything passes for the pilot but you're unsure you're "FINRA/SEC-ready"</w:t>
      </w:r>
    </w:p>
    <w:p>
      <w:pPr>
        <w:pStyle w:val="ListBullet"/>
      </w:pPr>
      <w:r>
        <w:rPr>
          <w:b/>
        </w:rPr>
        <w:t>Cause:</w:t>
      </w:r>
      <w:r>
        <w:t xml:space="preserve"> Green gates prove the </w:t>
      </w:r>
      <w:r>
        <w:rPr>
          <w:b/>
        </w:rPr>
        <w:t>technical controls are present, working, and evidenced</w:t>
      </w:r>
      <w:r>
        <w:t xml:space="preserve"> — they do</w:t>
      </w:r>
    </w:p>
    <w:p>
      <w:r>
        <w:t xml:space="preserve">  </w:t>
      </w:r>
      <w:r>
        <w:rPr>
          <w:b/>
        </w:rPr>
        <w:t>not</w:t>
      </w:r>
      <w:r>
        <w:t xml:space="preserve"> certify regulatory compliance.</w:t>
      </w:r>
    </w:p>
    <w:p>
      <w:pPr>
        <w:pStyle w:val="ListBullet"/>
      </w:pPr>
      <w:r>
        <w:rPr>
          <w:b/>
        </w:rPr>
        <w:t>Fix:</w:t>
      </w:r>
      <w:r>
        <w:t xml:space="preserve"> Take the </w:t>
      </w:r>
      <w:r>
        <w:rPr>
          <w:rFonts w:ascii="Consolas" w:hAnsi="Consolas"/>
          <w:sz w:val="19"/>
        </w:rPr>
        <w:t>Evidence – FINRA/SEC Controls – Binder</w:t>
      </w:r>
      <w:r>
        <w:t xml:space="preserve"> and </w:t>
      </w:r>
      <w:r>
        <w:rPr>
          <w:rFonts w:ascii="Consolas" w:hAnsi="Consolas"/>
          <w:sz w:val="19"/>
        </w:rPr>
        <w:t>Control Map – FINRA/SEC – Purview</w:t>
      </w:r>
      <w:r>
        <w:t xml:space="preserve"> to</w:t>
      </w:r>
    </w:p>
    <w:p>
      <w:r>
        <w:t xml:space="preserve">  your </w:t>
      </w:r>
      <w:r>
        <w:rPr>
          <w:b/>
        </w:rPr>
        <w:t>compliance, records, and legal</w:t>
      </w:r>
      <w:r>
        <w:t xml:space="preserve"> functions for the determination (retention adequacy,   supervisory scope/lexicon, 17a-4 compliance, rule applicability). Then expand from pilot to enforcement   under change control and schedule the read-only monitoring chain so drift is caught before an examiner   finds it.</w:t>
      </w:r>
    </w:p>
    <w:p>
      <w:pPr>
        <w:pStyle w:val="Heading1"/>
      </w:pPr>
      <w:r>
        <w:t>7. Best Practices — A Defensible FINRA/SEC Program on Microsoft Purview</w:t>
      </w:r>
    </w:p>
    <w:p>
      <w:r>
        <w:t xml:space="preserve">Operating principles for a control-and-evidence program that survives an examination. Grounded in Microsoft's public guidance and the </w:t>
      </w:r>
      <w:r>
        <w:rPr>
          <w:b/>
        </w:rPr>
        <w:t>Assess → Design → Configure → Pilot (simulate/test) → Validate → Expand (enforce)</w:t>
      </w:r>
      <w:r>
        <w:t xml:space="preserve"> model.</w:t>
      </w:r>
    </w:p>
    <w:p>
      <w:pPr>
        <w:pStyle w:val="Heading2"/>
      </w:pPr>
      <w:r>
        <w:t>Stay in your lane: configure the control, defer the determination</w:t>
      </w:r>
    </w:p>
    <w:p>
      <w:pPr>
        <w:pStyle w:val="ListBullet"/>
      </w:pPr>
      <w:r>
        <w:rPr>
          <w:b/>
        </w:rPr>
        <w:t>You implement and evidence controls; compliance/records/legal decide the rules.</w:t>
      </w:r>
      <w:r>
        <w:t xml:space="preserve"> Which obligations apply, retention durations, supervisory scope and lexicons, and whether a configuration satisfies FINRA Rule 4511/3110, SEA Rule 17a-4, or the SEC Marketing/Books-and-Records rules are </w:t>
      </w:r>
      <w:r>
        <w:rPr>
          <w:b/>
        </w:rPr>
        <w:t>their</w:t>
      </w:r>
      <w:r>
        <w:t xml:space="preserve"> determinations. Capture them in the </w:t>
      </w:r>
      <w:r>
        <w:rPr>
          <w:rFonts w:ascii="Consolas" w:hAnsi="Consolas"/>
          <w:sz w:val="19"/>
        </w:rPr>
        <w:t>Control Map – FINRA/SEC – Purview</w:t>
      </w:r>
      <w:r>
        <w:t xml:space="preserve"> register with named approvers — the register is your defensibility.</w:t>
      </w:r>
    </w:p>
    <w:p>
      <w:pPr>
        <w:pStyle w:val="ListBullet"/>
      </w:pPr>
      <w:r>
        <w:t>Write findings as "the control is configured as specified and evidenced," never "the firm is compliant."</w:t>
      </w:r>
    </w:p>
    <w:p>
      <w:pPr>
        <w:pStyle w:val="Heading2"/>
      </w:pPr>
      <w:r>
        <w:t>Treat regulatory records as one-way doors</w:t>
      </w:r>
    </w:p>
    <w:p>
      <w:pPr>
        <w:pStyle w:val="ListBullet"/>
      </w:pPr>
      <w:r>
        <w:t xml:space="preserve">A </w:t>
      </w:r>
      <w:r>
        <w:rPr>
          <w:b/>
        </w:rPr>
        <w:t>regulatory record</w:t>
      </w:r>
      <w:r>
        <w:t xml:space="preserve"> label is </w:t>
      </w:r>
      <w:r>
        <w:rPr>
          <w:b/>
        </w:rPr>
        <w:t>immutable and cannot be removed</w:t>
      </w:r>
      <w:r>
        <w:t xml:space="preserve">, and its retention </w:t>
      </w:r>
      <w:r>
        <w:rPr>
          <w:b/>
        </w:rPr>
        <w:t>cannot be shortened or disabled</w:t>
      </w:r>
      <w:r>
        <w:t xml:space="preserve"> — by design. </w:t>
      </w:r>
      <w:r>
        <w:rPr>
          <w:b/>
        </w:rPr>
        <w:t>Pilot with a non-regulatory records label first</w:t>
      </w:r>
      <w:r>
        <w:t xml:space="preserve">, prove behavior, and apply the regulatory label only under </w:t>
      </w:r>
      <w:r>
        <w:rPr>
          <w:b/>
        </w:rPr>
        <w:t>explicit compliance sign-off</w:t>
      </w:r>
      <w:r>
        <w:t xml:space="preserve"> and on the approved scope.</w:t>
      </w:r>
    </w:p>
    <w:p>
      <w:pPr>
        <w:pStyle w:val="ListBullet"/>
      </w:pPr>
      <w:r>
        <w:t xml:space="preserve">Verify the </w:t>
      </w:r>
      <w:r>
        <w:rPr>
          <w:b/>
        </w:rPr>
        <w:t>exact</w:t>
      </w:r>
      <w:r>
        <w:t xml:space="preserve"> records/regulatory-records behavior in </w:t>
      </w:r>
      <w:r>
        <w:rPr>
          <w:b/>
        </w:rPr>
        <w:t>your</w:t>
      </w:r>
      <w:r>
        <w:t xml:space="preserve"> tenant before wider application; when in doubt, stop — irreversibility is unforgiving.</w:t>
      </w:r>
    </w:p>
    <w:p>
      <w:pPr>
        <w:pStyle w:val="Heading2"/>
      </w:pPr>
      <w:r>
        <w:t>Records preservation is (mostly) not retroactive</w:t>
      </w:r>
    </w:p>
    <w:p>
      <w:pPr>
        <w:pStyle w:val="ListBullet"/>
      </w:pPr>
      <w:r>
        <w:t xml:space="preserve">Labels and policies preserve </w:t>
      </w:r>
      <w:r>
        <w:rPr>
          <w:b/>
        </w:rPr>
        <w:t>from application forward</w:t>
      </w:r>
      <w:r>
        <w:t>. Configure now; every deferred day is history you cannot recreate. This is the strongest argument for building the program before an exam, not during one.</w:t>
      </w:r>
    </w:p>
    <w:p>
      <w:pPr>
        <w:pStyle w:val="ListBullet"/>
      </w:pPr>
      <w:r>
        <w:t xml:space="preserve">Know the </w:t>
      </w:r>
      <w:r>
        <w:rPr>
          <w:b/>
        </w:rPr>
        <w:t>17a-4 options</w:t>
      </w:r>
      <w:r>
        <w:t xml:space="preserve">: the amended rule permits both a traditional </w:t>
      </w:r>
      <w:r>
        <w:rPr>
          <w:b/>
        </w:rPr>
        <w:t>WORM</w:t>
      </w:r>
      <w:r>
        <w:t xml:space="preserve"> approach and an </w:t>
      </w:r>
      <w:r>
        <w:rPr>
          <w:b/>
        </w:rPr>
        <w:t>audit-trail alternative</w:t>
      </w:r>
      <w:r>
        <w:t xml:space="preserve"> — which one your configuration relies on, and whether it meets the rule (including any third-party/undertaking requirements), is a </w:t>
      </w:r>
      <w:r>
        <w:rPr>
          <w:b/>
        </w:rPr>
        <w:t>legal determination</w:t>
      </w:r>
      <w:r>
        <w:t>. Verify with counsel.</w:t>
      </w:r>
    </w:p>
    <w:p>
      <w:pPr>
        <w:pStyle w:val="Heading2"/>
      </w:pPr>
      <w:r>
        <w:t>Build supervision privacy-first, and separate the roles</w:t>
      </w:r>
    </w:p>
    <w:p>
      <w:pPr>
        <w:pStyle w:val="ListBullet"/>
      </w:pPr>
      <w:r>
        <w:rPr>
          <w:b/>
        </w:rPr>
        <w:t>Communication Compliance reads employees' communications</w:t>
      </w:r>
      <w:r>
        <w:t xml:space="preserve"> — build it with </w:t>
      </w:r>
      <w:r>
        <w:rPr>
          <w:b/>
        </w:rPr>
        <w:t>privacy-by-design</w:t>
      </w:r>
      <w:r>
        <w:t xml:space="preserve">: minimize scope to covered persons, enable </w:t>
      </w:r>
      <w:r>
        <w:rPr>
          <w:b/>
        </w:rPr>
        <w:t>pseudonymization</w:t>
      </w:r>
      <w:r>
        <w:t xml:space="preserve"> where the tenant supports it, honor employee-notice/works-council obligations, and keep </w:t>
      </w:r>
      <w:r>
        <w:rPr>
          <w:b/>
        </w:rPr>
        <w:t>reviewers strictly separated</w:t>
      </w:r>
      <w:r>
        <w:t xml:space="preserve"> from configurers.</w:t>
      </w:r>
    </w:p>
    <w:p>
      <w:pPr>
        <w:pStyle w:val="ListBullet"/>
      </w:pPr>
      <w:r>
        <w:rPr>
          <w:b/>
        </w:rPr>
        <w:t>Always start in test mode.</w:t>
      </w:r>
      <w:r>
        <w:t xml:space="preserve"> Prove the policy surfaces the right items to the right reviewers before enforcing, and </w:t>
      </w:r>
      <w:r>
        <w:rPr>
          <w:b/>
        </w:rPr>
        <w:t>never action a real item as part of implementation</w:t>
      </w:r>
      <w:r>
        <w:t xml:space="preserve"> — case outcomes are </w:t>
      </w:r>
      <w:r>
        <w:rPr>
          <w:b/>
        </w:rPr>
        <w:t>HR/legal's</w:t>
      </w:r>
      <w:r>
        <w:t>.</w:t>
      </w:r>
    </w:p>
    <w:p>
      <w:pPr>
        <w:pStyle w:val="ListBullet"/>
      </w:pPr>
      <w:r>
        <w:t>Keep conditions/lexicons owned by compliance; you operationalize what they define, you don't invent supervisory criteria.</w:t>
      </w:r>
    </w:p>
    <w:p>
      <w:pPr>
        <w:pStyle w:val="Heading2"/>
      </w:pPr>
      <w:r>
        <w:t>Make evidence a first-class deliverable</w:t>
      </w:r>
    </w:p>
    <w:p>
      <w:pPr>
        <w:pStyle w:val="ListBullet"/>
      </w:pPr>
      <w:r>
        <w:t xml:space="preserve">An examiner wants </w:t>
      </w:r>
      <w:r>
        <w:rPr>
          <w:b/>
        </w:rPr>
        <w:t>control → configuration → proof</w:t>
      </w:r>
      <w:r>
        <w:t xml:space="preserve">. Generate the </w:t>
      </w:r>
      <w:r>
        <w:rPr>
          <w:rFonts w:ascii="Consolas" w:hAnsi="Consolas"/>
          <w:sz w:val="19"/>
        </w:rPr>
        <w:t>Evidence – FINRA/SEC Controls – Binder</w:t>
      </w:r>
      <w:r>
        <w:t xml:space="preserve"> regularly, not just at exam time, so evidence is always current and gaps surface early.</w:t>
      </w:r>
    </w:p>
    <w:p>
      <w:pPr>
        <w:pStyle w:val="ListBullet"/>
      </w:pPr>
      <w:r>
        <w:t xml:space="preserve">Retain the </w:t>
      </w:r>
      <w:r>
        <w:rPr>
          <w:rFonts w:ascii="Consolas" w:hAnsi="Consolas"/>
          <w:sz w:val="19"/>
        </w:rPr>
        <w:t>-WhatIf</w:t>
      </w:r>
      <w:r>
        <w:t xml:space="preserve"> transcripts, before/after discovery outputs, and sign-offs — the *change history* of the control is itself evidence of a governed program.</w:t>
      </w:r>
    </w:p>
    <w:p>
      <w:pPr>
        <w:pStyle w:val="Heading2"/>
      </w:pPr>
      <w:r>
        <w:t>Audit is the evidence layer — keep it on and retained</w:t>
      </w:r>
    </w:p>
    <w:p>
      <w:pPr>
        <w:pStyle w:val="ListBullet"/>
      </w:pPr>
      <w:r>
        <w:t xml:space="preserve">Ensure </w:t>
      </w:r>
      <w:r>
        <w:rPr>
          <w:b/>
        </w:rPr>
        <w:t>unified audit logging</w:t>
      </w:r>
      <w:r>
        <w:t xml:space="preserve"> stays on (it can be disabled) and that the </w:t>
      </w:r>
      <w:r>
        <w:rPr>
          <w:rFonts w:ascii="Consolas" w:hAnsi="Consolas"/>
          <w:sz w:val="19"/>
        </w:rPr>
        <w:t>Audit Retention – FINRA/SEC Evidence – LongTerm</w:t>
      </w:r>
      <w:r>
        <w:t xml:space="preserve"> policy keeps the evidence your compliance function requires, at a verified duration and licensing tier.</w:t>
      </w:r>
    </w:p>
    <w:p>
      <w:pPr>
        <w:pStyle w:val="ListBullet"/>
      </w:pPr>
      <w:r>
        <w:t xml:space="preserve">Treat "is auditing on and retaining?" as a </w:t>
      </w:r>
      <w:r>
        <w:rPr>
          <w:b/>
        </w:rPr>
        <w:t>standing monitored control</w:t>
      </w:r>
      <w:r>
        <w:t>, caught by the scheduled read-only chain.</w:t>
      </w:r>
    </w:p>
    <w:p>
      <w:pPr>
        <w:pStyle w:val="Heading2"/>
      </w:pPr>
      <w:r>
        <w:t>Least-privilege everywhere, reviewed periodically</w:t>
      </w:r>
    </w:p>
    <w:p>
      <w:pPr>
        <w:pStyle w:val="ListBullet"/>
      </w:pPr>
      <w:r>
        <w:t xml:space="preserve">Records Management, Communication Compliance (Admin/Analyst/Investigator/Viewer), Audit, and Compliance Manager roles are </w:t>
      </w:r>
      <w:r>
        <w:rPr>
          <w:b/>
        </w:rPr>
        <w:t>distinct and least-privilege</w:t>
      </w:r>
      <w:r>
        <w:t>; reserve Global Administrator for one-time enablement. Review membership periodically — access to supervision and records is itself sensitive.</w:t>
      </w:r>
    </w:p>
    <w:p>
      <w:pPr>
        <w:pStyle w:val="Heading2"/>
      </w:pPr>
      <w:r>
        <w:t>Pilot every change, keep a rollback (except where you can't)</w:t>
      </w:r>
    </w:p>
    <w:p>
      <w:pPr>
        <w:pStyle w:val="ListBullet"/>
      </w:pPr>
      <w:r>
        <w:t xml:space="preserve">Enable, retain, and supervise </w:t>
      </w:r>
      <w:r>
        <w:rPr>
          <w:b/>
        </w:rPr>
        <w:t>pilot-first</w:t>
      </w:r>
      <w:r>
        <w:t xml:space="preserve"> in simulation/test/disabled mode; validate with the scorecard before expanding. Non-regulatory labels, retention policies, audit policies, and test supervision policies are reversible — record the exact rollback with every change.</w:t>
      </w:r>
    </w:p>
    <w:p>
      <w:pPr>
        <w:pStyle w:val="ListBullet"/>
      </w:pPr>
      <w:r>
        <w:t xml:space="preserve">The one deliberate exception is the </w:t>
      </w:r>
      <w:r>
        <w:rPr>
          <w:b/>
        </w:rPr>
        <w:t>regulatory-records</w:t>
      </w:r>
      <w:r>
        <w:t xml:space="preserve"> label: it is *meant* to be irreversible. Its "rollback" is not applying it until sign-off is complete — so gate it hardest of all.</w:t>
      </w:r>
    </w:p>
    <w:p>
      <w:pPr>
        <w:pStyle w:val="Heading2"/>
      </w:pPr>
      <w:r>
        <w:t>Operate it as a program, not a project</w:t>
      </w:r>
    </w:p>
    <w:p>
      <w:pPr>
        <w:pStyle w:val="ListBullet"/>
      </w:pPr>
      <w:r>
        <w:t xml:space="preserve">Schedule </w:t>
      </w:r>
      <w:r>
        <w:rPr>
          <w:rFonts w:ascii="Consolas" w:hAnsi="Consolas"/>
          <w:sz w:val="19"/>
        </w:rPr>
        <w:t>CMPFINRA-Discovery.ps1</w:t>
      </w:r>
      <w:r>
        <w:t xml:space="preserve"> → </w:t>
      </w:r>
      <w:r>
        <w:rPr>
          <w:rFonts w:ascii="Consolas" w:hAnsi="Consolas"/>
          <w:sz w:val="19"/>
        </w:rPr>
        <w:t>CMPFINRA-Validate.ps1</w:t>
      </w:r>
      <w:r>
        <w:t xml:space="preserve"> → </w:t>
      </w:r>
      <w:r>
        <w:rPr>
          <w:rFonts w:ascii="Consolas" w:hAnsi="Consolas"/>
          <w:sz w:val="19"/>
        </w:rPr>
        <w:t>CMPFINRA-Report.ps1</w:t>
      </w:r>
      <w:r>
        <w:t xml:space="preserve"> on a cadence so drift (a disabled policy, a narrowed scope, a lapsed license, audit turned off) is caught before an examiner finds it, and re-generate the evidence binder ahead of every exam cycle. Hand the register, binder, and runbook to compliance as the standing procedure.</w:t>
      </w:r>
    </w:p>
    <w:p>
      <w:pPr>
        <w:pStyle w:val="Heading1"/>
      </w:pPr>
      <w:r>
        <w:t>8. Deliverables Summary — Microsoft Purview FINRA/SEC Compliance Program</w:t>
      </w:r>
    </w:p>
    <w:p>
      <w:r>
        <w:t>What you receive, what to run, and what "done" looks like.</w:t>
      </w:r>
    </w:p>
    <w:p>
      <w:pPr>
        <w:pStyle w:val="Heading2"/>
      </w:pPr>
      <w:r>
        <w:t>Documentation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1. Solution Overview</w:t>
            </w:r>
          </w:p>
        </w:tc>
        <w:tc>
          <w:tcPr>
            <w:tcW w:type="dxa" w:w="4320"/>
          </w:tcPr>
          <w:p>
            <w:r>
              <w:t>What the program is, the three Purview control domains (records retention, communication supervision, audit evidence), what you control, honest limitations, and the naming convention.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2. Requirements Guide</w:t>
            </w:r>
          </w:p>
        </w:tc>
        <w:tc>
          <w:tcPr>
            <w:tcW w:type="dxa" w:w="4320"/>
          </w:tcPr>
          <w:p>
            <w:r>
              <w:t>FINRA/SEC-program prerequisites (licensing per control, least-privilege roles with reviewer separation, S&amp;C PowerShell + Graph toolchain, in-scope population/channels, the rule-to-control map, comms-compliance privacy preconditions, audit, pilot) — each with Verify / Implement.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3. Implementation Guide</w:t>
            </w:r>
          </w:p>
        </w:tc>
        <w:tc>
          <w:tcPr>
            <w:tcW w:type="dxa" w:w="4320"/>
          </w:tcPr>
          <w:p>
            <w:r>
              <w:t>Ordered steps: assess, design the control map, configure records/audit/supervision, track in Compliance Manager, validate &amp; evidence, expand to enforcement — pilot-in-simulation/test-first with pass/fail gates and rollback (and the regulatory-records irreversibility gate).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5. Testing &amp; Validation</w:t>
            </w:r>
          </w:p>
        </w:tc>
        <w:tc>
          <w:tcPr>
            <w:tcW w:type="dxa" w:w="4320"/>
          </w:tcPr>
          <w:p>
            <w:r>
              <w:t>Nine gates from "licensing present" to "validation scorecard green," each with method / pass / fail action — read-only or benign pilot content.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6. Troubleshooting</w:t>
            </w:r>
          </w:p>
        </w:tc>
        <w:tc>
          <w:tcPr>
            <w:tcW w:type="dxa" w:w="4320"/>
          </w:tcPr>
          <w:p>
            <w:r>
              <w:t>The failure modes — label/record behavior, retention scope, supervision privacy/scope, audit off, licensing, endpoint confusion, evidence gaps — and their fixes.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7. Best Practices</w:t>
            </w:r>
          </w:p>
        </w:tc>
        <w:tc>
          <w:tcPr>
            <w:tcW w:type="dxa" w:w="4320"/>
          </w:tcPr>
          <w:p>
            <w:r>
              <w:t>Defensible-program principles: defer determinations, treat regulatory records as one-way, build supervision privacy-first, make evidence first-class, operate it as a program.</w:t>
            </w:r>
          </w:p>
        </w:tc>
      </w:tr>
    </w:tbl>
    <w:p>
      <w:pPr>
        <w:pStyle w:val="Heading2"/>
      </w:pPr>
      <w:r>
        <w:t>PowerShell tools (5)</w:t>
      </w:r>
    </w:p>
    <w:p>
      <w:r>
        <w:t xml:space="preserve">All run </w:t>
      </w:r>
      <w:r>
        <w:rPr>
          <w:b/>
        </w:rPr>
        <w:t>read-only or `-WhatIf` by default</w:t>
      </w:r>
      <w:r>
        <w:t xml:space="preserve">; writes require </w:t>
      </w:r>
      <w:r>
        <w:rPr>
          <w:rFonts w:ascii="Consolas" w:hAnsi="Consolas"/>
          <w:sz w:val="19"/>
        </w:rPr>
        <w:t>-Commit</w:t>
      </w:r>
      <w:r>
        <w:t xml:space="preserve">. No credentials or secrets are embedded. Retention labels/policies, Communication Compliance (supervisory-review), and audit retention cmdlets use </w:t>
      </w:r>
      <w:r>
        <w:rPr>
          <w:b/>
        </w:rPr>
        <w:t>Security &amp; Compliance PowerShell</w:t>
      </w:r>
      <w:r>
        <w:t xml:space="preserve"> (</w:t>
      </w:r>
      <w:r>
        <w:rPr>
          <w:rFonts w:ascii="Consolas" w:hAnsi="Consolas"/>
          <w:sz w:val="19"/>
        </w:rPr>
        <w:t>Connect-IPPSSession</w:t>
      </w:r>
      <w:r>
        <w:t xml:space="preserve">); licensing reads use </w:t>
      </w:r>
      <w:r>
        <w:rPr>
          <w:b/>
        </w:rPr>
        <w:t>Microsoft Graph</w:t>
      </w:r>
      <w:r>
        <w:t>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Default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CMPFINRA-Discovery.ps1</w:t>
            </w:r>
          </w:p>
        </w:tc>
        <w:tc>
          <w:tcPr>
            <w:tcW w:type="dxa" w:w="2880"/>
          </w:tcPr>
          <w:p>
            <w:r>
              <w:t>Assess: licensing, retention labels/policies (records/regulatory), Communication Compliance policies, unified-audit state + audit retention.</w:t>
            </w:r>
          </w:p>
        </w:tc>
        <w:tc>
          <w:tcPr>
            <w:tcW w:type="dxa" w:w="2880"/>
          </w:tcPr>
          <w:p>
            <w:r>
              <w:t>Read-only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CMPFINRA-Scope.ps1</w:t>
            </w:r>
          </w:p>
        </w:tc>
        <w:tc>
          <w:tcPr>
            <w:tcW w:type="dxa" w:w="2880"/>
          </w:tcPr>
          <w:p>
            <w:r>
              <w:t>Scope/health helper: covered-persons group members, in-scope mailboxes/sites, visible role groups, connection identity/health.</w:t>
            </w:r>
          </w:p>
        </w:tc>
        <w:tc>
          <w:tcPr>
            <w:tcW w:type="dxa" w:w="2880"/>
          </w:tcPr>
          <w:p>
            <w:r>
              <w:t>Read-only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CMPFINRA-Configure.ps1</w:t>
            </w:r>
          </w:p>
        </w:tc>
        <w:tc>
          <w:tcPr>
            <w:tcW w:type="dxa" w:w="2880"/>
          </w:tcPr>
          <w:p>
            <w:r>
              <w:t xml:space="preserve">Configure/Remediate: create records labels + publish/comms-store retention, audit-evidence retention, and the supervision policy </w:t>
            </w:r>
            <w:r>
              <w:rPr>
                <w:b/>
              </w:rPr>
              <w:t>in test</w:t>
            </w:r>
            <w:r>
              <w:t xml:space="preserve"> — `-Control Records\</w:t>
            </w:r>
          </w:p>
        </w:tc>
        <w:tc>
          <w:tcPr>
            <w:tcW w:type="dxa" w:w="2880"/>
          </w:tcPr>
          <w:p>
            <w:r>
              <w:t>Audit\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CMPFINRA-Validate.ps1</w:t>
            </w:r>
          </w:p>
        </w:tc>
        <w:tc>
          <w:tcPr>
            <w:tcW w:type="dxa" w:w="2880"/>
          </w:tcPr>
          <w:p>
            <w:r>
              <w:t>Validate: program scorecard across records, comms-store retention, audit, supervision (test + reviewer separation), pilot coverage.</w:t>
            </w:r>
          </w:p>
        </w:tc>
        <w:tc>
          <w:tcPr>
            <w:tcW w:type="dxa" w:w="2880"/>
          </w:tcPr>
          <w:p>
            <w:r>
              <w:t>Read-only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CMPFINRA-Report.ps1</w:t>
            </w:r>
          </w:p>
        </w:tc>
        <w:tc>
          <w:tcPr>
            <w:tcW w:type="dxa" w:w="2880"/>
          </w:tcPr>
          <w:p>
            <w:r>
              <w:t>Report: control → object → configuration → proof export (</w:t>
            </w:r>
            <w:r>
              <w:rPr>
                <w:rFonts w:ascii="Consolas" w:hAnsi="Consolas"/>
                <w:sz w:val="19"/>
              </w:rPr>
              <w:t>Evidence – FINRA/SEC Controls – Binder</w:t>
            </w:r>
            <w:r>
              <w:t>), cross-referenced to the control map.</w:t>
            </w:r>
          </w:p>
        </w:tc>
        <w:tc>
          <w:tcPr>
            <w:tcW w:type="dxa" w:w="2880"/>
          </w:tcPr>
          <w:p>
            <w:r>
              <w:t>Read-only</w:t>
            </w:r>
          </w:p>
        </w:tc>
      </w:tr>
    </w:tbl>
    <w:p>
      <w:pPr>
        <w:pStyle w:val="Heading2"/>
      </w:pPr>
      <w:r>
        <w:t>Named artifacts created</w:t>
      </w:r>
    </w:p>
    <w:p>
      <w:pPr>
        <w:pStyle w:val="ListBullet"/>
      </w:pPr>
      <w:r>
        <w:t xml:space="preserve">Records: </w:t>
      </w:r>
      <w:r>
        <w:rPr>
          <w:rFonts w:ascii="Consolas" w:hAnsi="Consolas"/>
          <w:sz w:val="19"/>
        </w:rPr>
        <w:t>Records – FINRA/SEC Regulated – Regulatory</w:t>
      </w:r>
      <w:r>
        <w:t xml:space="preserve"> (label), </w:t>
      </w:r>
      <w:r>
        <w:rPr>
          <w:rFonts w:ascii="Consolas" w:hAnsi="Consolas"/>
          <w:sz w:val="19"/>
        </w:rPr>
        <w:t>Retention – FINRA/SEC Records – Publish</w:t>
      </w:r>
      <w:r>
        <w:t xml:space="preserve"> (publish policy), </w:t>
      </w:r>
      <w:r>
        <w:rPr>
          <w:rFonts w:ascii="Consolas" w:hAnsi="Consolas"/>
          <w:sz w:val="19"/>
        </w:rPr>
        <w:t>Retention – FINRA/SEC Comms Store – Immutable</w:t>
      </w:r>
      <w:r>
        <w:t xml:space="preserve"> (comms-store retention).</w:t>
      </w:r>
    </w:p>
    <w:p>
      <w:pPr>
        <w:pStyle w:val="ListBullet"/>
      </w:pPr>
      <w:r>
        <w:t xml:space="preserve">Supervision: </w:t>
      </w:r>
      <w:r>
        <w:rPr>
          <w:rFonts w:ascii="Consolas" w:hAnsi="Consolas"/>
          <w:sz w:val="19"/>
        </w:rPr>
        <w:t>Supervision – Registered Persons Comms – Test</w:t>
      </w:r>
      <w:r>
        <w:t xml:space="preserve"> (built and validated in test mode).</w:t>
      </w:r>
    </w:p>
    <w:p>
      <w:pPr>
        <w:pStyle w:val="ListBullet"/>
      </w:pPr>
      <w:r>
        <w:t xml:space="preserve">Audit evidence: </w:t>
      </w:r>
      <w:r>
        <w:rPr>
          <w:rFonts w:ascii="Consolas" w:hAnsi="Consolas"/>
          <w:sz w:val="19"/>
        </w:rPr>
        <w:t>Audit Retention – FINRA/SEC Evidence – LongTerm</w:t>
      </w:r>
      <w:r>
        <w:t>.</w:t>
      </w:r>
    </w:p>
    <w:p>
      <w:pPr>
        <w:pStyle w:val="ListBullet"/>
      </w:pPr>
      <w:r>
        <w:t xml:space="preserve">Program tracking: </w:t>
      </w:r>
      <w:r>
        <w:rPr>
          <w:rFonts w:ascii="Consolas" w:hAnsi="Consolas"/>
          <w:sz w:val="19"/>
        </w:rPr>
        <w:t>Assessment – FINRA/SEC Controls – Program</w:t>
      </w:r>
      <w:r>
        <w:t xml:space="preserve"> (Compliance Manager, in-portal).</w:t>
      </w:r>
    </w:p>
    <w:p>
      <w:pPr>
        <w:pStyle w:val="ListBullet"/>
      </w:pPr>
      <w:r>
        <w:t xml:space="preserve">Governance/evidence: </w:t>
      </w:r>
      <w:r>
        <w:rPr>
          <w:rFonts w:ascii="Consolas" w:hAnsi="Consolas"/>
          <w:sz w:val="19"/>
        </w:rPr>
        <w:t>Disposition – FINRA/SEC Records – Review</w:t>
      </w:r>
      <w:r>
        <w:t xml:space="preserve">, </w:t>
      </w:r>
      <w:r>
        <w:rPr>
          <w:rFonts w:ascii="Consolas" w:hAnsi="Consolas"/>
          <w:sz w:val="19"/>
        </w:rPr>
        <w:t>Control Map – FINRA/SEC – Purview</w:t>
      </w:r>
      <w:r>
        <w:t xml:space="preserve">, </w:t>
      </w:r>
      <w:r>
        <w:rPr>
          <w:rFonts w:ascii="Consolas" w:hAnsi="Consolas"/>
          <w:sz w:val="19"/>
        </w:rPr>
        <w:t>Evidence – FINRA/SEC Controls – Binder</w:t>
      </w:r>
      <w:r>
        <w:t xml:space="preserve">, pilot </w:t>
      </w:r>
      <w:r>
        <w:rPr>
          <w:rFonts w:ascii="Consolas" w:hAnsi="Consolas"/>
          <w:sz w:val="19"/>
        </w:rPr>
        <w:t>FINRA/SEC Pilot – Registered Persons – Stage1</w:t>
      </w:r>
      <w:r>
        <w:t>.</w:t>
      </w:r>
    </w:p>
    <w:p>
      <w:pPr>
        <w:pStyle w:val="Heading2"/>
      </w:pPr>
      <w:r>
        <w:t>Definition of done</w:t>
      </w:r>
    </w:p>
    <w:p>
      <w:pPr>
        <w:pStyle w:val="ListBullet"/>
      </w:pPr>
      <w:r>
        <w:t xml:space="preserve">Compliance </w:t>
      </w:r>
      <w:r>
        <w:rPr>
          <w:b/>
        </w:rPr>
        <w:t>licensing confirmed</w:t>
      </w:r>
      <w:r>
        <w:t xml:space="preserve"> for records, supervision, and audit evidence on the in-scope population.</w:t>
      </w:r>
    </w:p>
    <w:p>
      <w:pPr>
        <w:pStyle w:val="ListBullet"/>
      </w:pPr>
      <w:r>
        <w:t xml:space="preserve">Records-preservation control in place — pilot </w:t>
      </w:r>
      <w:r>
        <w:rPr>
          <w:b/>
        </w:rPr>
        <w:t>non-regulatory</w:t>
      </w:r>
      <w:r>
        <w:t xml:space="preserve"> label validated, then the </w:t>
      </w:r>
      <w:r>
        <w:rPr>
          <w:b/>
        </w:rPr>
        <w:t>regulatory-records</w:t>
      </w:r>
      <w:r>
        <w:t xml:space="preserve"> label applied on the approved scope </w:t>
      </w:r>
      <w:r>
        <w:rPr>
          <w:b/>
        </w:rPr>
        <w:t>under compliance sign-off</w:t>
      </w:r>
      <w:r>
        <w:t>, plus comms-store retention.</w:t>
      </w:r>
    </w:p>
    <w:p>
      <w:pPr>
        <w:pStyle w:val="ListBullet"/>
      </w:pPr>
      <w:r>
        <w:rPr>
          <w:b/>
        </w:rPr>
        <w:t>Unified audit on</w:t>
      </w:r>
      <w:r>
        <w:t xml:space="preserve"> with </w:t>
      </w:r>
      <w:r>
        <w:rPr>
          <w:rFonts w:ascii="Consolas" w:hAnsi="Consolas"/>
          <w:sz w:val="19"/>
        </w:rPr>
        <w:t>Audit Retention – FINRA/SEC Evidence – LongTerm</w:t>
      </w:r>
      <w:r>
        <w:t xml:space="preserve"> retaining evidence.</w:t>
      </w:r>
    </w:p>
    <w:p>
      <w:pPr>
        <w:pStyle w:val="ListBullet"/>
      </w:pPr>
      <w:r>
        <w:t xml:space="preserve">Communication supervision policy present </w:t>
      </w:r>
      <w:r>
        <w:rPr>
          <w:b/>
        </w:rPr>
        <w:t>in test</w:t>
      </w:r>
      <w:r>
        <w:t xml:space="preserve"> with correct </w:t>
      </w:r>
      <w:r>
        <w:rPr>
          <w:b/>
        </w:rPr>
        <w:t>reviewer separation</w:t>
      </w:r>
      <w:r>
        <w:t>, surfacing benign test items.</w:t>
      </w:r>
    </w:p>
    <w:p>
      <w:pPr>
        <w:pStyle w:val="ListBullet"/>
      </w:pPr>
      <w:r>
        <w:t xml:space="preserve">The </w:t>
      </w:r>
      <w:r>
        <w:rPr>
          <w:rFonts w:ascii="Consolas" w:hAnsi="Consolas"/>
          <w:sz w:val="19"/>
        </w:rPr>
        <w:t>Control Map – FINRA/SEC – Purview</w:t>
      </w:r>
      <w:r>
        <w:t xml:space="preserve"> register complete and the </w:t>
      </w:r>
      <w:r>
        <w:rPr>
          <w:rFonts w:ascii="Consolas" w:hAnsi="Consolas"/>
          <w:sz w:val="19"/>
        </w:rPr>
        <w:t>Evidence – FINRA/SEC Controls – Binder</w:t>
      </w:r>
      <w:r>
        <w:t xml:space="preserve"> generated; the </w:t>
      </w:r>
      <w:r>
        <w:rPr>
          <w:b/>
        </w:rPr>
        <w:t>validation scorecard green</w:t>
      </w:r>
      <w:r>
        <w:t xml:space="preserve"> for the pilot — then expanded to enforcement with a monitoring cadence and disposition review scheduled.</w:t>
      </w:r>
    </w:p>
    <w:p>
      <w:pPr>
        <w:ind w:left="432"/>
      </w:pPr>
      <w:r>
        <w:rPr>
          <w:i/>
          <w:color w:val="2E86C1"/>
        </w:rPr>
        <w:t>Boundary: this solution delivers the technical control configuration and the evidence. Rule applicability, retention adequacy, supervisory scope/lexicon sufficiency, 17a-4 compliance, and any regulatory determination are deferred to your compliance, records, privacy, and legal functions. Feature availability is licensing-/tenant-dependent and evolving — verify against your entitlements and current Microsoft documentation.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CMPFINRA-Configure.ps1</w:t>
      </w:r>
    </w:p>
    <w:p>
      <w:r>
        <w:rPr>
          <w:b/>
        </w:rPr>
        <w:t>Purpose:</w:t>
      </w:r>
      <w:r>
        <w:t xml:space="preserve"> Configures one FINRA/SEC control domain at a time (-Control Records|Audit|Supervision) using Security &amp; Compliance PowerShell. SAFE BY DEFAULT: prints the exact cmdlet it WOULD run and makes NO change unless -Commit is passed. Records defaults to a NON-regulatory pilot label; the irreversible regulatory-records label requires the explicit -Regulatory switch. Supervision is always created scoped to the pilot (test) with reviewers you supply. No secrets in code. HOW TO RUN 1) Pilot records label (non-regulatory) — preview then commit: .\CMPFINRA-Configure.ps1 -Control Records -PilotLabel -WhatIf .\CMPFINRA-Configure.ps1 -Control Records -PilotLabel -Commit 2) Audit evidence retention: .\CMPFINRA-Configure.ps1 -Control Audit -PolicyName "Audit Retention – FINRA/SEC Evidence – LongTerm" -RecordTypes AzureActiveDirectory -Duration TenYears -Priority 150 -WhatIf 3) Supervision policy IN TEST (after privacy sign-off): .\CMPFINRA-Configure.ps1 -Control Supervision -PilotScope "FINRA/SEC Pilot – Registered Persons – Stage1" -Reviewers reviewer@contoso.com -WhatIf Requires ExchangeOnlineManagement (Connect-IPPSSession). Interactive modern-auth / MFA admin. EXPECTED RESULTS -WhatIf prints each intended create/remove with no change. -Commit performs it and re-reads the object. PASS = object exists as intended. A -Regulatory label is IRREVERSIBLE — only run under compliance sign-off. Remove non-regulatory objects with -Remove. .NOTES Purview category — FINRA/SEC Compliance Program. High-impact: regulatory records, retention, and supervision are piloted in simulation/test/disabled mode first. Retention durations, supervisory conditions/lexicon, and rule applicability are compliance/records/legal determinations — supplied by you, not invented here. Verify cmdlet/plan availability for your tenant. &gt; [CmdletBinding(DefaultParameterSetName='Records')] param( [Parameter(Mandatory)][ValidateSet('Records','Audit','Supervision')][string]$Control,</w:t>
      </w:r>
    </w:p>
    <w:p>
      <w:r>
        <w:rPr>
          <w:b/>
        </w:rPr>
        <w:t>How to run:</w:t>
      </w:r>
      <w:r>
        <w:t xml:space="preserve"> 1) Pilot records label (non-regulatory) — preview then commit: .\CMPFINRA-Configure.ps1 -Control Records -PilotLabel -WhatIf .\CMPFINRA-Configure.ps1 -Control Records -PilotLabel -Commit 2) Audit evidence retention: .\CMPFINRA-Configure.ps1 -Control Audit -PolicyName "Audit Retention – FINRA/SEC Evidence – LongTerm" -RecordTypes AzureActiveDirectory -Duration TenYears -Priority 150 -WhatIf 3) Supervision policy IN TEST (after privacy sign-off): .\CMPFINRA-Configure.ps1 -Control Supervision -PilotScope "FINRA/SEC Pilot – Registered Persons – Stage1" -Reviewers reviewer@contoso.com -WhatIf Requires ExchangeOnlineManagement (Connect-IPPSSession). Interactive modern-auth / MFA admin. EXPECTED RESULTS -WhatIf prints each intended create/remove with no change. -Commit performs it and re-reads the object. PASS = object exists as intended. A -Regulatory label is IRREVERSIBLE — only run under compliance sign-off. Remove non-regulatory objects with -Remove. .NOTES Purview category — FINRA/SEC Compliance Program. High-impact: regulatory records, retention, and supervision are piloted in simulation/test/disabled mode first. Retention durations, supervisory conditions/lexicon, and rule applicability are compliance/records/legal determinations — supplied by you, not invented here. Verify cmdlet/plan availability for your tenant. &gt; [CmdletBinding(DefaultParameterSetName='Records')] param( [Parameter(Mandatory)][ValidateSet('Records','Audit','Supervision')][string]$Control,</w:t>
      </w:r>
    </w:p>
    <w:p>
      <w:pPr>
        <w:pStyle w:val="Heading2"/>
      </w:pPr>
      <w:r>
        <w:t>CMPFINRA-Discovery.ps1</w:t>
      </w:r>
    </w:p>
    <w:p>
      <w:r>
        <w:rPr>
          <w:b/>
        </w:rPr>
        <w:t>Purpose:</w:t>
      </w:r>
      <w:r>
        <w:t xml:space="preserve"> Reports the current Purview control posture with no changes: compliance licensing present (records / Communication Compliance / Audit Premium-bearing plans), existing retention labels and policies (flagging records / regulatory-records), Communication Compliance (supervisory) policies, unified audit ingestion state, and existing audit log retention policies. Read-only. HOW TO RUN powershell -ExecutionPolicy Bypass -File .\CMPFINRA-Discovery.ps1 Requires the ExchangeOnlineManagement module (Connect-IPPSSession) and, for the licensing section, Microsoft.Graph with delegated Organization.Read.All / Directory.Read.All. Uses an interactive modern-auth / MFA admin sign-in; no secrets in code. EXPECTED RESULTS A posture summary per control domain. Any capability whose plan/behavior must be confirmed is flagged "verify your licensing/tenant", not asserted. PASS = each in-scope control is present and correctly typed; FAIL = a control is missing or mis-typed (drives the Implementation Guide). .NOTES Purview category — FINRA/SEC Compliance Program. Read-only. Feature availability is licensing-/tenant- dependent and evolving; regulatory/records/legal determinations are deferred to your governance functions. Confirm cmdlet/plan names against your entitlements and current Microsoft documentation. &gt; [CmdletBinding()] param( [string]$UserPrincipalName,          # optional: admin UPN to pass to Connect-* prompts [switch]$SkipGraphLicensing          # skip the Graph licensing section if Graph is unavailable )</w:t>
      </w:r>
    </w:p>
    <w:p>
      <w:r>
        <w:rPr>
          <w:b/>
        </w:rPr>
        <w:t>How to run:</w:t>
      </w:r>
      <w:r>
        <w:t xml:space="preserve"> powershell -ExecutionPolicy Bypass -File .\CMPFINRA-Discovery.ps1 Requires the ExchangeOnlineManagement module (Connect-IPPSSession) and, for the licensing section, Microsoft.Graph with delegated Organization.Read.All / Directory.Read.All. Uses an interactive modern-auth / MFA admin sign-in; no secrets in code. EXPECTED RESULTS A posture summary per control domain. Any capability whose plan/behavior must be confirmed is flagged "verify your licensing/tenant", not asserted. PASS = each in-scope control is present and correctly typed; FAIL = a control is missing or mis-typed (drives the Implementation Guide). .NOTES Purview category — FINRA/SEC Compliance Program. Read-only. Feature availability is licensing-/tenant- dependent and evolving; regulatory/records/legal determinations are deferred to your governance functions. Confirm cmdlet/plan names against your entitlements and current Microsoft documentation. &gt; [CmdletBinding()] param( [string]$UserPrincipalName,          # optional: admin UPN to pass to Connect-* prompts [switch]$SkipGraphLicensing          # skip the Graph licensing section if Graph is unavailable )</w:t>
      </w:r>
    </w:p>
    <w:p>
      <w:pPr>
        <w:pStyle w:val="Heading2"/>
      </w:pPr>
      <w:r>
        <w:t>CMPFINRA-Report.ps1</w:t>
      </w:r>
    </w:p>
    <w:p>
      <w:r>
        <w:rPr>
          <w:b/>
        </w:rPr>
        <w:t>Purpose:</w:t>
      </w:r>
      <w:r>
        <w:t xml:space="preserve"> Produces the "Evidence – FINRA/SEC Controls – Binder" export: for each FINRA/SEC control domain (records/regulatory-records retention, communications-store retention, audit evidence, and the communication-supervision policy) it records the implementing Purview object, its key configuration, and a proof reference, cross-referenced to the "Control Map – FINRA/SEC – Purview" register. Read-only — reads current state and writes only a local CSV/JSON evidence file. HOW TO RUN powershell -ExecutionPolicy Bypass -File .\CMPFINRA-Report.ps1 -OutputDir .\evidence Requires the ExchangeOnlineManagement module (Connect-IPPSSession). Interactive modern-auth / MFA admin sign-in; no secrets in code. Optionally pass a control-map CSV via -ControlMapPath to merge your compliance-owned rule→control mapping into the binder. EXPECTED RESULTS A timestamped evidence binder (CSV + JSON) listing each control, its Purview object, configuration, and proof reference. PASS = every in-scope control resolves to a present, correctly-typed object with a proof reference; FAIL = a control with no object or no evidence (surfaces the gap to fill before an exam). Adequacy of retention/scope and rule fit is NOT asserted — that is compliance's. .NOTES Purview category — FINRA/SEC Compliance Program. Read-only (emits a local evidence file only). A control's presence is proven here; whether it SATISFIES a FINRA/SEC rule is a compliance/records/legal determination. Verify cmdlet/plan names against your entitlements and current Microsoft documentation. &gt; [CmdletBinding()] param( [string]$OutputDir       = '.\evidence', [string]$ControlMapPath,                                        # optional: compliance-owned rule→control CSV to merge [string]$RegulatoryLabel = 'Records – FINRA/SEC Regulated – Regulatory', [string]$PilotLabelMatch = 'FINRA/SEC',                          # substring identifying pilot/records labels [string]$CommsRetention  = 'Retention – FINRA/SEC Comms Store – Immutable', [string]$PublishPolicy   = 'Retention – FINRA/SEC Records – Publish', [string]$AuditPolicy     = 'Audit Retention – FINRA/SEC Evidence – LongTerm', [string]$Supervision     = 'Supervision – Registered Persons Comms – Test' )</w:t>
      </w:r>
    </w:p>
    <w:p>
      <w:r>
        <w:rPr>
          <w:b/>
        </w:rPr>
        <w:t>How to run:</w:t>
      </w:r>
      <w:r>
        <w:t xml:space="preserve"> powershell -ExecutionPolicy Bypass -File .\CMPFINRA-Report.ps1 -OutputDir .\evidence Requires the ExchangeOnlineManagement module (Connect-IPPSSession). Interactive modern-auth / MFA admin sign-in; no secrets in code. Optionally pass a control-map CSV via -ControlMapPath to merge your compliance-owned rule→control mapping into the binder. EXPECTED RESULTS A timestamped evidence binder (CSV + JSON) listing each control, its Purview object, configuration, and proof reference. PASS = every in-scope control resolves to a present, correctly-typed object with a proof reference; FAIL = a control with no object or no evidence (surfaces the gap to fill before an exam). Adequacy of retention/scope and rule fit is NOT asserted — that is compliance's. .NOTES Purview category — FINRA/SEC Compliance Program. Read-only (emits a local evidence file only). A control's presence is proven here; whether it SATISFIES a FINRA/SEC rule is a compliance/records/legal determination. Verify cmdlet/plan names against your entitlements and current Microsoft documentation. &gt; [CmdletBinding()] param( [string]$OutputDir       = '.\evidence', [string]$ControlMapPath,                                        # optional: compliance-owned rule→control CSV to merge [string]$RegulatoryLabel = 'Records – FINRA/SEC Regulated – Regulatory', [string]$PilotLabelMatch = 'FINRA/SEC',                          # substring identifying pilot/records labels [string]$CommsRetention  = 'Retention – FINRA/SEC Comms Store – Immutable', [string]$PublishPolicy   = 'Retention – FINRA/SEC Records – Publish', [string]$AuditPolicy     = 'Audit Retention – FINRA/SEC Evidence – LongTerm', [string]$Supervision     = 'Supervision – Registered Persons Comms – Test' )</w:t>
      </w:r>
    </w:p>
    <w:p>
      <w:pPr>
        <w:pStyle w:val="Heading2"/>
      </w:pPr>
      <w:r>
        <w:t>CMPFINRA-Scope.ps1</w:t>
      </w:r>
    </w:p>
    <w:p>
      <w:r>
        <w:rPr>
          <w:b/>
        </w:rPr>
        <w:t>Purpose:</w:t>
      </w:r>
      <w:r>
        <w:t xml:space="preserve"> Enumerates the intended in-scope population and confirms toolchain health with no changes: members of the covered-persons group, the mailboxes/sites in scope, the compliance role groups it can see (for reviewer-separation review), and which endpoints (S&amp;C PowerShell / Graph) are reachable. Use before configuring so the pilot scope is grounded in real objects. Read-only. HOW TO RUN powershell -ExecutionPolicy Bypass -File .\CMPFINRA-Scope.ps1 -CoveredPersonsGroup "Registered Persons" Requires ExchangeOnlineManagement (Connect-IPPSSession) and, for group membership, Microsoft.Graph with delegated Group.Read.All / User.Read.All. Interactive modern-auth / MFA admin; no secrets. EXPECTED RESULTS A scope summary: group member count, sample in-scope mailboxes, visible role groups, and endpoint reachability. PASS = the covered-persons group resolves and both endpoints are reachable; FAIL = group not found or an endpoint unreachable (resolve before configuring). .NOTES Purview category — FINRA/SEC Compliance Program. Read-only. In-scope population is a compliance determination; this only enumerates what you name. Confirm cmdlet/role names against your tenant. &gt; [CmdletBinding()] param( [string]$CoveredPersonsGroup,        # display name of the group of covered/registered persons (optional) [string]$UserPrincipalName, [switch]$SkipGraph )</w:t>
      </w:r>
    </w:p>
    <w:p>
      <w:r>
        <w:rPr>
          <w:b/>
        </w:rPr>
        <w:t>How to run:</w:t>
      </w:r>
      <w:r>
        <w:t xml:space="preserve"> powershell -ExecutionPolicy Bypass -File .\CMPFINRA-Scope.ps1 -CoveredPersonsGroup "Registered Persons" Requires ExchangeOnlineManagement (Connect-IPPSSession) and, for group membership, Microsoft.Graph with delegated Group.Read.All / User.Read.All. Interactive modern-auth / MFA admin; no secrets. EXPECTED RESULTS A scope summary: group member count, sample in-scope mailboxes, visible role groups, and endpoint reachability. PASS = the covered-persons group resolves and both endpoints are reachable; FAIL = group not found or an endpoint unreachable (resolve before configuring). .NOTES Purview category — FINRA/SEC Compliance Program. Read-only. In-scope population is a compliance determination; this only enumerates what you name. Confirm cmdlet/role names against your tenant. &gt; [CmdletBinding()] param( [string]$CoveredPersonsGroup,        # display name of the group of covered/registered persons (optional) [string]$UserPrincipalName, [switch]$SkipGraph )</w:t>
      </w:r>
    </w:p>
    <w:p>
      <w:pPr>
        <w:pStyle w:val="Heading2"/>
      </w:pPr>
      <w:r>
        <w:t>CMPFINRA-Validate.ps1</w:t>
      </w:r>
    </w:p>
    <w:p>
      <w:r>
        <w:rPr>
          <w:b/>
        </w:rPr>
        <w:t>Purpose:</w:t>
      </w:r>
      <w:r>
        <w:t xml:space="preserve"> Scores the program across the three control domains with no changes: records/regulatory-records label present and correctly typed, comms-store retention scoped, unified audit on with the evidence-retention policy present, and a supervision policy present IN TEST. Emits a PASS/FAIL per gate mirroring the Testing Guide. Read-only. HOW TO RUN powershell -ExecutionPolicy Bypass -File .\CMPFINRA-Validate.ps1 Requires ExchangeOnlineManagement (Connect-IPPSSession). Interactive modern-auth / MFA admin; no secrets. For audit ingestion state it also uses Connect-ExchangeOnline where available. EXPECTED RESULTS A scorecard: each gate GREEN (pass) or RED (fail) with the remediation pointer. PASS overall = every in-scope gate green for the pilot scope. Determination-level adequacy (retention, scope, rule fit) is NOT scored here — that is compliance/records/legal's. .NOTES Purview category — FINRA/SEC Compliance Program. Read-only. Proves the technical control works and is present; does not certify regulatory compliance. Verify cmdlet/plan names for your tenant. &gt; [CmdletBinding()] param( [string]$RegulatoryLabel   = 'Records – FINRA/SEC Regulated – Regulatory', [string]$CommsRetention    = 'Retention – FINRA/SEC Comms Store – Immutable', [string]$AuditPolicy       = 'Audit Retention – FINRA/SEC Evidence – LongTerm', [string]$SupervisionPolicy = 'Supervision – Registered Persons Comms – Test', [switch]$AllowPilotLabel   # accept a non-regulatory pilot records label as a pass for the records gate (pre sign-off) )</w:t>
      </w:r>
    </w:p>
    <w:p>
      <w:r>
        <w:rPr>
          <w:b/>
        </w:rPr>
        <w:t>How to run:</w:t>
      </w:r>
      <w:r>
        <w:t xml:space="preserve"> powershell -ExecutionPolicy Bypass -File .\CMPFINRA-Validate.ps1 Requires ExchangeOnlineManagement (Connect-IPPSSession). Interactive modern-auth / MFA admin; no secrets. For audit ingestion state it also uses Connect-ExchangeOnline where available. EXPECTED RESULTS A scorecard: each gate GREEN (pass) or RED (fail) with the remediation pointer. PASS overall = every in-scope gate green for the pilot scope. Determination-level adequacy (retention, scope, rule fit) is NOT scored here — that is compliance/records/legal's. .NOTES Purview category — FINRA/SEC Compliance Program. Read-only. Proves the technical control works and is present; does not certify regulatory compliance. Verify cmdlet/plan names for your tenant. &gt; [CmdletBinding()] param( [string]$RegulatoryLabel   = 'Records – FINRA/SEC Regulated – Regulatory', [string]$CommsRetention    = 'Retention – FINRA/SEC Comms Store – Immutable', [string]$AuditPolicy       = 'Audit Retention – FINRA/SEC Evidence – LongTerm', [string]$SupervisionPolicy = 'Supervision – Registered Persons Comms – Test', [switch]$AllowPilotLabel   # accept a non-regulatory pilot records label as a pass for the records gate (pre sign-off) )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