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Microsoft Purview Center of Excellence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Microsoft Purview Center of Excellence</w:t>
      </w:r>
    </w:p>
    <w:p>
      <w:r>
        <w:t xml:space="preserve">Microsoft Purview is powerful and sprawling, and once the platform is turned on, the next failure mode is </w:t>
      </w:r>
      <w:r>
        <w:rPr>
          <w:b/>
        </w:rPr>
        <w:t>governance drift</w:t>
      </w:r>
      <w:r>
        <w:t xml:space="preserve">: labels, DLP policies, and retention rules created ad hoc by whoever held the role that day, none of them owned, none sharing a naming or lifecycle standard, high-impact policies flipped to *enforce* without ever running in </w:t>
      </w:r>
      <w:r>
        <w:rPr>
          <w:b/>
        </w:rPr>
        <w:t>simulation/test</w:t>
      </w:r>
      <w:r>
        <w:t>, and — six months on — no one able to say which policy does what, who approved it, or when it was last reviewed. That is a compliance gap and a data-risk exposure.</w:t>
      </w:r>
    </w:p>
    <w:p>
      <w:r>
        <w:t xml:space="preserve">This solution institutionalizes Purview governance by standing up a </w:t>
      </w:r>
      <w:r>
        <w:rPr>
          <w:b/>
        </w:rPr>
        <w:t>Purview Center of Excellence (CoE)</w:t>
      </w:r>
      <w:r>
        <w:t xml:space="preserve"> — the operating model that governs every Purview capability from one place: a named, least-privilege </w:t>
      </w:r>
      <w:r>
        <w:rPr>
          <w:b/>
        </w:rPr>
        <w:t>governance board</w:t>
      </w:r>
      <w:r>
        <w:t xml:space="preserve"> with separation of duties; written </w:t>
      </w:r>
      <w:r>
        <w:rPr>
          <w:b/>
        </w:rPr>
        <w:t>standards</w:t>
      </w:r>
      <w:r>
        <w:t xml:space="preserve"> (naming, ownership + review cadence, a mandatory simulation/test-first rule, change control, and separation-of-duties); a single </w:t>
      </w:r>
      <w:r>
        <w:rPr>
          <w:b/>
        </w:rPr>
        <w:t>intake</w:t>
      </w:r>
      <w:r>
        <w:t xml:space="preserve"> workflow that takes every request Request → Triage → Design → Pilot in simulation → Validate → Board approval → Enforce → Register; and a </w:t>
      </w:r>
      <w:r>
        <w:rPr>
          <w:b/>
        </w:rPr>
        <w:t>lifecycle</w:t>
      </w:r>
      <w:r>
        <w:t xml:space="preserve"> cadence with drift detection and a deliberate decommission path. Everything is done with the Microsoft Purview portal, the Microsoft 365 admin center, Security &amp; Compliance PowerShell, Exchange Online PowerShell, and Microsoft Graph — no third-party tooling.</w:t>
      </w:r>
    </w:p>
    <w:p>
      <w:r>
        <w:t>This is a complete, deploy-it-today package for institutionalizing Purview governance, written for a competent M365/compliance administrator and the governance board they support.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CoE operating model — the governance board and role model,</w:t>
      </w:r>
    </w:p>
    <w:p>
      <w:r>
        <w:t xml:space="preserve">  the standards, the intake workflow, and the lifecycle cadence.</w:t>
      </w:r>
    </w:p>
    <w:p>
      <w:pPr>
        <w:pStyle w:val="ListBullet"/>
      </w:pPr>
      <w:r>
        <w:t>A Requirements Guide with verify / implement-if-missing for every prerequisite, including which</w:t>
      </w:r>
    </w:p>
    <w:p>
      <w:r>
        <w:t xml:space="preserve">  capabilities your licensing actually puts in the CoE's remit.</w:t>
      </w:r>
    </w:p>
    <w:p>
      <w:pPr>
        <w:pStyle w:val="ListBullet"/>
      </w:pPr>
      <w:r>
        <w:t>An Implementation Guide of precise, ordered portal + PowerShell + Graph steps, with the board role</w:t>
      </w:r>
    </w:p>
    <w:p>
      <w:r>
        <w:t xml:space="preserve">  model and standard tags applied pilot-first (</w:t>
      </w:r>
      <w:r>
        <w:rPr>
          <w:rFonts w:ascii="Consolas" w:hAnsi="Consolas"/>
          <w:sz w:val="19"/>
        </w:rPr>
        <w:t>-WhatIf</w:t>
      </w:r>
      <w:r>
        <w:t xml:space="preserve"> before </w:t>
      </w:r>
      <w:r>
        <w:rPr>
          <w:rFonts w:ascii="Consolas" w:hAnsi="Consolas"/>
          <w:sz w:val="19"/>
        </w:rPr>
        <w:t>-Commit</w:t>
      </w:r>
      <w:r>
        <w:t>) and the intake gate proven   in simulation before the estate is governed.</w:t>
      </w:r>
    </w:p>
    <w:p>
      <w:pPr>
        <w:pStyle w:val="ListBullet"/>
      </w:pPr>
      <w:r>
        <w:t>Five PowerShell scripts: a scope/health helper, an estate-inventory discovery, a standards/role</w:t>
      </w:r>
    </w:p>
    <w:p>
      <w:r>
        <w:t xml:space="preserve">  configuration helper (</w:t>
      </w:r>
      <w:r>
        <w:rPr>
          <w:rFonts w:ascii="Consolas" w:hAnsi="Consolas"/>
          <w:sz w:val="19"/>
        </w:rPr>
        <w:t>-WhatIf</w:t>
      </w:r>
      <w:r>
        <w:t xml:space="preserve"> by default; writes only role membership and a non-disruptive metadata   tag), a governance-gate validator, and a governance scorecard/register report.</w:t>
      </w:r>
    </w:p>
    <w:p>
      <w:pPr>
        <w:pStyle w:val="ListBullet"/>
      </w:pPr>
      <w:r>
        <w:t>Testing and Troubleshooting guides for a confident, safe rollout.</w:t>
      </w:r>
    </w:p>
    <w:p>
      <w:pPr>
        <w:pStyle w:val="Heading2"/>
      </w:pPr>
      <w:r>
        <w:t>What this delivers</w:t>
      </w:r>
    </w:p>
    <w:p>
      <w:r>
        <w:t>A named, least-privilege, separated governance board; captured standards; a complete register of every governed artifact with an owner and a review date; a proven simulation-first intake gate (</w:t>
      </w:r>
      <w:r>
        <w:rPr>
          <w:b/>
        </w:rPr>
        <w:t>enforced-without-evidence = 0</w:t>
      </w:r>
      <w:r>
        <w:t>); and a standing lifecycle cadence with drift detection — validated on a pilot artifact in simulation before the full estate is brought under governance.</w:t>
      </w:r>
    </w:p>
    <w:p>
      <w:pPr>
        <w:pStyle w:val="Heading2"/>
      </w:pPr>
      <w:r>
        <w:t>The deployment model</w:t>
      </w:r>
    </w:p>
    <w:p>
      <w:r>
        <w:t>Assess → Design → Configure → Pilot → Validate → Expand.</w:t>
      </w:r>
    </w:p>
    <w:p>
      <w:pPr>
        <w:pStyle w:val="Heading2"/>
      </w:pPr>
      <w:r>
        <w:t>Scope boundary</w:t>
      </w:r>
    </w:p>
    <w:p>
      <w:r>
        <w:t xml:space="preserve">The CoE governs the </w:t>
      </w:r>
      <w:r>
        <w:rPr>
          <w:b/>
        </w:rPr>
        <w:t>operating model</w:t>
      </w:r>
      <w:r>
        <w:t xml:space="preserve"> — board, standards, intake, lifecycle, and evidence. It does not author policy contents and does not make regulatory, records, or legal determinations: retention schedules, records file plans, legal holds, and insider-risk/communication-compliance case actions are deferred to the organization's compliance, records, privacy, and legal functions. High-impact policies are always piloted in simulation/test/disabled mode before enforcement, and the CoE never flips a policy to enforce — that remains a board-gated, intake-driven action taken after simulation passes.</w:t>
      </w:r>
    </w:p>
    <w:p>
      <w:pPr>
        <w:pStyle w:val="Heading2"/>
      </w:pPr>
      <w:r>
        <w:t>Outcome</w:t>
      </w:r>
    </w:p>
    <w:p>
      <w:r>
        <w:t>Purview governance institutionalized — a governance board, standards, intake, and lifecycle in place, piloted, and validated — so every governed artifact is owned and defensible and the audit answer is one scorecard export, delivered and defensible in Microsoft Purview.</w:t>
      </w:r>
    </w:p>
    <w:p>
      <w:pPr>
        <w:pStyle w:val="Heading1"/>
      </w:pPr>
      <w:r>
        <w:t>1. Solution Overview — Microsoft Purview Center of Excellence</w:t>
      </w:r>
    </w:p>
    <w:p>
      <w:pPr>
        <w:pStyle w:val="Heading2"/>
      </w:pPr>
      <w:r>
        <w:t>What this solution is</w:t>
      </w:r>
    </w:p>
    <w:p>
      <w:r>
        <w:t xml:space="preserve">Microsoft Purview is broad — sensitivity and retention labels, data loss prevention (DLP), data lifecycle and records management, insider risk, communication compliance, audit, eDiscovery, data security posture management (DSPM), and data governance. Once a tenant has the *foundation* in place, the next failure mode is </w:t>
      </w:r>
      <w:r>
        <w:rPr>
          <w:b/>
        </w:rPr>
        <w:t>governance drift</w:t>
      </w:r>
      <w:r>
        <w:t xml:space="preserve">: labels, DLP policies, and retention rules get created ad hoc by whoever had the role that day, nobody owns them, none of them share a naming or lifecycle standard, high-impact policies get flipped to *enforce* without ever running in </w:t>
      </w:r>
      <w:r>
        <w:rPr>
          <w:b/>
        </w:rPr>
        <w:t>simulation/test</w:t>
      </w:r>
      <w:r>
        <w:t>, and six months later nobody can say which policy does what, who approved it, or when it was last reviewed. That is a compliance gap and a data-risk exposure.</w:t>
      </w:r>
    </w:p>
    <w:p>
      <w:r>
        <w:t xml:space="preserve">This solution institutionalizes Purview governance by standing up a </w:t>
      </w:r>
      <w:r>
        <w:rPr>
          <w:b/>
        </w:rPr>
        <w:t>Purview Center of Excellence (CoE)</w:t>
      </w:r>
      <w:r>
        <w:t xml:space="preserve"> — the operating model that governs every Purview capability from one place:</w:t>
      </w:r>
    </w:p>
    <w:p>
      <w:pPr>
        <w:pStyle w:val="ListBullet"/>
      </w:pPr>
      <w:r>
        <w:t xml:space="preserve">A </w:t>
      </w:r>
      <w:r>
        <w:rPr>
          <w:b/>
        </w:rPr>
        <w:t>governance board</w:t>
      </w:r>
      <w:r>
        <w:t xml:space="preserve"> — a named body with a charter, a RACI, and least-privilege membership mapped</w:t>
      </w:r>
    </w:p>
    <w:p>
      <w:r>
        <w:t xml:space="preserve">  to built-in Purview role groups (compliance, information protection, records, insider risk,   communication compliance, eDiscovery, audit) with </w:t>
      </w:r>
      <w:r>
        <w:rPr>
          <w:b/>
        </w:rPr>
        <w:t>separation of duties</w:t>
      </w:r>
      <w:r>
        <w:t xml:space="preserve"> enforced.</w:t>
      </w:r>
    </w:p>
    <w:p>
      <w:pPr>
        <w:pStyle w:val="ListBullet"/>
      </w:pPr>
      <w:r>
        <w:rPr>
          <w:b/>
        </w:rPr>
        <w:t>Standards</w:t>
      </w:r>
      <w:r>
        <w:t xml:space="preserve"> — the house rules every Purview artifact must follow: a </w:t>
      </w:r>
      <w:r>
        <w:rPr>
          <w:b/>
        </w:rPr>
        <w:t>naming convention</w:t>
      </w:r>
      <w:r>
        <w:t>, a</w:t>
      </w:r>
    </w:p>
    <w:p>
      <w:r>
        <w:t xml:space="preserve">  mandatory </w:t>
      </w:r>
      <w:r>
        <w:rPr>
          <w:b/>
        </w:rPr>
        <w:t>owner + review cadence</w:t>
      </w:r>
      <w:r>
        <w:t xml:space="preserve">, a </w:t>
      </w:r>
      <w:r>
        <w:rPr>
          <w:b/>
        </w:rPr>
        <w:t>simulation/test-first</w:t>
      </w:r>
      <w:r>
        <w:t xml:space="preserve"> rule for every high-impact policy,   a </w:t>
      </w:r>
      <w:r>
        <w:rPr>
          <w:b/>
        </w:rPr>
        <w:t>change-control</w:t>
      </w:r>
      <w:r>
        <w:t xml:space="preserve"> rule (every change via intake, versioned, reversible), and a   </w:t>
      </w:r>
      <w:r>
        <w:rPr>
          <w:b/>
        </w:rPr>
        <w:t>separation-of-duties</w:t>
      </w:r>
      <w:r>
        <w:t xml:space="preserve"> rule for HR/legal-sensitive capabilities.</w:t>
      </w:r>
    </w:p>
    <w:p>
      <w:pPr>
        <w:pStyle w:val="ListBullet"/>
      </w:pPr>
      <w:r>
        <w:rPr>
          <w:b/>
        </w:rPr>
        <w:t>Intake</w:t>
      </w:r>
      <w:r>
        <w:t xml:space="preserve"> — a single request-to-production workflow (Request → Triage → Design → Pilot in</w:t>
      </w:r>
    </w:p>
    <w:p>
      <w:r>
        <w:t xml:space="preserve">  simulation/test → Validate → Board approval → Enforce → Register) so nothing lands in the tenant   without an owner, a standard-conformant name, recorded simulation evidence, and board sign-off.</w:t>
      </w:r>
    </w:p>
    <w:p>
      <w:pPr>
        <w:pStyle w:val="ListBullet"/>
      </w:pPr>
      <w:r>
        <w:rPr>
          <w:b/>
        </w:rPr>
        <w:t>Lifecycle</w:t>
      </w:r>
      <w:r>
        <w:t xml:space="preserve"> — a periodic review cadence, </w:t>
      </w:r>
      <w:r>
        <w:rPr>
          <w:b/>
        </w:rPr>
        <w:t>drift detection</w:t>
      </w:r>
      <w:r>
        <w:t xml:space="preserve"> (current configuration compared to</w:t>
      </w:r>
    </w:p>
    <w:p>
      <w:r>
        <w:t xml:space="preserve">  the registered standards baseline), versioning, and a decommission path for orphaned or unowned   artifacts — so the estate stays understood and defensible over time.</w:t>
      </w:r>
    </w:p>
    <w:p>
      <w:r>
        <w:t xml:space="preserve">Everything is done with the </w:t>
      </w:r>
      <w:r>
        <w:rPr>
          <w:b/>
        </w:rPr>
        <w:t>Microsoft Purview portal</w:t>
      </w:r>
      <w:r>
        <w:t xml:space="preserve"> (purview.microsoft.com), the </w:t>
      </w:r>
      <w:r>
        <w:rPr>
          <w:b/>
        </w:rPr>
        <w:t>Microsoft 365 admin center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Exchange Online PowerShell (for audit config), and </w:t>
      </w:r>
      <w:r>
        <w:rPr>
          <w:b/>
        </w:rPr>
        <w:t>Microsoft Graph</w:t>
      </w:r>
      <w:r>
        <w:t xml:space="preserve"> — no third-party tooling. The five PowerShell scripts inventory every governed artifact, apply the CoE role model and standards tags (</w:t>
      </w:r>
      <w:r>
        <w:rPr>
          <w:rFonts w:ascii="Consolas" w:hAnsi="Consolas"/>
          <w:sz w:val="19"/>
        </w:rPr>
        <w:t>-WhatIf</w:t>
      </w:r>
      <w:r>
        <w:t xml:space="preserve"> first), validate governance gates, and produce the governance register/scorecard.</w:t>
      </w:r>
    </w:p>
    <w:p>
      <w:pPr>
        <w:ind w:left="432"/>
      </w:pPr>
      <w:r>
        <w:rPr>
          <w:i/>
          <w:color w:val="2E86C1"/>
        </w:rPr>
        <w:t>This is the governance operating model, not the capability build-outs. The CoE governs the *labels, DLP policies, retention/records rules, insider-risk and communication-compliance policies, eDiscovery cases, and DSPM* that other Purview solutions configure. It does not author those policies' contents or make the regulatory/records/legal determinations behind them — those are deferred to the organization's compliance, records, privacy, and legal functions. The CoE supplies the board, the standards, the intake gate, the lifecycle cadence, and the evidence.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Ungoverned Purview drifts into risk.</w:t>
      </w:r>
      <w:r>
        <w:t xml:space="preserve"> Every unowned DLP or retention policy is a change nobody</w:t>
      </w:r>
    </w:p>
    <w:p>
      <w:r>
        <w:t xml:space="preserve">  can explain and nobody dares touch. A CoE gives every artifact an owner, a standard-conformant name,   and a review date — so the estate stays auditable.</w:t>
      </w:r>
    </w:p>
    <w:p>
      <w:pPr>
        <w:pStyle w:val="ListBullet"/>
      </w:pPr>
      <w:r>
        <w:rPr>
          <w:b/>
        </w:rPr>
        <w:t>Simulation-first is the single most valuable house rule.</w:t>
      </w:r>
      <w:r>
        <w:t xml:space="preserve"> DLP, auto-labeling, retention, and</w:t>
      </w:r>
    </w:p>
    <w:p>
      <w:r>
        <w:t xml:space="preserve">  insider-risk policies can block mail, encrypt files, delete content, and flag employees. Making   </w:t>
      </w:r>
      <w:r>
        <w:rPr>
          <w:b/>
        </w:rPr>
        <w:t>simulation/test mode a mandatory intake gate</w:t>
      </w:r>
      <w:r>
        <w:t xml:space="preserve"> — with recorded evidence before any policy is   enforced — prevents the most damaging Purview incidents.</w:t>
      </w:r>
    </w:p>
    <w:p>
      <w:pPr>
        <w:pStyle w:val="ListBullet"/>
      </w:pPr>
      <w:r>
        <w:rPr>
          <w:b/>
        </w:rPr>
        <w:t>Separation of duties is compliance-critical.</w:t>
      </w:r>
      <w:r>
        <w:t xml:space="preserve"> Insider risk, communication compliance, and</w:t>
      </w:r>
    </w:p>
    <w:p>
      <w:r>
        <w:t xml:space="preserve">  eDiscovery expose sensitive employee content. The CoE keeps those role groups separate, membership   minimal and named, and the *determination* of who may hold them deferred to HR, privacy, and legal.</w:t>
      </w:r>
    </w:p>
    <w:p>
      <w:pPr>
        <w:pStyle w:val="ListBullet"/>
      </w:pPr>
      <w:r>
        <w:rPr>
          <w:b/>
        </w:rPr>
        <w:t>A register turns Purview into a defensible program.</w:t>
      </w:r>
      <w:r>
        <w:t xml:space="preserve"> When an auditor asks "what governs your</w:t>
      </w:r>
    </w:p>
    <w:p>
      <w:r>
        <w:t xml:space="preserve">  sensitive data, who owns it, and when was it last reviewed?", the governance register answers in one   export instead of a scramble.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Assess.</w:t>
      </w:r>
      <w:r>
        <w:t xml:space="preserve"> Read the tenant's compliance licensing (which capabilities the CoE can actually</w:t>
      </w:r>
    </w:p>
    <w:p>
      <w:r>
        <w:t xml:space="preserve">   govern), the existing role-group posture, and a full inventory of Purview artifacts — labels, label    policies, DLP policies, retention policies/labels, auto-labeling, and (where licensed and readable)    communication-compliance and audit-retention policies. Read-only, no changes.</w:t>
      </w:r>
    </w:p>
    <w:p>
      <w:pPr>
        <w:pStyle w:val="ListNumber"/>
      </w:pPr>
      <w:r>
        <w:rPr>
          <w:b/>
        </w:rPr>
        <w:t>Design.</w:t>
      </w:r>
      <w:r>
        <w:t xml:space="preserve"> Author the </w:t>
      </w:r>
      <w:r>
        <w:rPr>
          <w:b/>
        </w:rPr>
        <w:t>CoE charter and board RACI</w:t>
      </w:r>
      <w:r>
        <w:t xml:space="preserve">, the </w:t>
      </w:r>
      <w:r>
        <w:rPr>
          <w:b/>
        </w:rPr>
        <w:t>standards</w:t>
      </w:r>
      <w:r>
        <w:t xml:space="preserve"> (naming, ownership, review</w:t>
      </w:r>
    </w:p>
    <w:p>
      <w:r>
        <w:t xml:space="preserve">   cadence, simulation-first, change-control, separation of duties), and the </w:t>
      </w:r>
      <w:r>
        <w:rPr>
          <w:b/>
        </w:rPr>
        <w:t>intake workflow</w:t>
      </w:r>
      <w:r>
        <w:t>. Map    board functions to least-privilege built-in role groups.</w:t>
      </w:r>
    </w:p>
    <w:p>
      <w:pPr>
        <w:pStyle w:val="ListNumber"/>
      </w:pPr>
      <w:r>
        <w:rPr>
          <w:b/>
        </w:rPr>
        <w:t>Configure.</w:t>
      </w:r>
      <w:r>
        <w:t xml:space="preserve"> Create/populate the CoE governance role groups (least-privilege, from a matrix),</w:t>
      </w:r>
    </w:p>
    <w:p>
      <w:r>
        <w:t xml:space="preserve">   register the standards baseline, and optionally stamp each artifact with an ownership/standard tag —    role and tag changes applied with a </w:t>
      </w:r>
      <w:r>
        <w:rPr>
          <w:b/>
        </w:rPr>
        <w:t>`-WhatIf` preview first</w:t>
      </w:r>
      <w:r>
        <w:t>.</w:t>
      </w:r>
    </w:p>
    <w:p>
      <w:pPr>
        <w:pStyle w:val="ListNumber"/>
      </w:pPr>
      <w:r>
        <w:rPr>
          <w:b/>
        </w:rPr>
        <w:t>Pilot.</w:t>
      </w:r>
      <w:r>
        <w:t xml:space="preserve"> Run the intake workflow end-to-end on a </w:t>
      </w:r>
      <w:r>
        <w:rPr>
          <w:b/>
        </w:rPr>
        <w:t>pilot artifact</w:t>
      </w:r>
      <w:r>
        <w:t xml:space="preserve"> in </w:t>
      </w:r>
      <w:r>
        <w:rPr>
          <w:b/>
        </w:rPr>
        <w:t>simulation/test mode</w:t>
      </w:r>
    </w:p>
    <w:p>
      <w:r>
        <w:t xml:space="preserve">   (for example, one DLP or auto-labeling policy taken Request → simulate → validate → board approval)    to prove the gate works before governing the whole estate.</w:t>
      </w:r>
    </w:p>
    <w:p>
      <w:pPr>
        <w:pStyle w:val="ListNumber"/>
      </w:pPr>
      <w:r>
        <w:rPr>
          <w:b/>
        </w:rPr>
        <w:t>Validate.</w:t>
      </w:r>
      <w:r>
        <w:t xml:space="preserve"> Confirm every governance gate: naming conformance, every artifact has an owner and a</w:t>
      </w:r>
    </w:p>
    <w:p>
      <w:r>
        <w:t xml:space="preserve">   review date, no high-impact policy is enforced without recorded simulation evidence, separation of    duties intact, and the register reconciles to the live tenant.</w:t>
      </w:r>
    </w:p>
    <w:p>
      <w:pPr>
        <w:pStyle w:val="ListNumber"/>
      </w:pPr>
      <w:r>
        <w:rPr>
          <w:b/>
        </w:rPr>
        <w:t>Expand.</w:t>
      </w:r>
      <w:r>
        <w:t xml:space="preserve"> Bring the full artifact estate under the register and the review cadence; run the CoE as</w:t>
      </w:r>
    </w:p>
    <w:p>
      <w:r>
        <w:t xml:space="preserve">   a standing operating rhythm (intake for new requests, periodic lifecycle reviews, drift detection).</w:t>
      </w:r>
    </w:p>
    <w:p>
      <w:pPr>
        <w:pStyle w:val="Heading2"/>
      </w:pPr>
      <w:r>
        <w:t>The CoE governance board (least-privilege, separated)</w:t>
      </w:r>
    </w:p>
    <w:p>
      <w:r>
        <w:t xml:space="preserve">Map each board function to the </w:t>
      </w:r>
      <w:r>
        <w:rPr>
          <w:b/>
        </w:rPr>
        <w:t>built-in Purview/compliance role group</w:t>
      </w:r>
      <w:r>
        <w:t xml:space="preserve"> — add named members; create custom scoped role groups only where tighter scoping is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Board 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Built-in role group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Separation</w:t>
            </w:r>
          </w:p>
        </w:tc>
      </w:tr>
      <w:tr>
        <w:tc>
          <w:tcPr>
            <w:tcW w:type="dxa" w:w="2880"/>
          </w:tcPr>
          <w:p>
            <w:r>
              <w:t>Chair / compliance administration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Administrator</w:t>
            </w:r>
          </w:p>
        </w:tc>
        <w:tc>
          <w:tcPr>
            <w:tcW w:type="dxa" w:w="2880"/>
          </w:tcPr>
          <w:p>
            <w:r>
              <w:t>Governs; does not hold investigative roles</w:t>
            </w:r>
          </w:p>
        </w:tc>
      </w:tr>
      <w:tr>
        <w:tc>
          <w:tcPr>
            <w:tcW w:type="dxa" w:w="2880"/>
          </w:tcPr>
          <w:p>
            <w:r>
              <w:t>Information protection (labels/DLP standards owner)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Information Protection Admin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Classification 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Compliance Data Administrator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Records &amp; retention standards 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Records Management</w:t>
            </w:r>
          </w:p>
        </w:tc>
        <w:tc>
          <w:tcPr>
            <w:tcW w:type="dxa" w:w="2880"/>
          </w:tcPr>
          <w:p>
            <w:r>
              <w:t>Determinations deferred to records/legal</w:t>
            </w:r>
          </w:p>
        </w:tc>
      </w:tr>
      <w:tr>
        <w:tc>
          <w:tcPr>
            <w:tcW w:type="dxa" w:w="2880"/>
          </w:tcPr>
          <w:p>
            <w:r>
              <w:t>Insider risk representative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Insider Risk Management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Separated</w:t>
            </w:r>
            <w:r>
              <w:t xml:space="preserve"> — HR/security; minimal, named</w:t>
            </w:r>
          </w:p>
        </w:tc>
      </w:tr>
      <w:tr>
        <w:tc>
          <w:tcPr>
            <w:tcW w:type="dxa" w:w="2880"/>
          </w:tcPr>
          <w:p>
            <w:r>
              <w:t>Communication compliance representative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Communication Compliance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Separated</w:t>
            </w:r>
            <w:r>
              <w:t xml:space="preserve"> — HR/compliance; minimal, named</w:t>
            </w:r>
          </w:p>
        </w:tc>
      </w:tr>
      <w:tr>
        <w:tc>
          <w:tcPr>
            <w:tcW w:type="dxa" w:w="2880"/>
          </w:tcPr>
          <w:p>
            <w:r>
              <w:t>eDiscovery / legal representative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eDiscovery Manager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Separated</w:t>
            </w:r>
            <w:r>
              <w:t xml:space="preserve"> — legal/investigations</w:t>
            </w:r>
          </w:p>
        </w:tc>
      </w:tr>
      <w:tr>
        <w:tc>
          <w:tcPr>
            <w:tcW w:type="dxa" w:w="2880"/>
          </w:tcPr>
          <w:p>
            <w:r>
              <w:t>Audit representative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 Manager</w:t>
            </w:r>
            <w:r>
              <w:t xml:space="preserve"> / </w:t>
            </w:r>
            <w:r>
              <w:rPr>
                <w:b/>
              </w:rPr>
              <w:t>Audit Reader</w:t>
            </w:r>
          </w:p>
        </w:tc>
        <w:tc>
          <w:tcPr>
            <w:tcW w:type="dxa" w:w="2880"/>
          </w:tcPr>
          <w:p>
            <w:r>
              <w:t>Read-only where sufficient</w:t>
            </w:r>
          </w:p>
        </w:tc>
      </w:tr>
    </w:tbl>
    <w:p>
      <w:pPr>
        <w:ind w:left="432"/>
      </w:pPr>
      <w:r>
        <w:rPr>
          <w:i/>
          <w:color w:val="2E86C1"/>
        </w:rPr>
        <w:t>Separation of duties is a standard, not a nicety. The chair governs the operating model but does not hold insider-risk, communication-compliance, or eDiscovery roles. Those seats are separate, minimal, named, and — for insider risk and communication compliance — privacy-by-design (pseudonymization where the capability supports it) is applied in that capability's own solution. The CoE governs *how* these capabilities are stood up and reviewed; who may hold the roles, and every regulatory/records/legal determination, is deferred to HR, privacy, records, and legal.</w:t>
      </w:r>
    </w:p>
    <w:p>
      <w:pPr>
        <w:pStyle w:val="Heading2"/>
      </w:pPr>
      <w:r>
        <w:t>The CoE standards (the house rules)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Naming</w:t>
            </w:r>
          </w:p>
        </w:tc>
        <w:tc>
          <w:tcPr>
            <w:tcW w:type="dxa" w:w="4320"/>
          </w:tcPr>
          <w:p>
            <w:r>
              <w:t xml:space="preserve">Every governed artifact follows </w:t>
            </w:r>
            <w:r>
              <w:rPr>
                <w:rFonts w:ascii="Consolas" w:hAnsi="Consolas"/>
                <w:sz w:val="19"/>
              </w:rPr>
              <w:t>&lt;Purpose&gt; – &lt;Capability&gt; – &lt;State&gt;</w:t>
            </w:r>
            <w:r>
              <w:t xml:space="preserve"> (e.g. </w:t>
            </w:r>
            <w:r>
              <w:rPr>
                <w:rFonts w:ascii="Consolas" w:hAnsi="Consolas"/>
                <w:sz w:val="19"/>
              </w:rPr>
              <w:t>Financial Data – DLP – Simulation</w:t>
            </w:r>
            <w:r>
              <w:t>). Names carry purpose and state at a glance.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Ownership</w:t>
            </w:r>
          </w:p>
        </w:tc>
        <w:tc>
          <w:tcPr>
            <w:tcW w:type="dxa" w:w="4320"/>
          </w:tcPr>
          <w:p>
            <w:r>
              <w:t xml:space="preserve">Every artifact has a </w:t>
            </w:r>
            <w:r>
              <w:rPr>
                <w:b/>
              </w:rPr>
              <w:t>named owner</w:t>
            </w:r>
            <w:r>
              <w:t xml:space="preserve"> and a </w:t>
            </w:r>
            <w:r>
              <w:rPr>
                <w:b/>
              </w:rPr>
              <w:t>review cadence</w:t>
            </w:r>
            <w:r>
              <w:t xml:space="preserve"> (default quarterly), recorded in the register (and, where the object supports it, stamped in its </w:t>
            </w:r>
            <w:r>
              <w:rPr>
                <w:rFonts w:ascii="Consolas" w:hAnsi="Consolas"/>
                <w:sz w:val="19"/>
              </w:rPr>
              <w:t>Comment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Simulation-first</w:t>
            </w:r>
          </w:p>
        </w:tc>
        <w:tc>
          <w:tcPr>
            <w:tcW w:type="dxa" w:w="4320"/>
          </w:tcPr>
          <w:p>
            <w:r>
              <w:t xml:space="preserve">No DLP, auto-labeling, retention, or insider-risk policy is enforced without first running in </w:t>
            </w:r>
            <w:r>
              <w:rPr>
                <w:b/>
              </w:rPr>
              <w:t>simulation/test/disabled</w:t>
            </w:r>
            <w:r>
              <w:t xml:space="preserve"> mode with recorded pass evidence.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Change control</w:t>
            </w:r>
          </w:p>
        </w:tc>
        <w:tc>
          <w:tcPr>
            <w:tcW w:type="dxa" w:w="4320"/>
          </w:tcPr>
          <w:p>
            <w:r>
              <w:t xml:space="preserve">Every change enters via </w:t>
            </w:r>
            <w:r>
              <w:rPr>
                <w:b/>
              </w:rPr>
              <w:t>intake</w:t>
            </w:r>
            <w:r>
              <w:t xml:space="preserve">, is </w:t>
            </w:r>
            <w:r>
              <w:rPr>
                <w:b/>
              </w:rPr>
              <w:t>versioned</w:t>
            </w:r>
            <w:r>
              <w:t xml:space="preserve">, and has a documented </w:t>
            </w:r>
            <w:r>
              <w:rPr>
                <w:b/>
              </w:rPr>
              <w:t>rollback</w:t>
            </w:r>
            <w:r>
              <w:t>. No out-of-band edits.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Separation of duties</w:t>
            </w:r>
          </w:p>
        </w:tc>
        <w:tc>
          <w:tcPr>
            <w:tcW w:type="dxa" w:w="4320"/>
          </w:tcPr>
          <w:p>
            <w:r>
              <w:t>Insider-risk, communication-compliance, and eDiscovery roles are separate from governance administration; membership minimal and named.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>
              <w:t>Every enforced policy has an evidence record (simulation results, board approval, register entry) — the audit answer.</w:t>
            </w:r>
          </w:p>
        </w:tc>
      </w:tr>
    </w:tbl>
    <w:p>
      <w:pPr>
        <w:pStyle w:val="Heading2"/>
      </w:pPr>
      <w:r>
        <w:t>The intake workflow (request to production)</w:t>
      </w:r>
    </w:p>
    <w:p>
      <w:r>
        <w:rPr>
          <w:rFonts w:ascii="Consolas" w:hAnsi="Consolas"/>
          <w:sz w:val="19"/>
        </w:rPr>
        <w:t>Request → Triage (board) → Design (standard-conformant name + owner) → Pilot in simulation/test → Validate (pass/fail gates) → Board approval → Enforce → Register (owner + review date)</w:t>
      </w:r>
      <w:r>
        <w:t>. Every stage has an artifact (</w:t>
      </w:r>
      <w:r>
        <w:rPr>
          <w:rFonts w:ascii="Consolas" w:hAnsi="Consolas"/>
          <w:sz w:val="19"/>
        </w:rPr>
        <w:t>Purview CoE Intake – Request</w:t>
      </w:r>
      <w:r>
        <w:t xml:space="preserve">, simulation evidence, </w:t>
      </w:r>
      <w:r>
        <w:rPr>
          <w:rFonts w:ascii="Consolas" w:hAnsi="Consolas"/>
          <w:sz w:val="19"/>
        </w:rPr>
        <w:t>Purview CoE Register – Governed</w:t>
      </w:r>
      <w:r>
        <w:t>); nothing reaches *enforce* without passing simulation and board sign-off.</w:t>
      </w:r>
    </w:p>
    <w:p>
      <w:pPr>
        <w:pStyle w:val="Heading2"/>
      </w:pPr>
      <w:r>
        <w:t>The lifecycle cadence</w:t>
      </w:r>
    </w:p>
    <w:p>
      <w:r>
        <w:t xml:space="preserve">A standing rhythm: </w:t>
      </w:r>
      <w:r>
        <w:rPr>
          <w:b/>
        </w:rPr>
        <w:t>periodic review</w:t>
      </w:r>
      <w:r>
        <w:t xml:space="preserve"> (default quarterly) of every registered artifact against the standards; </w:t>
      </w:r>
      <w:r>
        <w:rPr>
          <w:b/>
        </w:rPr>
        <w:t>drift detection</w:t>
      </w:r>
      <w:r>
        <w:t xml:space="preserve"> (compare current tenant configuration to the registered standards baseline and flag new/changed/orphaned artifacts); </w:t>
      </w:r>
      <w:r>
        <w:rPr>
          <w:b/>
        </w:rPr>
        <w:t>versioning</w:t>
      </w:r>
      <w:r>
        <w:t xml:space="preserve"> of every change; and a </w:t>
      </w:r>
      <w:r>
        <w:rPr>
          <w:b/>
        </w:rPr>
        <w:t>decommission</w:t>
      </w:r>
      <w:r>
        <w:t xml:space="preserve"> path for orphaned or unowned policies (identified → owner-confirmed → disabled → removed under change control).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>The CoE board membership (least-privilege, named, separated) and the role-group mapping.</w:t>
      </w:r>
    </w:p>
    <w:p>
      <w:pPr>
        <w:pStyle w:val="ListBullet"/>
      </w:pPr>
      <w:r>
        <w:t>The standards themselves (naming pattern, review cadence, which capabilities are in remit — bounded</w:t>
      </w:r>
    </w:p>
    <w:p>
      <w:r>
        <w:t xml:space="preserve">  by licensing).</w:t>
      </w:r>
    </w:p>
    <w:p>
      <w:pPr>
        <w:pStyle w:val="ListBullet"/>
      </w:pPr>
      <w:r>
        <w:t>The intake workflow gates and who approves.</w:t>
      </w:r>
    </w:p>
    <w:p>
      <w:pPr>
        <w:pStyle w:val="ListBullet"/>
      </w:pPr>
      <w:r>
        <w:t>The lifecycle cadence (review frequency, drift-detection schedule, decommission policy).</w:t>
      </w:r>
    </w:p>
    <w:p>
      <w:pPr>
        <w:pStyle w:val="ListBullet"/>
      </w:pPr>
      <w:r>
        <w:t>The pilot artifact used to prove the intake gate before governing the full estate.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The CoE governs; it does not determine.</w:t>
      </w:r>
      <w:r>
        <w:t xml:space="preserve"> Retention schedules, records file plans, legal holds,</w:t>
      </w:r>
    </w:p>
    <w:p>
      <w:r>
        <w:t xml:space="preserve">  insider-risk and communication-compliance case actions, and regulatory applicability are </w:t>
      </w:r>
      <w:r>
        <w:rPr>
          <w:b/>
        </w:rPr>
        <w:t>deferred</w:t>
      </w:r>
      <w:r>
        <w:t xml:space="preserve">   to compliance, records, privacy, and legal. The CoE provides the method, the gate, and the evidence.</w:t>
      </w:r>
    </w:p>
    <w:p>
      <w:pPr>
        <w:pStyle w:val="ListBullet"/>
      </w:pPr>
      <w:r>
        <w:rPr>
          <w:b/>
        </w:rPr>
        <w:t>Purview is heavily licensing-gated.</w:t>
      </w:r>
      <w:r>
        <w:t xml:space="preserve"> Advanced DLP, auto-labeling, insider risk, communication</w:t>
      </w:r>
    </w:p>
    <w:p>
      <w:r>
        <w:t xml:space="preserve">  compliance, Audit Premium, and DSPM require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add-on;   some capabilities are in preview. The CoE governs what your plan unlocks — </w:t>
      </w:r>
      <w:r>
        <w:rPr>
          <w:b/>
        </w:rPr>
        <w:t>verify availability   against your own tenant and plan.</w:t>
      </w:r>
    </w:p>
    <w:p>
      <w:pPr>
        <w:pStyle w:val="ListBullet"/>
      </w:pPr>
      <w:r>
        <w:rPr>
          <w:b/>
        </w:rPr>
        <w:t>The portal is evolving, and some capabilities have limited PowerShell.</w:t>
      </w:r>
      <w:r>
        <w:t xml:space="preserve"> Microsoft is actively</w:t>
      </w:r>
    </w:p>
    <w:p>
      <w:r>
        <w:t xml:space="preserve">  changing the Purview portal and moving parts of role management to a unified Purview RBAC model.   Insider Risk (and some communication-compliance) management is primarily </w:t>
      </w:r>
      <w:r>
        <w:rPr>
          <w:b/>
        </w:rPr>
        <w:t>portal-managed</w:t>
      </w:r>
      <w:r>
        <w:t xml:space="preserve"> with   limited/evolving PowerShell surface. Portal paths and cmdlets are cited as of authoring and flagged   </w:t>
      </w:r>
      <w:r>
        <w:rPr>
          <w:b/>
        </w:rPr>
        <w:t>"verify in your tenant"</w:t>
      </w:r>
      <w:r>
        <w:t>; the scripts guard for cmdlet availability and never invent cmdlets.</w:t>
      </w:r>
    </w:p>
    <w:p>
      <w:pPr>
        <w:pStyle w:val="ListBullet"/>
      </w:pPr>
      <w:r>
        <w:rPr>
          <w:b/>
        </w:rPr>
        <w:t>The CoE does not author policy contents.</w:t>
      </w:r>
      <w:r>
        <w:t xml:space="preserve"> It governs naming, ownership, lifecycle, and the</w:t>
      </w:r>
    </w:p>
    <w:p>
      <w:r>
        <w:t xml:space="preserve">  simulation-first gate — the *contents* of each label, DLP rule, and retention schedule are the   subject of the capability-specific Purview solutions and the stakeholders' determinations.</w:t>
      </w:r>
    </w:p>
    <w:p>
      <w:pPr>
        <w:pStyle w:val="Heading2"/>
      </w:pPr>
      <w:r>
        <w:t>Naming convention (used in every doc and script)</w:t>
      </w:r>
    </w:p>
    <w:p>
      <w:r>
        <w:t xml:space="preserve">Governance artifacts this solution creates or captures follow </w:t>
      </w:r>
      <w:r>
        <w:rPr>
          <w:rFonts w:ascii="Consolas" w:hAnsi="Consolas"/>
          <w:sz w:val="19"/>
        </w:rPr>
        <w:t>&lt;Purpose&gt; – CoE – &lt;Stage&gt;</w:t>
      </w:r>
      <w:r>
        <w:t xml:space="preserve">; governed Purview artifacts follow the CoE </w:t>
      </w:r>
      <w:r>
        <w:rPr>
          <w:b/>
        </w:rPr>
        <w:t>naming standard</w:t>
      </w:r>
      <w:r>
        <w:t xml:space="preserve"> </w:t>
      </w:r>
      <w:r>
        <w:rPr>
          <w:rFonts w:ascii="Consolas" w:hAnsi="Consolas"/>
          <w:sz w:val="19"/>
        </w:rPr>
        <w:t>&lt;Purpose&gt; – &lt;Capability&gt; – &lt;State&gt;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CoE charter + board RACI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Charter – Board</w:t>
            </w:r>
          </w:p>
        </w:tc>
      </w:tr>
      <w:tr>
        <w:tc>
          <w:tcPr>
            <w:tcW w:type="dxa" w:w="4320"/>
          </w:tcPr>
          <w:p>
            <w:r>
              <w:t>Standards baseline (the house rules, captured)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Standards – Baseline</w:t>
            </w:r>
          </w:p>
        </w:tc>
      </w:tr>
      <w:tr>
        <w:tc>
          <w:tcPr>
            <w:tcW w:type="dxa" w:w="4320"/>
          </w:tcPr>
          <w:p>
            <w:r>
              <w:t>Governed-artifact inventory / register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Register – Governed</w:t>
            </w:r>
          </w:p>
        </w:tc>
      </w:tr>
      <w:tr>
        <w:tc>
          <w:tcPr>
            <w:tcW w:type="dxa" w:w="4320"/>
          </w:tcPr>
          <w:p>
            <w:r>
              <w:t>Intake request record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Intake – Request</w:t>
            </w:r>
          </w:p>
        </w:tc>
      </w:tr>
      <w:tr>
        <w:tc>
          <w:tcPr>
            <w:tcW w:type="dxa" w:w="4320"/>
          </w:tcPr>
          <w:p>
            <w:r>
              <w:t>Lifecycle / drift review log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Lifecycle – Review</w:t>
            </w:r>
          </w:p>
        </w:tc>
      </w:tr>
      <w:tr>
        <w:tc>
          <w:tcPr>
            <w:tcW w:type="dxa" w:w="4320"/>
          </w:tcPr>
          <w:p>
            <w:r>
              <w:t>Governance scorecard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Scorecard – Report</w:t>
            </w:r>
          </w:p>
        </w:tc>
      </w:tr>
      <w:tr>
        <w:tc>
          <w:tcPr>
            <w:tcW w:type="dxa" w:w="4320"/>
          </w:tcPr>
          <w:p>
            <w:r>
              <w:t>CoE pilot artifact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Purview CoE Pilot – Stage1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estate → design the board, standards, and intake → configure the role model and standards (pilot-first) → pilot the intake gate in simulation → validate every governance gate → expand to the full estate and run the lifecycle cadence. Pattern: Assess → Design → Configure → Pilot → Validate → Expand.</w:t>
      </w:r>
    </w:p>
    <w:p>
      <w:pPr>
        <w:pStyle w:val="Heading1"/>
      </w:pPr>
      <w:r>
        <w:t>2. Requirements Guide — Microsoft Purview Center of Excellence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global-requirements-purview.md</w:t>
      </w:r>
      <w:r>
        <w:t xml:space="preserve"> (the six shared requirements: compliance licensing, least-privilege Purview roles, the S&amp;C PowerShell + Graph toolchain, in-scope data sources, compliance/records/privacy/legal stakeholders, and a pilot scope with change control) — those are referenced here, not repeated.</w:t>
      </w:r>
    </w:p>
    <w:p>
      <w:pPr>
        <w:ind w:left="432"/>
      </w:pPr>
      <w:r>
        <w:rPr>
          <w:i/>
          <w:color w:val="2E86C1"/>
        </w:rPr>
        <w:t>Foundation assumed. This solution governs a tenant where the Purview foundation is already in place (portal organized, core services on, unified audit ingesting, workloads connected). If that foundation is missing, stand it up first — the CoE is the *operating model* layered over a working Purview tenant, not the initial enablement.</w:t>
      </w:r>
    </w:p>
    <w:p>
      <w:pPr>
        <w:pStyle w:val="Heading2"/>
      </w:pPr>
      <w:r>
        <w:t>2.1 Compliance licensing inventory (what the CoE can govern)</w:t>
      </w:r>
    </w:p>
    <w:p>
      <w:r>
        <w:rPr>
          <w:b/>
        </w:rPr>
        <w:t>Description:</w:t>
      </w:r>
      <w:r>
        <w:t xml:space="preserve"> A confirmed inventory of the tenant's </w:t>
      </w:r>
      <w:r>
        <w:rPr>
          <w:b/>
        </w:rPr>
        <w:t>compliance licensing</w:t>
      </w:r>
      <w:r>
        <w:t xml:space="preserve"> — E3 for baseline capabilities,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for advanced DLP, auto-labeling, insider risk, communication compliance, Audit Premium (long-term retention), and DSPM. </w:t>
      </w:r>
      <w:r>
        <w:rPr>
          <w:b/>
        </w:rPr>
        <w:t>Why:</w:t>
      </w:r>
      <w:r>
        <w:t xml:space="preserve"> The CoE's remit is bounded by what the plan unlocks; you cannot govern a capability the tenant cannot run (Global Requirement 1). </w:t>
      </w:r>
      <w:r>
        <w:rPr>
          <w:b/>
        </w:rPr>
        <w:t>Verify:</w:t>
      </w:r>
      <w:r>
        <w:t xml:space="preserve"> Microsoft 365 admin center → </w:t>
      </w:r>
      <w:r>
        <w:rPr>
          <w:rFonts w:ascii="Consolas" w:hAnsi="Consolas"/>
          <w:sz w:val="19"/>
        </w:rPr>
        <w:t>Billing → Licenses</w:t>
      </w:r>
      <w:r>
        <w:t xml:space="preserve"> shows the subscriptions/add-ons; run </w:t>
      </w:r>
      <w:r>
        <w:rPr>
          <w:rFonts w:ascii="Consolas" w:hAnsi="Consolas"/>
          <w:sz w:val="19"/>
        </w:rPr>
        <w:t>OPSCOE-ScopeCheck.ps1</w:t>
      </w:r>
      <w:r>
        <w:t xml:space="preserve"> — it reports the compliance SKUs present (via Graph) and which governed capabilities are visible. Confirm capabilities appear in the Purview portal. </w:t>
      </w:r>
      <w:r>
        <w:rPr>
          <w:b/>
        </w:rPr>
        <w:t>Implement:</w:t>
      </w:r>
      <w:r>
        <w:t xml:space="preserve"> Record each licensed capability as </w:t>
      </w:r>
      <w:r>
        <w:rPr>
          <w:b/>
        </w:rPr>
        <w:t>in remit</w:t>
      </w:r>
      <w:r>
        <w:t xml:space="preserve"> and each unlicensed one as </w:t>
      </w:r>
      <w:r>
        <w:rPr>
          <w:b/>
        </w:rPr>
        <w:t>out-of-scope for now</w:t>
      </w:r>
      <w:r>
        <w:t xml:space="preserve"> — do not attempt to govern a capability the tenant cannot use.</w:t>
      </w:r>
    </w:p>
    <w:p>
      <w:pPr>
        <w:pStyle w:val="Heading2"/>
      </w:pPr>
      <w:r>
        <w:t>2.2 Least-privilege governance access (Compliance Administrator, not blanket Global Admin)</w:t>
      </w:r>
    </w:p>
    <w:p>
      <w:r>
        <w:rPr>
          <w:b/>
        </w:rPr>
        <w:t>Description:</w:t>
      </w:r>
      <w:r>
        <w:t xml:space="preserve"> An account holding </w:t>
      </w:r>
      <w:r>
        <w:rPr>
          <w:b/>
        </w:rPr>
        <w:t>Compliance Administrator</w:t>
      </w:r>
      <w:r>
        <w:t xml:space="preserve"> to read the estate and manage role groups, plus a named </w:t>
      </w:r>
      <w:r>
        <w:rPr>
          <w:b/>
        </w:rPr>
        <w:t>Global Administrator</w:t>
      </w:r>
      <w:r>
        <w:t xml:space="preserve"> reserved only for the one-time actions that genuinely require it (e.g. consenting Graph scopes). Everyday CoE work uses the least-privilege compliance role, per Global Requirement 2. </w:t>
      </w:r>
      <w:r>
        <w:rPr>
          <w:b/>
        </w:rPr>
        <w:t>Why:</w:t>
      </w:r>
      <w:r>
        <w:t xml:space="preserve"> The CoE exists to enforce least privilege and separation of duties; running it from an over-granted Global Admin contradicts the standard it publishes. </w:t>
      </w:r>
      <w:r>
        <w:rPr>
          <w:b/>
        </w:rPr>
        <w:t>Verify:</w:t>
      </w:r>
      <w:r>
        <w:t xml:space="preserve"> Purview portal → </w:t>
      </w:r>
      <w:r>
        <w:rPr>
          <w:rFonts w:ascii="Consolas" w:hAnsi="Consolas"/>
          <w:sz w:val="19"/>
        </w:rPr>
        <w:t>Settings → Roles &amp; scopes → Role groups</w:t>
      </w:r>
      <w:r>
        <w:t xml:space="preserve"> (verify path in your tenant) — confirm your account is in </w:t>
      </w:r>
      <w:r>
        <w:rPr>
          <w:b/>
        </w:rPr>
        <w:t>Compliance Administrator</w:t>
      </w:r>
      <w:r>
        <w:t xml:space="preserve">. </w:t>
      </w:r>
      <w:r>
        <w:rPr>
          <w:rFonts w:ascii="Consolas" w:hAnsi="Consolas"/>
          <w:sz w:val="19"/>
        </w:rPr>
        <w:t>Connect-IPPSSession</w:t>
      </w:r>
      <w:r>
        <w:t xml:space="preserve"> succeeds and </w:t>
      </w:r>
      <w:r>
        <w:rPr>
          <w:rFonts w:ascii="Consolas" w:hAnsi="Consolas"/>
          <w:sz w:val="19"/>
        </w:rPr>
        <w:t>Get-RoleGroup</w:t>
      </w:r>
      <w:r>
        <w:t xml:space="preserve"> returns. </w:t>
      </w:r>
      <w:r>
        <w:rPr>
          <w:b/>
        </w:rPr>
        <w:t>Implement:</w:t>
      </w:r>
      <w:r>
        <w:t xml:space="preserve"> Add the account to </w:t>
      </w:r>
      <w:r>
        <w:rPr>
          <w:b/>
        </w:rPr>
        <w:t>Compliance Administrator</w:t>
      </w:r>
      <w:r>
        <w:t>; reserve a named Global Administrator only for consent/one-time setup.</w:t>
      </w:r>
    </w:p>
    <w:p>
      <w:pPr>
        <w:pStyle w:val="Heading2"/>
      </w:pPr>
      <w:r>
        <w:t>2.3 Security &amp; Compliance PowerShell + Exchange Online + Graph toolchain</w:t>
      </w:r>
    </w:p>
    <w:p>
      <w:r>
        <w:rPr>
          <w:b/>
        </w:rPr>
        <w:t>Description:</w:t>
      </w:r>
      <w:r>
        <w:t xml:space="preserve"> A workstation with the </w:t>
      </w:r>
      <w:r>
        <w:rPr>
          <w:b/>
        </w:rPr>
        <w:t>ExchangeOnlineManagement</w:t>
      </w:r>
      <w:r>
        <w:t xml:space="preserve"> module (provides </w:t>
      </w:r>
      <w:r>
        <w:rPr>
          <w:rFonts w:ascii="Consolas" w:hAnsi="Consolas"/>
          <w:sz w:val="19"/>
        </w:rPr>
        <w:t>Connect-IPPSSession</w:t>
      </w:r>
      <w:r>
        <w:t xml:space="preserve"> for Security &amp; Compliance PowerShell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Connect-ExchangeOnline</w:t>
      </w:r>
      <w:r>
        <w:t xml:space="preserve"> for the audit-config cmdlets and role-group membership) and the </w:t>
      </w:r>
      <w:r>
        <w:rPr>
          <w:b/>
        </w:rPr>
        <w:t>Microsoft Graph PowerShell SDK</w:t>
      </w:r>
      <w:r>
        <w:t xml:space="preserve">, with a modern-auth/MFA admin account (Global Requirement 3). </w:t>
      </w:r>
      <w:r>
        <w:rPr>
          <w:b/>
        </w:rPr>
        <w:t>Why:</w:t>
      </w:r>
      <w:r>
        <w:t xml:space="preserve"> Every script runs through S&amp;C PowerShell (labels/DLP/retention/role groups), Exchange Online PowerShell (audit config, </w:t>
      </w:r>
      <w:r>
        <w:rPr>
          <w:rFonts w:ascii="Consolas" w:hAnsi="Consolas"/>
          <w:sz w:val="19"/>
        </w:rPr>
        <w:t>Add-RoleGroupMember</w:t>
      </w:r>
      <w:r>
        <w:t xml:space="preserve">), and/or Graph (licensing, directory).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ExchangeOnlineManagement, Microsoft.Graph.Authentication</w:t>
      </w:r>
      <w:r>
        <w:t xml:space="preserve">;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both succeed. </w:t>
      </w:r>
      <w:r>
        <w:rPr>
          <w:rFonts w:ascii="Consolas" w:hAnsi="Consolas"/>
          <w:sz w:val="19"/>
        </w:rPr>
        <w:t>OPSCOE-ScopeCheck.ps1</w:t>
      </w:r>
      <w:r>
        <w:t xml:space="preserve"> reports connectivity.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and </w:t>
      </w:r>
      <w:r>
        <w:rPr>
          <w:rFonts w:ascii="Consolas" w:hAnsi="Consolas"/>
          <w:sz w:val="19"/>
        </w:rPr>
        <w:t>Install-Module Microsoft.Graph -Scope CurrentUser</w:t>
      </w:r>
      <w:r>
        <w:t>; confirm modern-auth sign-in.</w:t>
      </w:r>
    </w:p>
    <w:p>
      <w:pPr>
        <w:pStyle w:val="Heading2"/>
      </w:pPr>
      <w:r>
        <w:t>2.4 Graph read scopes (read-first, no write scopes for governance reads)</w:t>
      </w:r>
    </w:p>
    <w:p>
      <w:r>
        <w:rPr>
          <w:b/>
        </w:rPr>
        <w:t>Description:</w:t>
      </w:r>
      <w:r>
        <w:t xml:space="preserve"> Delegated Graph scopes for the read-only inventory and scorecard: </w:t>
      </w:r>
      <w:r>
        <w:rPr>
          <w:rFonts w:ascii="Consolas" w:hAnsi="Consolas"/>
          <w:sz w:val="19"/>
        </w:rPr>
        <w:t>Organization.Read.All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User.Read.All</w:t>
      </w:r>
      <w:r>
        <w:t xml:space="preserve">, </w:t>
      </w:r>
      <w:r>
        <w:rPr>
          <w:rFonts w:ascii="Consolas" w:hAnsi="Consolas"/>
          <w:sz w:val="19"/>
        </w:rPr>
        <w:t>RoleManagement.Read.Directory</w:t>
      </w:r>
      <w:r>
        <w:t xml:space="preserve">. No write scopes are required by the governance scripts. </w:t>
      </w:r>
      <w:r>
        <w:rPr>
          <w:b/>
        </w:rPr>
        <w:t>Why:</w:t>
      </w:r>
      <w:r>
        <w:t xml:space="preserve"> The scope, discovery, and register scripts read licensing, directory, and role data through Graph; keeping to read scopes matches the safe-by-default posture.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OPSCOE-ScopeCheck.ps1 -UseGraph</w:t>
      </w:r>
      <w:r>
        <w:t xml:space="preserve"> (read-only) — it connects with the read scopes and reports if consent is missing. </w:t>
      </w:r>
      <w:r>
        <w:rPr>
          <w:b/>
        </w:rPr>
        <w:t>Implement:</w:t>
      </w:r>
      <w:r>
        <w:t xml:space="preserve"> Consent at first </w:t>
      </w:r>
      <w:r>
        <w:rPr>
          <w:rFonts w:ascii="Consolas" w:hAnsi="Consolas"/>
          <w:sz w:val="19"/>
        </w:rPr>
        <w:t>Connect-MgGraph</w:t>
      </w:r>
      <w:r>
        <w:t>; if admin consent is required, a Global Administrator approves the scopes once in Entra (</w:t>
      </w:r>
      <w:r>
        <w:rPr>
          <w:rFonts w:ascii="Consolas" w:hAnsi="Consolas"/>
          <w:sz w:val="19"/>
        </w:rPr>
        <w:t>Identity → Applications → Enterprise applications</w:t>
      </w:r>
      <w:r>
        <w:t>).</w:t>
      </w:r>
    </w:p>
    <w:p>
      <w:pPr>
        <w:pStyle w:val="Heading2"/>
      </w:pPr>
      <w:r>
        <w:t>2.5 A named CoE governance board (least-privilege, separated) and role-group matrix</w:t>
      </w:r>
    </w:p>
    <w:p>
      <w:r>
        <w:rPr>
          <w:b/>
        </w:rPr>
        <w:t>Description:</w:t>
      </w:r>
      <w:r>
        <w:t xml:space="preserve"> A named </w:t>
      </w:r>
      <w:r>
        <w:rPr>
          <w:b/>
        </w:rPr>
        <w:t>governance board</w:t>
      </w:r>
      <w:r>
        <w:t xml:space="preserve"> — chair plus function representatives for information protection, records, insider risk, communication compliance, eDiscovery, and audit — mapped to </w:t>
      </w:r>
      <w:r>
        <w:rPr>
          <w:b/>
        </w:rPr>
        <w:t>built-in Purview role groups</w:t>
      </w:r>
      <w:r>
        <w:t xml:space="preserve"> with </w:t>
      </w:r>
      <w:r>
        <w:rPr>
          <w:b/>
        </w:rPr>
        <w:t>separation of duties</w:t>
      </w:r>
      <w:r>
        <w:t xml:space="preserve"> (insider risk / communication compliance / eDiscovery separate from governance administration), captured as a </w:t>
      </w:r>
      <w:r>
        <w:rPr>
          <w:b/>
        </w:rPr>
        <w:t>role-group matrix</w:t>
      </w:r>
      <w:r>
        <w:t xml:space="preserve"> (CSV). </w:t>
      </w:r>
      <w:r>
        <w:rPr>
          <w:b/>
        </w:rPr>
        <w:t>Why:</w:t>
      </w:r>
      <w:r>
        <w:t xml:space="preserve"> The board is the decision body of the CoE; its least-privilege, separated membership is the first standard the CoE enforces on itself (Global Requirements 2 and 5). </w:t>
      </w:r>
      <w:r>
        <w:rPr>
          <w:b/>
        </w:rPr>
        <w:t>Verify:</w:t>
      </w:r>
      <w:r>
        <w:t xml:space="preserve"> The matrix names each seat and its role group; </w:t>
      </w:r>
      <w:r>
        <w:rPr>
          <w:rFonts w:ascii="Consolas" w:hAnsi="Consolas"/>
          <w:sz w:val="19"/>
        </w:rPr>
        <w:t>OPSCOE-ApplyStandards.ps1 -WhatIf</w:t>
      </w:r>
      <w:r>
        <w:t xml:space="preserve"> previews the membership changes without applying them; </w:t>
      </w:r>
      <w:r>
        <w:rPr>
          <w:rFonts w:ascii="Consolas" w:hAnsi="Consolas"/>
          <w:sz w:val="19"/>
        </w:rPr>
        <w:t>Get-RoleGroupMember</w:t>
      </w:r>
      <w:r>
        <w:t xml:space="preserve"> shows current membership. </w:t>
      </w:r>
      <w:r>
        <w:rPr>
          <w:b/>
        </w:rPr>
        <w:t>Implement:</w:t>
      </w:r>
      <w:r>
        <w:t xml:space="preserve"> Author </w:t>
      </w:r>
      <w:r>
        <w:rPr>
          <w:rFonts w:ascii="Consolas" w:hAnsi="Consolas"/>
          <w:sz w:val="19"/>
        </w:rPr>
        <w:t>Purview CoE Charter – Board</w:t>
      </w:r>
      <w:r>
        <w:t xml:space="preserve"> and the matrix CSV; populate role groups with </w:t>
      </w:r>
      <w:r>
        <w:rPr>
          <w:rFonts w:ascii="Consolas" w:hAnsi="Consolas"/>
          <w:sz w:val="19"/>
        </w:rPr>
        <w:t>OPSCOE-ApplyStandards.ps1 -Commit</w:t>
      </w:r>
      <w:r>
        <w:t xml:space="preserve"> (adds named members to built-in role groups; creates custom scoped groups only where needed).</w:t>
      </w:r>
    </w:p>
    <w:p>
      <w:pPr>
        <w:pStyle w:val="Heading2"/>
      </w:pPr>
      <w:r>
        <w:t>2.6 The CoE standards, agreed and captured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house rules</w:t>
      </w:r>
      <w:r>
        <w:t xml:space="preserve"> agreed and written down: the </w:t>
      </w:r>
      <w:r>
        <w:rPr>
          <w:b/>
        </w:rPr>
        <w:t>naming convention</w:t>
      </w:r>
      <w:r>
        <w:t xml:space="preserve"> (</w:t>
      </w:r>
      <w:r>
        <w:rPr>
          <w:rFonts w:ascii="Consolas" w:hAnsi="Consolas"/>
          <w:sz w:val="19"/>
        </w:rPr>
        <w:t>&lt;Purpose&gt; – &lt;Capability&gt; – &lt;State&gt;</w:t>
      </w:r>
      <w:r>
        <w:t xml:space="preserve">), the </w:t>
      </w:r>
      <w:r>
        <w:rPr>
          <w:b/>
        </w:rPr>
        <w:t>ownership + review-cadence</w:t>
      </w:r>
      <w:r>
        <w:t xml:space="preserve"> rule (default quarterly), the </w:t>
      </w:r>
      <w:r>
        <w:rPr>
          <w:b/>
        </w:rPr>
        <w:t>simulation/test-first</w:t>
      </w:r>
      <w:r>
        <w:t xml:space="preserve"> rule, the </w:t>
      </w:r>
      <w:r>
        <w:rPr>
          <w:b/>
        </w:rPr>
        <w:t>change-control/versioning</w:t>
      </w:r>
      <w:r>
        <w:t xml:space="preserve"> rule, and the </w:t>
      </w:r>
      <w:r>
        <w:rPr>
          <w:b/>
        </w:rPr>
        <w:t>separation-of-duties</w:t>
      </w:r>
      <w:r>
        <w:t xml:space="preserve"> rule — captured as </w:t>
      </w:r>
      <w:r>
        <w:rPr>
          <w:rFonts w:ascii="Consolas" w:hAnsi="Consolas"/>
          <w:sz w:val="19"/>
        </w:rPr>
        <w:t>Purview CoE Standards – Baseline</w:t>
      </w:r>
      <w:r>
        <w:t xml:space="preserve">. </w:t>
      </w:r>
      <w:r>
        <w:rPr>
          <w:b/>
        </w:rPr>
        <w:t>Why:</w:t>
      </w:r>
      <w:r>
        <w:t xml:space="preserve"> Standards are what </w:t>
      </w:r>
      <w:r>
        <w:rPr>
          <w:rFonts w:ascii="Consolas" w:hAnsi="Consolas"/>
          <w:sz w:val="19"/>
        </w:rPr>
        <w:t>OPSCOE-Validate.ps1</w:t>
      </w:r>
      <w:r>
        <w:t xml:space="preserve"> checks against; without a captured baseline there is nothing to validate conformance or detect drift against. </w:t>
      </w:r>
      <w:r>
        <w:rPr>
          <w:b/>
        </w:rPr>
        <w:t>Verify:</w:t>
      </w:r>
      <w:r>
        <w:t xml:space="preserve"> The standards baseline exists and names the pattern, cadence, and gates. </w:t>
      </w:r>
      <w:r>
        <w:rPr>
          <w:rFonts w:ascii="Consolas" w:hAnsi="Consolas"/>
          <w:sz w:val="19"/>
        </w:rPr>
        <w:t>OPSCOE-Validate.ps1</w:t>
      </w:r>
      <w:r>
        <w:t xml:space="preserve"> loads it and evaluates conformance. </w:t>
      </w:r>
      <w:r>
        <w:rPr>
          <w:b/>
        </w:rPr>
        <w:t>Implement:</w:t>
      </w:r>
      <w:r>
        <w:t xml:space="preserve"> Agree the standards with compliance/records/privacy/legal stakeholders (Global Requirement 5); capture them as the standards baseline before governing the estate.</w:t>
      </w:r>
    </w:p>
    <w:p>
      <w:pPr>
        <w:pStyle w:val="Heading2"/>
      </w:pPr>
      <w:r>
        <w:t>2.7 An intake workflow and change control</w:t>
      </w:r>
    </w:p>
    <w:p>
      <w:r>
        <w:rPr>
          <w:b/>
        </w:rPr>
        <w:t>Description:</w:t>
      </w:r>
      <w:r>
        <w:t xml:space="preserve"> A defined </w:t>
      </w:r>
      <w:r>
        <w:rPr>
          <w:b/>
        </w:rPr>
        <w:t>intake workflow</w:t>
      </w:r>
      <w:r>
        <w:t xml:space="preserve"> (Request → Triage → Design → Pilot in simulation → Validate → Board approval → Enforce → Register) and a </w:t>
      </w:r>
      <w:r>
        <w:rPr>
          <w:b/>
        </w:rPr>
        <w:t>change-control</w:t>
      </w:r>
      <w:r>
        <w:t xml:space="preserve"> process with a change window and approval path (Global Requirement 6). </w:t>
      </w:r>
      <w:r>
        <w:rPr>
          <w:b/>
        </w:rPr>
        <w:t>Why:</w:t>
      </w:r>
      <w:r>
        <w:t xml:space="preserve"> Intake is the gate that keeps ungoverned, unowned, or un-simulated policies out of the tenant; change control makes every change reversible and auditable. </w:t>
      </w:r>
      <w:r>
        <w:rPr>
          <w:b/>
        </w:rPr>
        <w:t>Verify:</w:t>
      </w:r>
      <w:r>
        <w:t xml:space="preserve"> The workflow is documented with an owner per stage; a change window/approval path exists; an intake request template (</w:t>
      </w:r>
      <w:r>
        <w:rPr>
          <w:rFonts w:ascii="Consolas" w:hAnsi="Consolas"/>
          <w:sz w:val="19"/>
        </w:rPr>
        <w:t>Purview CoE Intake – Request</w:t>
      </w:r>
      <w:r>
        <w:t xml:space="preserve">) is ready. </w:t>
      </w:r>
      <w:r>
        <w:rPr>
          <w:b/>
        </w:rPr>
        <w:t>Implement:</w:t>
      </w:r>
      <w:r>
        <w:t xml:space="preserve"> Document the workflow and template; agree change control before enforcing any governed artifact.</w:t>
      </w:r>
    </w:p>
    <w:p>
      <w:pPr>
        <w:pStyle w:val="Heading2"/>
      </w:pPr>
      <w:r>
        <w:t>2.8 A complete, readable inventory of governed Purview artifacts</w:t>
      </w:r>
    </w:p>
    <w:p>
      <w:r>
        <w:rPr>
          <w:b/>
        </w:rPr>
        <w:t>Description:</w:t>
      </w:r>
      <w:r>
        <w:t xml:space="preserve"> Read access to the artifacts the CoE will govern — </w:t>
      </w:r>
      <w:r>
        <w:rPr>
          <w:b/>
        </w:rPr>
        <w:t>sensitivity labels and label policies</w:t>
      </w:r>
      <w:r>
        <w:t xml:space="preserve">, </w:t>
      </w:r>
      <w:r>
        <w:rPr>
          <w:b/>
        </w:rPr>
        <w:t>DLP policies and rules</w:t>
      </w:r>
      <w:r>
        <w:t xml:space="preserve">, </w:t>
      </w:r>
      <w:r>
        <w:rPr>
          <w:b/>
        </w:rPr>
        <w:t>retention policies/labels and rules</w:t>
      </w:r>
      <w:r>
        <w:t xml:space="preserve">, </w:t>
      </w:r>
      <w:r>
        <w:rPr>
          <w:b/>
        </w:rPr>
        <w:t>auto-labeling policies</w:t>
      </w:r>
      <w:r>
        <w:t xml:space="preserve">, and (where licensed and readable) </w:t>
      </w:r>
      <w:r>
        <w:rPr>
          <w:b/>
        </w:rPr>
        <w:t>communication-compliance policies</w:t>
      </w:r>
      <w:r>
        <w:t xml:space="preserve"> and </w:t>
      </w:r>
      <w:r>
        <w:rPr>
          <w:b/>
        </w:rPr>
        <w:t>audit retention policies</w:t>
      </w:r>
      <w:r>
        <w:t xml:space="preserve"> — so the register can be built from the live tenant. </w:t>
      </w:r>
      <w:r>
        <w:rPr>
          <w:b/>
        </w:rPr>
        <w:t>Why:</w:t>
      </w:r>
      <w:r>
        <w:t xml:space="preserve"> The register and drift detection are only as complete as what the account can read; some capabilities (insider risk especially) are portal-managed with limited PowerShell and are governed by attestation rather than enumeration.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OPSCOE-Discovery.ps1</w:t>
      </w:r>
      <w:r>
        <w:t xml:space="preserve"> (read-only) enumerates each readable artifact type and flags which are unlicensed or portal-only in this tenant. </w:t>
      </w:r>
      <w:r>
        <w:rPr>
          <w:b/>
        </w:rPr>
        <w:t>Implement:</w:t>
      </w:r>
      <w:r>
        <w:t xml:space="preserve"> Ensure the account holds the least-privilege read roles for each in-remit capability; for portal-only capabilities, record them in the register by attestation with a named owner.</w:t>
      </w:r>
    </w:p>
    <w:p>
      <w:pPr>
        <w:pStyle w:val="Heading2"/>
      </w:pPr>
      <w:r>
        <w:t>2.9 Stakeholders and the determination boundary</w:t>
      </w:r>
    </w:p>
    <w:p>
      <w:r>
        <w:rPr>
          <w:b/>
        </w:rPr>
        <w:t>Description:</w:t>
      </w:r>
      <w:r>
        <w:t xml:space="preserve"> Engagement with </w:t>
      </w:r>
      <w:r>
        <w:rPr>
          <w:b/>
        </w:rPr>
        <w:t>compliance, records, privacy, security, and legal</w:t>
      </w:r>
      <w:r>
        <w:t xml:space="preserve"> stakeholders (Global Requirement 5) and an explicit, recorded </w:t>
      </w:r>
      <w:r>
        <w:rPr>
          <w:b/>
        </w:rPr>
        <w:t>determination boundary</w:t>
      </w:r>
      <w:r>
        <w:t xml:space="preserve"> — the CoE governs method, naming, ownership, lifecycle, and the simulation-first gate; the stakeholders own retention schedules, records file plans, legal holds, insider-risk/communication-compliance case actions, and regulatory applicability. </w:t>
      </w:r>
      <w:r>
        <w:rPr>
          <w:b/>
        </w:rPr>
        <w:t>Why:</w:t>
      </w:r>
      <w:r>
        <w:t xml:space="preserve"> The CoE must not silently make regulatory/records/legal determinations; the boundary keeps the governance operating model separate from the decisions it supports. </w:t>
      </w:r>
      <w:r>
        <w:rPr>
          <w:b/>
        </w:rPr>
        <w:t>Verify:</w:t>
      </w:r>
      <w:r>
        <w:t xml:space="preserve"> Named approvers per capability are recorded in </w:t>
      </w:r>
      <w:r>
        <w:rPr>
          <w:rFonts w:ascii="Consolas" w:hAnsi="Consolas"/>
          <w:sz w:val="19"/>
        </w:rPr>
        <w:t>Purview CoE Charter – Board</w:t>
      </w:r>
      <w:r>
        <w:t xml:space="preserve">; the boundary is written into the charter. </w:t>
      </w:r>
      <w:r>
        <w:rPr>
          <w:b/>
        </w:rPr>
        <w:t>Implement:</w:t>
      </w:r>
      <w:r>
        <w:t xml:space="preserve"> Identify owners and record the boundary before the CoE takes an artifact to *enforce*.</w:t>
      </w:r>
    </w:p>
    <w:p>
      <w:pPr>
        <w:pStyle w:val="Heading2"/>
      </w:pPr>
      <w:r>
        <w:t>2.10 A pilot artifact in simulation/test</w:t>
      </w:r>
    </w:p>
    <w:p>
      <w:r>
        <w:rPr>
          <w:b/>
        </w:rPr>
        <w:t>Description:</w:t>
      </w:r>
      <w:r>
        <w:t xml:space="preserve"> A single </w:t>
      </w:r>
      <w:r>
        <w:rPr>
          <w:b/>
        </w:rPr>
        <w:t>pilot artifact</w:t>
      </w:r>
      <w:r>
        <w:t xml:space="preserve"> (</w:t>
      </w:r>
      <w:r>
        <w:rPr>
          <w:rFonts w:ascii="Consolas" w:hAnsi="Consolas"/>
          <w:sz w:val="19"/>
        </w:rPr>
        <w:t>Purview CoE Pilot – Stage1</w:t>
      </w:r>
      <w:r>
        <w:t xml:space="preserve">) — for example one DLP or auto-labeling policy — taken through the full intake workflow in </w:t>
      </w:r>
      <w:r>
        <w:rPr>
          <w:b/>
        </w:rPr>
        <w:t>simulation/test mode</w:t>
      </w:r>
      <w:r>
        <w:t xml:space="preserve"> to prove the gate before governing the estate (Global Requirement 6). </w:t>
      </w:r>
      <w:r>
        <w:rPr>
          <w:b/>
        </w:rPr>
        <w:t>Why:</w:t>
      </w:r>
      <w:r>
        <w:t xml:space="preserve"> The intake gate must itself be validated end-to-end (Request → simulate → validate → board approval) before it is trusted for every future change. </w:t>
      </w:r>
      <w:r>
        <w:rPr>
          <w:b/>
        </w:rPr>
        <w:t>Verify:</w:t>
      </w:r>
      <w:r>
        <w:t xml:space="preserve"> The pilot artifact is in simulation/test with recorded evidence; </w:t>
      </w:r>
      <w:r>
        <w:rPr>
          <w:rFonts w:ascii="Consolas" w:hAnsi="Consolas"/>
          <w:sz w:val="19"/>
        </w:rPr>
        <w:t>OPSCOE-Validate.ps1</w:t>
      </w:r>
      <w:r>
        <w:t xml:space="preserve"> passes it against the standards. </w:t>
      </w:r>
      <w:r>
        <w:rPr>
          <w:b/>
        </w:rPr>
        <w:t>Implement:</w:t>
      </w:r>
      <w:r>
        <w:t xml:space="preserve"> Choose a low-risk artifact, run it through intake in simulation, and only then treat the gate as production-ready.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Compliance licensing inventoried; in-remit vs out-of-scope capabilities recorded</w:t>
      </w:r>
    </w:p>
    <w:p>
      <w:pPr>
        <w:pStyle w:val="ListBullet"/>
      </w:pPr>
      <w:r>
        <w:t>Compliance Administrator access confirmed; Global Admin reserved for one-time consent</w:t>
      </w:r>
    </w:p>
    <w:p>
      <w:pPr>
        <w:pStyle w:val="ListBullet"/>
      </w:pPr>
      <w:r>
        <w:t xml:space="preserve">ExchangeOnlineManagement + Microsoft Graph SDK installed; 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 succeed</w:t>
      </w:r>
    </w:p>
    <w:p>
      <w:pPr>
        <w:pStyle w:val="ListBullet"/>
      </w:pPr>
      <w:r>
        <w:t>Graph read scopes consented (no write scopes needed for governance reads)</w:t>
      </w:r>
    </w:p>
    <w:p>
      <w:pPr>
        <w:pStyle w:val="ListBullet"/>
      </w:pPr>
      <w:r>
        <w:t>CoE board named, separated, and mapped to built-in role groups; matrix CSV ready</w:t>
      </w:r>
    </w:p>
    <w:p>
      <w:pPr>
        <w:pStyle w:val="ListBullet"/>
      </w:pPr>
      <w:r>
        <w:t xml:space="preserve">CoE standards agreed and captured as </w:t>
      </w:r>
      <w:r>
        <w:rPr>
          <w:rFonts w:ascii="Consolas" w:hAnsi="Consolas"/>
          <w:sz w:val="19"/>
        </w:rPr>
        <w:t>Purview CoE Standards – Baseline</w:t>
      </w:r>
    </w:p>
    <w:p>
      <w:pPr>
        <w:pStyle w:val="ListBullet"/>
      </w:pPr>
      <w:r>
        <w:t>Intake workflow documented; change control and request template ready</w:t>
      </w:r>
    </w:p>
    <w:p>
      <w:pPr>
        <w:pStyle w:val="ListBullet"/>
      </w:pPr>
      <w:r>
        <w:t>Governed-artifact inventory readable; portal-only capabilities recorded by attestation</w:t>
      </w:r>
    </w:p>
    <w:p>
      <w:pPr>
        <w:pStyle w:val="ListBullet"/>
      </w:pPr>
      <w:r>
        <w:t>Stakeholders named per capability; determination boundary written into the charter</w:t>
      </w:r>
    </w:p>
    <w:p>
      <w:pPr>
        <w:pStyle w:val="ListBullet"/>
      </w:pPr>
      <w:r>
        <w:rPr>
          <w:rFonts w:ascii="Consolas" w:hAnsi="Consolas"/>
          <w:sz w:val="19"/>
        </w:rPr>
        <w:t>Purview CoE Pilot – Stage1</w:t>
      </w:r>
      <w:r>
        <w:t xml:space="preserve"> in simulation/test with recorded evidence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Microsoft Purview Center of Excellence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model is </w:t>
      </w:r>
      <w:r>
        <w:rPr>
          <w:b/>
        </w:rPr>
        <w:t>Assess → Design → Configure → Pilot (simulation) → Validate → Expand</w:t>
      </w:r>
      <w:r>
        <w:t xml:space="preserve">. Governance role and tag changes are previewed with </w:t>
      </w:r>
      <w:r>
        <w:rPr>
          <w:b/>
        </w:rPr>
        <w:t>`-WhatIf` before any `-Commit`</w:t>
      </w:r>
      <w:r>
        <w:t xml:space="preserve">; no governed policy is taken to *enforce* without passing simulation/test and board approval. Each step names its artifacts, its pass/fail gate, and its rollback. Portal paths and cmdlets are cited as of authoring — </w:t>
      </w:r>
      <w:r>
        <w:rPr>
          <w:b/>
        </w:rPr>
        <w:t>verify them in your own tenant</w:t>
      </w:r>
      <w:r>
        <w:t>; where a capability is unlicensed or portal-only, govern it by attestation rather than inventing a cmdlet.</w:t>
      </w:r>
    </w:p>
    <w:p>
      <w:pPr>
        <w:ind w:left="432"/>
      </w:pPr>
      <w:r>
        <w:rPr>
          <w:i/>
          <w:color w:val="2E86C1"/>
        </w:rPr>
        <w:t>Determination boundary (restated). This guide configures the *operating model* — board, standards, intake, lifecycle. It does not author policy contents or make retention/records/legal or insider-risk determinations; those are deferred to compliance, records, privacy, and legal.</w:t>
      </w:r>
    </w:p>
    <w:p>
      <w:r>
        <w:t>__________________________________________________</w:t>
      </w:r>
    </w:p>
    <w:p>
      <w:pPr>
        <w:pStyle w:val="Heading2"/>
      </w:pPr>
      <w:r>
        <w:t>Phase 0 — Assess (read-only)</w:t>
      </w:r>
    </w:p>
    <w:p>
      <w:pPr>
        <w:pStyle w:val="Heading3"/>
      </w:pPr>
      <w:r>
        <w:t>Step 0.1 — Connect and confirm scope</w:t>
      </w:r>
    </w:p>
    <w:p>
      <w:r>
        <w:t>Open Security &amp; Compliance PowerShell and (for audit/role-membership cmdlets) Exchange Online:</w:t>
      </w:r>
    </w:p>
    <w:p>
      <w:r>
        <w:rPr>
          <w:rFonts w:ascii="Consolas" w:hAnsi="Consolas"/>
          <w:sz w:val="18"/>
        </w:rPr>
        <w:t>Connect-IPPSSession</w:t>
        <w:br/>
        <w:t>Connect-ExchangeOnline          # for Get-AdminAuditLogConfig / Add-RoleGroupMember</w:t>
        <w:br/>
        <w:t>Connect-MgGraph -Scopes "Organization.Read.All","Directory.Read.All","User.Read.All","RoleManagement.Read.Directory" -NoWelcome</w:t>
      </w:r>
    </w:p>
    <w:p>
      <w:r>
        <w:t>Run the scope/health helper:</w:t>
      </w:r>
    </w:p>
    <w:p>
      <w:r>
        <w:rPr>
          <w:rFonts w:ascii="Consolas" w:hAnsi="Consolas"/>
          <w:sz w:val="18"/>
        </w:rPr>
        <w:t>.\OPSCOE-ScopeCheck.ps1 -UseGraph</w:t>
      </w:r>
    </w:p>
    <w:p>
      <w:r>
        <w:t xml:space="preserve">It confirms sign-in, reports the compliance SKUs present, lists which governed capabilities are visible (labels, DLP, retention, auto-labeling, communication compliance, audit), and flags unlicensed or portal-only capabilities. Output: </w:t>
      </w:r>
      <w:r>
        <w:rPr>
          <w:rFonts w:ascii="Consolas" w:hAnsi="Consolas"/>
          <w:sz w:val="19"/>
        </w:rPr>
        <w:t>Purview CoE Scope – Assess</w:t>
      </w:r>
      <w:r>
        <w:t xml:space="preserve"> (CSV). </w:t>
      </w:r>
      <w:r>
        <w:rPr>
          <w:b/>
        </w:rPr>
        <w:t>Gate:</w:t>
      </w:r>
      <w:r>
        <w:t xml:space="preserve"> sign-in OK and the in-remit capability list agreed. </w:t>
      </w:r>
      <w:r>
        <w:rPr>
          <w:b/>
        </w:rPr>
        <w:t>FAIL</w:t>
      </w:r>
      <w:r>
        <w:t xml:space="preserve"> on any capability you intend to govern that the script cannot see → resolve licensing/roles before proceeding.</w:t>
      </w:r>
    </w:p>
    <w:p>
      <w:pPr>
        <w:pStyle w:val="Heading3"/>
      </w:pPr>
      <w:r>
        <w:t>Step 0.2 — Inventory the estate the CoE will govern</w:t>
      </w:r>
    </w:p>
    <w:p>
      <w:r>
        <w:rPr>
          <w:rFonts w:ascii="Consolas" w:hAnsi="Consolas"/>
          <w:sz w:val="18"/>
        </w:rPr>
        <w:t>.\OPSCOE-Discovery.ps1 -OutPath ".\Purview-CoE-Register-Governed.csv"</w:t>
      </w:r>
    </w:p>
    <w:p>
      <w:r>
        <w:t xml:space="preserve">This enumerates every readable governed artifact — sensitivity labels, label policies, DLP policies + rules, retention policies/labels + rules, auto-labeling policies, and (where readable) communication-compliance and audit-retention policies — and for each records its </w:t>
      </w:r>
      <w:r>
        <w:rPr>
          <w:b/>
        </w:rPr>
        <w:t>name</w:t>
      </w:r>
      <w:r>
        <w:t xml:space="preserve">, </w:t>
      </w:r>
      <w:r>
        <w:rPr>
          <w:b/>
        </w:rPr>
        <w:t>type</w:t>
      </w:r>
      <w:r>
        <w:t xml:space="preserve">, </w:t>
      </w:r>
      <w:r>
        <w:rPr>
          <w:b/>
        </w:rPr>
        <w:t>current state</w:t>
      </w:r>
      <w:r>
        <w:t xml:space="preserve"> (e.g. enabled/disabled/test/simulation where the object exposes it), and whether it </w:t>
      </w:r>
      <w:r>
        <w:rPr>
          <w:b/>
        </w:rPr>
        <w:t>conforms to the naming standard</w:t>
      </w:r>
      <w:r>
        <w:t xml:space="preserve">. Output: </w:t>
      </w:r>
      <w:r>
        <w:rPr>
          <w:rFonts w:ascii="Consolas" w:hAnsi="Consolas"/>
          <w:sz w:val="19"/>
        </w:rPr>
        <w:t>Purview CoE Register – Governed</w:t>
      </w:r>
      <w:r>
        <w:t xml:space="preserve"> (the raw inventory that becomes the register). </w:t>
      </w:r>
      <w:r>
        <w:rPr>
          <w:b/>
        </w:rPr>
        <w:t>Gate:</w:t>
      </w:r>
      <w:r>
        <w:t xml:space="preserve"> the inventory runs clean and every in-remit capability is represented (licensed+readable enumerated; portal-only flagged for attestation). Record the count and the non-conforming names — this is the baseline the CoE will bring into standard. </w:t>
      </w:r>
      <w:r>
        <w:rPr>
          <w:b/>
        </w:rPr>
        <w:t>Rollback:</w:t>
      </w:r>
      <w:r>
        <w:t xml:space="preserve"> none — read-only.</w:t>
      </w:r>
    </w:p>
    <w:p>
      <w:r>
        <w:t>__________________________________________________</w:t>
      </w:r>
    </w:p>
    <w:p>
      <w:pPr>
        <w:pStyle w:val="Heading2"/>
      </w:pPr>
      <w:r>
        <w:t>Phase 1 — Design (author the operating model)</w:t>
      </w:r>
    </w:p>
    <w:p>
      <w:pPr>
        <w:pStyle w:val="Heading3"/>
      </w:pPr>
      <w:r>
        <w:t>Step 1.1 — Author the CoE charter and board RACI</w:t>
      </w:r>
    </w:p>
    <w:p>
      <w:r>
        <w:t xml:space="preserve">Write </w:t>
      </w:r>
      <w:r>
        <w:rPr>
          <w:rFonts w:ascii="Consolas" w:hAnsi="Consolas"/>
          <w:sz w:val="19"/>
        </w:rPr>
        <w:t>Purview CoE Charter – Board</w:t>
      </w:r>
      <w:r>
        <w:t xml:space="preserve">: the CoE's purpose, the </w:t>
      </w:r>
      <w:r>
        <w:rPr>
          <w:b/>
        </w:rPr>
        <w:t>board membership</w:t>
      </w:r>
      <w:r>
        <w:t xml:space="preserve"> (chair + one representative per capability), the </w:t>
      </w:r>
      <w:r>
        <w:rPr>
          <w:b/>
        </w:rPr>
        <w:t>RACI</w:t>
      </w:r>
      <w:r>
        <w:t xml:space="preserve">, the </w:t>
      </w:r>
      <w:r>
        <w:rPr>
          <w:b/>
        </w:rPr>
        <w:t>separation-of-duties</w:t>
      </w:r>
      <w:r>
        <w:t xml:space="preserve"> rules, the </w:t>
      </w:r>
      <w:r>
        <w:rPr>
          <w:b/>
        </w:rPr>
        <w:t>determination boundary</w:t>
      </w:r>
      <w:r>
        <w:t xml:space="preserve"> (what the board governs vs what compliance/records/privacy/legal decide), and the </w:t>
      </w:r>
      <w:r>
        <w:rPr>
          <w:b/>
        </w:rPr>
        <w:t>named approvers</w:t>
      </w:r>
      <w:r>
        <w:t xml:space="preserve"> per capability. Map each seat to a </w:t>
      </w:r>
      <w:r>
        <w:rPr>
          <w:b/>
        </w:rPr>
        <w:t>built-in Purview role group</w:t>
      </w:r>
      <w:r>
        <w:t xml:space="preserve"> (Overview §"The CoE governance board"). </w:t>
      </w:r>
      <w:r>
        <w:rPr>
          <w:b/>
        </w:rPr>
        <w:t>Gate:</w:t>
      </w:r>
      <w:r>
        <w:t xml:space="preserve"> every seat has a named owner and a mapped role group; insider-risk, communication-compliance, and eDiscovery seats are </w:t>
      </w:r>
      <w:r>
        <w:rPr>
          <w:b/>
        </w:rPr>
        <w:t>separate</w:t>
      </w:r>
      <w:r>
        <w:t xml:space="preserve"> from the chair/compliance-administration seat.</w:t>
      </w:r>
    </w:p>
    <w:p>
      <w:pPr>
        <w:pStyle w:val="Heading3"/>
      </w:pPr>
      <w:r>
        <w:t>Step 1.2 — Capture the standards baseline</w:t>
      </w:r>
    </w:p>
    <w:p>
      <w:r>
        <w:t xml:space="preserve">Write </w:t>
      </w:r>
      <w:r>
        <w:rPr>
          <w:rFonts w:ascii="Consolas" w:hAnsi="Consolas"/>
          <w:sz w:val="19"/>
        </w:rPr>
        <w:t>Purview CoE Standards – Baseline</w:t>
      </w:r>
      <w:r>
        <w:t xml:space="preserve">: the </w:t>
      </w:r>
      <w:r>
        <w:rPr>
          <w:b/>
        </w:rPr>
        <w:t>naming convention</w:t>
      </w:r>
      <w:r>
        <w:t xml:space="preserve"> (</w:t>
      </w:r>
      <w:r>
        <w:rPr>
          <w:rFonts w:ascii="Consolas" w:hAnsi="Consolas"/>
          <w:sz w:val="19"/>
        </w:rPr>
        <w:t>&lt;Purpose&gt; – &lt;Capability&gt; – &lt;State&gt;</w:t>
      </w:r>
      <w:r>
        <w:t xml:space="preserve">), the </w:t>
      </w:r>
      <w:r>
        <w:rPr>
          <w:b/>
        </w:rPr>
        <w:t>ownership + review-cadence</w:t>
      </w:r>
      <w:r>
        <w:t xml:space="preserve"> rule (default quarterly), the </w:t>
      </w:r>
      <w:r>
        <w:rPr>
          <w:b/>
        </w:rPr>
        <w:t>simulation/test-first</w:t>
      </w:r>
      <w:r>
        <w:t xml:space="preserve"> rule, the </w:t>
      </w:r>
      <w:r>
        <w:rPr>
          <w:b/>
        </w:rPr>
        <w:t>change-control/versioning</w:t>
      </w:r>
      <w:r>
        <w:t xml:space="preserve"> rule, and the </w:t>
      </w:r>
      <w:r>
        <w:rPr>
          <w:b/>
        </w:rPr>
        <w:t>separation-of-duties</w:t>
      </w:r>
      <w:r>
        <w:t xml:space="preserve"> rule. This file is the machine-checkable contract </w:t>
      </w:r>
      <w:r>
        <w:rPr>
          <w:rFonts w:ascii="Consolas" w:hAnsi="Consolas"/>
          <w:sz w:val="19"/>
        </w:rPr>
        <w:t>OPSCOE-Validate.ps1</w:t>
      </w:r>
      <w:r>
        <w:t xml:space="preserve"> evaluates against (it reads the naming pattern and cadence from a small standards config). </w:t>
      </w:r>
      <w:r>
        <w:rPr>
          <w:b/>
        </w:rPr>
        <w:t>Gate:</w:t>
      </w:r>
      <w:r>
        <w:t xml:space="preserve"> the baseline exists and states the naming pattern, cadence, and each gate unambiguously.</w:t>
      </w:r>
    </w:p>
    <w:p>
      <w:pPr>
        <w:pStyle w:val="Heading3"/>
      </w:pPr>
      <w:r>
        <w:t>Step 1.3 — Define the intake workflow and the role-group matrix</w:t>
      </w:r>
    </w:p>
    <w:p>
      <w:r>
        <w:t xml:space="preserve">Document the </w:t>
      </w:r>
      <w:r>
        <w:rPr>
          <w:b/>
        </w:rPr>
        <w:t>intake workflow</w:t>
      </w:r>
      <w:r>
        <w:t xml:space="preserve"> (Request → Triage → Design → Pilot in simulation → Validate → Board approval → Enforce → Register), the </w:t>
      </w:r>
      <w:r>
        <w:rPr>
          <w:rFonts w:ascii="Consolas" w:hAnsi="Consolas"/>
          <w:sz w:val="19"/>
        </w:rPr>
        <w:t>Purview CoE Intake – Request</w:t>
      </w:r>
      <w:r>
        <w:t xml:space="preserve"> template, and build the </w:t>
      </w:r>
      <w:r>
        <w:rPr>
          <w:b/>
        </w:rPr>
        <w:t>role-group matrix CSV</w:t>
      </w:r>
      <w:r>
        <w:t xml:space="preserve"> (</w:t>
      </w:r>
      <w:r>
        <w:rPr>
          <w:rFonts w:ascii="Consolas" w:hAnsi="Consolas"/>
          <w:sz w:val="19"/>
        </w:rPr>
        <w:t>Seat,RoleGroup,Member</w:t>
      </w:r>
      <w:r>
        <w:t xml:space="preserve"> rows) that </w:t>
      </w:r>
      <w:r>
        <w:rPr>
          <w:rFonts w:ascii="Consolas" w:hAnsi="Consolas"/>
          <w:sz w:val="19"/>
        </w:rPr>
        <w:t>OPSCOE-ApplyStandards.ps1</w:t>
      </w:r>
      <w:r>
        <w:t xml:space="preserve"> consumes. </w:t>
      </w:r>
      <w:r>
        <w:rPr>
          <w:b/>
        </w:rPr>
        <w:t>Gate:</w:t>
      </w:r>
      <w:r>
        <w:t xml:space="preserve"> the workflow has an owner per stage and the matrix names every board member and their role group.</w:t>
      </w:r>
    </w:p>
    <w:p>
      <w:r>
        <w:t>__________________________________________________</w:t>
      </w:r>
    </w:p>
    <w:p>
      <w:pPr>
        <w:pStyle w:val="Heading2"/>
      </w:pPr>
      <w:r>
        <w:t>Phase 2 — Configure (pilot-first, `-WhatIf` before `-Commit`)</w:t>
      </w:r>
    </w:p>
    <w:p>
      <w:pPr>
        <w:pStyle w:val="Heading3"/>
      </w:pPr>
      <w:r>
        <w:t>Step 2.1 — Preview the board role-group membership</w:t>
      </w:r>
    </w:p>
    <w:p>
      <w:r>
        <w:rPr>
          <w:rFonts w:ascii="Consolas" w:hAnsi="Consolas"/>
          <w:sz w:val="18"/>
        </w:rPr>
        <w:t>.\OPSCOE-ApplyStandards.ps1 -RoleMatrixCsv ".\coe-board-matrix.csv" -WhatIf</w:t>
      </w:r>
    </w:p>
    <w:p>
      <w:r>
        <w:t xml:space="preserve">The script reads the matrix and shows exactly which members it would add to which built-in role groups (and which custom scoped groups it would create), printing the </w:t>
      </w:r>
      <w:r>
        <w:rPr>
          <w:b/>
        </w:rPr>
        <w:t>reverse command</w:t>
      </w:r>
      <w:r>
        <w:t xml:space="preserve"> for each change. No change is made. </w:t>
      </w:r>
      <w:r>
        <w:rPr>
          <w:b/>
        </w:rPr>
        <w:t>Gate:</w:t>
      </w:r>
      <w:r>
        <w:t xml:space="preserve"> the preview matches the charter exactly — least-privilege, separated, named. If it would add anyone to an investigative role group (insider risk / communication compliance / eDiscovery) who is not named in the charter, </w:t>
      </w:r>
      <w:r>
        <w:rPr>
          <w:b/>
        </w:rPr>
        <w:t>STOP</w:t>
      </w:r>
      <w:r>
        <w:t xml:space="preserve"> and correct the matrix.</w:t>
      </w:r>
    </w:p>
    <w:p>
      <w:pPr>
        <w:pStyle w:val="Heading3"/>
      </w:pPr>
      <w:r>
        <w:t>Step 2.2 — Apply the board role-group membership</w:t>
      </w:r>
    </w:p>
    <w:p>
      <w:r>
        <w:rPr>
          <w:rFonts w:ascii="Consolas" w:hAnsi="Consolas"/>
          <w:sz w:val="18"/>
        </w:rPr>
        <w:t>.\OPSCOE-ApplyStandards.ps1 -RoleMatrixCsv ".\coe-board-matrix.csv" -Commit</w:t>
      </w:r>
    </w:p>
    <w:p>
      <w:r>
        <w:t>Adds the named members to the built-in role groups (</w:t>
      </w:r>
      <w:r>
        <w:rPr>
          <w:rFonts w:ascii="Consolas" w:hAnsi="Consolas"/>
          <w:sz w:val="19"/>
        </w:rPr>
        <w:t>Add-RoleGroupMember</w:t>
      </w:r>
      <w:r>
        <w:t>) and creates any custom scoped groups (</w:t>
      </w:r>
      <w:r>
        <w:rPr>
          <w:rFonts w:ascii="Consolas" w:hAnsi="Consolas"/>
          <w:sz w:val="19"/>
        </w:rPr>
        <w:t>New-RoleGroup</w:t>
      </w:r>
      <w:r>
        <w:t xml:space="preserve">) defined in the matrix. Each applied change is logged with its reverse command. </w:t>
      </w:r>
      <w:r>
        <w:rPr>
          <w:b/>
        </w:rPr>
        <w:t>Gate:</w:t>
      </w:r>
      <w:r>
        <w:t xml:space="preserve"> </w:t>
      </w:r>
      <w:r>
        <w:rPr>
          <w:rFonts w:ascii="Consolas" w:hAnsi="Consolas"/>
          <w:sz w:val="19"/>
        </w:rPr>
        <w:t>Get-RoleGroupMember</w:t>
      </w:r>
      <w:r>
        <w:t xml:space="preserve"> for each seat resolves to exactly the named members. </w:t>
      </w:r>
      <w:r>
        <w:rPr>
          <w:b/>
        </w:rPr>
        <w:t>Rollback:</w:t>
      </w:r>
      <w:r>
        <w:t xml:space="preserve"> run the printed reverse commands (</w:t>
      </w:r>
      <w:r>
        <w:rPr>
          <w:rFonts w:ascii="Consolas" w:hAnsi="Consolas"/>
          <w:sz w:val="19"/>
        </w:rPr>
        <w:t>Remove-RoleGroupMember</w:t>
      </w:r>
      <w:r>
        <w:t xml:space="preserve"> / </w:t>
      </w:r>
      <w:r>
        <w:rPr>
          <w:rFonts w:ascii="Consolas" w:hAnsi="Consolas"/>
          <w:sz w:val="19"/>
        </w:rPr>
        <w:t>Remove-RoleGroup</w:t>
      </w:r>
      <w:r>
        <w:t>) to undo any membership or group creation.</w:t>
      </w:r>
    </w:p>
    <w:p>
      <w:pPr>
        <w:pStyle w:val="Heading3"/>
      </w:pPr>
      <w:r>
        <w:t>Step 2.3 — (Optional) Stamp ownership/standard tags on governed artifacts</w:t>
      </w:r>
    </w:p>
    <w:p>
      <w:r>
        <w:t xml:space="preserve">Where a governed object exposes a writable </w:t>
      </w:r>
      <w:r>
        <w:rPr>
          <w:rFonts w:ascii="Consolas" w:hAnsi="Consolas"/>
          <w:sz w:val="19"/>
        </w:rPr>
        <w:t>Comment</w:t>
      </w:r>
      <w:r>
        <w:t xml:space="preserve">/notes field (DLP, retention, auto-labeling policies via </w:t>
      </w:r>
      <w:r>
        <w:rPr>
          <w:rFonts w:ascii="Consolas" w:hAnsi="Consolas"/>
          <w:sz w:val="19"/>
        </w:rPr>
        <w:t>Set-DlpCompliancePolicy</w:t>
      </w:r>
      <w:r>
        <w:t xml:space="preserve"> / </w:t>
      </w:r>
      <w:r>
        <w:rPr>
          <w:rFonts w:ascii="Consolas" w:hAnsi="Consolas"/>
          <w:sz w:val="19"/>
        </w:rPr>
        <w:t>Set-RetentionCompliancePolicy</w:t>
      </w:r>
      <w:r>
        <w:t xml:space="preserve"> / </w:t>
      </w:r>
      <w:r>
        <w:rPr>
          <w:rFonts w:ascii="Consolas" w:hAnsi="Consolas"/>
          <w:sz w:val="19"/>
        </w:rPr>
        <w:t>Set-AutoSensitivityLabelPolicy -Comment</w:t>
      </w:r>
      <w:r>
        <w:t>), stamp a standardized ownership/standard tag so the owner and review date travel with the object:</w:t>
      </w:r>
    </w:p>
    <w:p>
      <w:r>
        <w:rPr>
          <w:rFonts w:ascii="Consolas" w:hAnsi="Consolas"/>
          <w:sz w:val="18"/>
        </w:rPr>
        <w:t>.\OPSCOE-ApplyStandards.ps1 -StampOwnership -OwnerMapCsv ".\coe-owner-map.csv" -WhatIf   # preview</w:t>
        <w:br/>
        <w:t>.\OPSCOE-ApplyStandards.ps1 -StampOwnership -OwnerMapCsv ".\coe-owner-map.csv" -Commit   # apply</w:t>
      </w:r>
    </w:p>
    <w:p>
      <w:r>
        <w:t xml:space="preserve">The script only writes the </w:t>
      </w:r>
      <w:r>
        <w:rPr>
          <w:rFonts w:ascii="Consolas" w:hAnsi="Consolas"/>
          <w:sz w:val="19"/>
        </w:rPr>
        <w:t>Comment</w:t>
      </w:r>
      <w:r>
        <w:t xml:space="preserve"> field (a non-disruptive metadata stamp of the form </w:t>
      </w:r>
      <w:r>
        <w:rPr>
          <w:rFonts w:ascii="Consolas" w:hAnsi="Consolas"/>
          <w:sz w:val="19"/>
        </w:rPr>
        <w:t>CoE-Owner=&lt;name&gt;; Review=&lt;date&gt;</w:t>
      </w:r>
      <w:r>
        <w:t xml:space="preserve">); it </w:t>
      </w:r>
      <w:r>
        <w:rPr>
          <w:b/>
        </w:rPr>
        <w:t>never</w:t>
      </w:r>
      <w:r>
        <w:t xml:space="preserve"> changes a policy's rules, scope, or enforcement state. It guards </w:t>
      </w:r>
      <w:r>
        <w:rPr>
          <w:rFonts w:ascii="Consolas" w:hAnsi="Consolas"/>
          <w:sz w:val="19"/>
        </w:rPr>
        <w:t>Get-Command</w:t>
      </w:r>
      <w:r>
        <w:t xml:space="preserve"> for each </w:t>
      </w:r>
      <w:r>
        <w:rPr>
          <w:rFonts w:ascii="Consolas" w:hAnsi="Consolas"/>
          <w:sz w:val="19"/>
        </w:rPr>
        <w:t>Set-*</w:t>
      </w:r>
      <w:r>
        <w:t xml:space="preserve"> cmdlet and skips capabilities that are unlicensed or lack a writable comment surface. </w:t>
      </w:r>
      <w:r>
        <w:rPr>
          <w:b/>
        </w:rPr>
        <w:t>Gate:</w:t>
      </w:r>
      <w:r>
        <w:t xml:space="preserve"> each stamped artifact's </w:t>
      </w:r>
      <w:r>
        <w:rPr>
          <w:rFonts w:ascii="Consolas" w:hAnsi="Consolas"/>
          <w:sz w:val="19"/>
        </w:rPr>
        <w:t>Comment</w:t>
      </w:r>
      <w:r>
        <w:t xml:space="preserve"> shows the owner/review tag; no rule/scope/enforcement value changed (re-run </w:t>
      </w:r>
      <w:r>
        <w:rPr>
          <w:rFonts w:ascii="Consolas" w:hAnsi="Consolas"/>
          <w:sz w:val="19"/>
        </w:rPr>
        <w:t>OPSCOE-Discovery.ps1</w:t>
      </w:r>
      <w:r>
        <w:t xml:space="preserve"> to confirm states are unchanged). </w:t>
      </w:r>
      <w:r>
        <w:rPr>
          <w:b/>
        </w:rPr>
        <w:t>Rollback:</w:t>
      </w:r>
      <w:r>
        <w:t xml:space="preserve"> the script records each prior </w:t>
      </w:r>
      <w:r>
        <w:rPr>
          <w:rFonts w:ascii="Consolas" w:hAnsi="Consolas"/>
          <w:sz w:val="19"/>
        </w:rPr>
        <w:t>Comment</w:t>
      </w:r>
      <w:r>
        <w:t xml:space="preserve"> value; re-run with </w:t>
      </w:r>
      <w:r>
        <w:rPr>
          <w:rFonts w:ascii="Consolas" w:hAnsi="Consolas"/>
          <w:sz w:val="19"/>
        </w:rPr>
        <w:t>-Restore</w:t>
      </w:r>
      <w:r>
        <w:t xml:space="preserve"> to revert the stamps.</w:t>
      </w:r>
    </w:p>
    <w:p>
      <w:pPr>
        <w:ind w:left="432"/>
      </w:pPr>
      <w:r>
        <w:rPr>
          <w:i/>
          <w:color w:val="2E86C1"/>
        </w:rPr>
        <w:t>The CoE never flips a policy to enforce. Enforcement remains a board-gated, intake-driven action performed in the portal after simulation passes — not something these scripts do.</w:t>
      </w:r>
    </w:p>
    <w:p>
      <w:r>
        <w:t>__________________________________________________</w:t>
      </w:r>
    </w:p>
    <w:p>
      <w:pPr>
        <w:pStyle w:val="Heading2"/>
      </w:pPr>
      <w:r>
        <w:t>Phase 3 — Pilot the intake gate (simulation/test)</w:t>
      </w:r>
    </w:p>
    <w:p>
      <w:pPr>
        <w:pStyle w:val="Heading3"/>
      </w:pPr>
      <w:r>
        <w:t>Step 3.1 — Take one artifact through intake in simulation</w:t>
      </w:r>
    </w:p>
    <w:p>
      <w:r>
        <w:t xml:space="preserve">Pick a low-risk </w:t>
      </w:r>
      <w:r>
        <w:rPr>
          <w:b/>
        </w:rPr>
        <w:t>pilot artifact</w:t>
      </w:r>
      <w:r>
        <w:t xml:space="preserve"> (</w:t>
      </w:r>
      <w:r>
        <w:rPr>
          <w:rFonts w:ascii="Consolas" w:hAnsi="Consolas"/>
          <w:sz w:val="19"/>
        </w:rPr>
        <w:t>Purview CoE Pilot – Stage1</w:t>
      </w:r>
      <w:r>
        <w:t xml:space="preserve">) — e.g. one DLP or auto-labeling policy — and run it through the full intake workflow </w:t>
      </w:r>
      <w:r>
        <w:rPr>
          <w:b/>
        </w:rPr>
        <w:t>in simulation/test mode</w:t>
      </w:r>
      <w:r>
        <w:t>:</w:t>
      </w:r>
    </w:p>
    <w:p>
      <w:pPr>
        <w:pStyle w:val="ListBullet"/>
      </w:pPr>
      <w:r>
        <w:rPr>
          <w:b/>
        </w:rPr>
        <w:t>DLP:</w:t>
      </w:r>
      <w:r>
        <w:t xml:space="preserve"> create/configure the policy with </w:t>
      </w:r>
      <w:r>
        <w:rPr>
          <w:b/>
        </w:rPr>
        <w:t>Test mode (with/without notifications)</w:t>
      </w:r>
      <w:r>
        <w:t xml:space="preserve"> — Purview portal</w:t>
      </w:r>
    </w:p>
    <w:p>
      <w:r>
        <w:t xml:space="preserve">  → </w:t>
      </w:r>
      <w:r>
        <w:rPr>
          <w:rFonts w:ascii="Consolas" w:hAnsi="Consolas"/>
          <w:sz w:val="19"/>
        </w:rPr>
        <w:t>Data loss prevention → Policies → New policy</w:t>
      </w:r>
      <w:r>
        <w:t xml:space="preserve"> → *"Test it out first"* (verify path/label in your   tenant). Do </w:t>
      </w:r>
      <w:r>
        <w:rPr>
          <w:b/>
        </w:rPr>
        <w:t>not</w:t>
      </w:r>
      <w:r>
        <w:t xml:space="preserve"> select *Turn it on right away*.</w:t>
      </w:r>
    </w:p>
    <w:p>
      <w:pPr>
        <w:pStyle w:val="ListBullet"/>
      </w:pPr>
      <w:r>
        <w:rPr>
          <w:b/>
        </w:rPr>
        <w:t>Auto-labeling:</w:t>
      </w:r>
      <w:r>
        <w:t xml:space="preserve"> create the policy in </w:t>
      </w:r>
      <w:r>
        <w:rPr>
          <w:b/>
        </w:rPr>
        <w:t>Simulation</w:t>
      </w:r>
      <w:r>
        <w:t xml:space="preserve"> — `Information protection → Auto-labeling →</w:t>
      </w:r>
    </w:p>
    <w:p>
      <w:r>
        <w:t xml:space="preserve">  New` → run in simulation before turning on.</w:t>
      </w:r>
    </w:p>
    <w:p>
      <w:pPr>
        <w:pStyle w:val="ListBullet"/>
      </w:pPr>
      <w:r>
        <w:rPr>
          <w:b/>
        </w:rPr>
        <w:t>Retention:</w:t>
      </w:r>
      <w:r>
        <w:t xml:space="preserve"> stage as </w:t>
      </w:r>
      <w:r>
        <w:rPr>
          <w:b/>
        </w:rPr>
        <w:t>disabled</w:t>
      </w:r>
      <w:r>
        <w:t>/adaptive-scope-limited before broad application.</w:t>
      </w:r>
    </w:p>
    <w:p>
      <w:r>
        <w:t>Name it to the standard (</w:t>
      </w:r>
      <w:r>
        <w:rPr>
          <w:rFonts w:ascii="Consolas" w:hAnsi="Consolas"/>
          <w:sz w:val="19"/>
        </w:rPr>
        <w:t>&lt;Purpose&gt; – &lt;Capability&gt; – Simulation</w:t>
      </w:r>
      <w:r>
        <w:t xml:space="preserve">), record the owner, and capture the simulation results as evidence. </w:t>
      </w:r>
      <w:r>
        <w:rPr>
          <w:b/>
        </w:rPr>
        <w:t>Gate:</w:t>
      </w:r>
      <w:r>
        <w:t xml:space="preserve"> the pilot artifact exists </w:t>
      </w:r>
      <w:r>
        <w:rPr>
          <w:b/>
        </w:rPr>
        <w:t>in simulation/test</w:t>
      </w:r>
      <w:r>
        <w:t xml:space="preserve">, is standard-named, has an owner, and has recorded simulation evidence — and it is </w:t>
      </w:r>
      <w:r>
        <w:rPr>
          <w:b/>
        </w:rPr>
        <w:t>not</w:t>
      </w:r>
      <w:r>
        <w:t xml:space="preserve"> enforced. </w:t>
      </w:r>
      <w:r>
        <w:rPr>
          <w:b/>
        </w:rPr>
        <w:t>Rollback:</w:t>
      </w:r>
      <w:r>
        <w:t xml:space="preserve"> delete the simulation policy (it changed nothing in enforce; simulation does not act on content).</w:t>
      </w:r>
    </w:p>
    <w:p>
      <w:pPr>
        <w:pStyle w:val="Heading3"/>
      </w:pPr>
      <w:r>
        <w:t>Step 3.2 — Board approval on the pilot</w:t>
      </w:r>
    </w:p>
    <w:p>
      <w:r>
        <w:t xml:space="preserve">Run the pilot through </w:t>
      </w:r>
      <w:r>
        <w:rPr>
          <w:b/>
        </w:rPr>
        <w:t>Triage → board approval</w:t>
      </w:r>
      <w:r>
        <w:t xml:space="preserve"> using the intake template; record the approval on </w:t>
      </w:r>
      <w:r>
        <w:rPr>
          <w:rFonts w:ascii="Consolas" w:hAnsi="Consolas"/>
          <w:sz w:val="19"/>
        </w:rPr>
        <w:t>Purview CoE Intake – Request</w:t>
      </w:r>
      <w:r>
        <w:t xml:space="preserve">. </w:t>
      </w:r>
      <w:r>
        <w:rPr>
          <w:b/>
        </w:rPr>
        <w:t>Gate:</w:t>
      </w:r>
      <w:r>
        <w:t xml:space="preserve"> the board approval is recorded before the pilot could ever be enforced.</w:t>
      </w:r>
    </w:p>
    <w:p>
      <w:r>
        <w:t>__________________________________________________</w:t>
      </w:r>
    </w:p>
    <w:p>
      <w:pPr>
        <w:pStyle w:val="Heading2"/>
      </w:pPr>
      <w:r>
        <w:t>Phase 4 — Validate (see the Testing Guide for full procedures)</w:t>
      </w:r>
    </w:p>
    <w:p>
      <w:pPr>
        <w:pStyle w:val="Heading3"/>
      </w:pPr>
      <w:r>
        <w:t>Step 4.1 — Validate every governance gate</w:t>
      </w:r>
    </w:p>
    <w:p>
      <w:r>
        <w:rPr>
          <w:rFonts w:ascii="Consolas" w:hAnsi="Consolas"/>
          <w:sz w:val="18"/>
        </w:rPr>
        <w:t>.\OPSCOE-Validate.ps1 -StandardsConfig ".\coe-standards.json" -Register ".\Purview-CoE-Register-Governed.csv" -OutPath ".\Purview-CoE-Lifecycle-Review.csv"</w:t>
      </w:r>
    </w:p>
    <w:p>
      <w:r>
        <w:t xml:space="preserve">Checks: </w:t>
      </w:r>
      <w:r>
        <w:rPr>
          <w:b/>
        </w:rPr>
        <w:t>naming conformance</w:t>
      </w:r>
      <w:r>
        <w:t xml:space="preserve"> of every artifact; </w:t>
      </w:r>
      <w:r>
        <w:rPr>
          <w:b/>
        </w:rPr>
        <w:t>every artifact has an owner</w:t>
      </w:r>
      <w:r>
        <w:t xml:space="preserve"> (register or stamped </w:t>
      </w:r>
      <w:r>
        <w:rPr>
          <w:rFonts w:ascii="Consolas" w:hAnsi="Consolas"/>
          <w:sz w:val="19"/>
        </w:rPr>
        <w:t>Comment</w:t>
      </w:r>
      <w:r>
        <w:t xml:space="preserve">) and a </w:t>
      </w:r>
      <w:r>
        <w:rPr>
          <w:b/>
        </w:rPr>
        <w:t>review date</w:t>
      </w:r>
      <w:r>
        <w:t xml:space="preserve">; </w:t>
      </w:r>
      <w:r>
        <w:rPr>
          <w:b/>
        </w:rPr>
        <w:t>no high-impact policy is enforced without recorded simulation evidence</w:t>
      </w:r>
      <w:r>
        <w:t xml:space="preserve">; </w:t>
      </w:r>
      <w:r>
        <w:rPr>
          <w:b/>
        </w:rPr>
        <w:t>separation of duties</w:t>
      </w:r>
      <w:r>
        <w:t xml:space="preserve"> intact (no board member in a conflicting investigative role); and the </w:t>
      </w:r>
      <w:r>
        <w:rPr>
          <w:b/>
        </w:rPr>
        <w:t>register reconciles</w:t>
      </w:r>
      <w:r>
        <w:t xml:space="preserve"> to the live tenant (no orphaned or unregistered artifacts). Output: </w:t>
      </w:r>
      <w:r>
        <w:rPr>
          <w:rFonts w:ascii="Consolas" w:hAnsi="Consolas"/>
          <w:sz w:val="19"/>
        </w:rPr>
        <w:t>Purview CoE Lifecycle – Review</w:t>
      </w:r>
      <w:r>
        <w:t xml:space="preserve"> with a per-artifact PASS/FAIL/WARN. </w:t>
      </w:r>
      <w:r>
        <w:rPr>
          <w:b/>
        </w:rPr>
        <w:t>Gate:</w:t>
      </w:r>
      <w:r>
        <w:t xml:space="preserve"> all gates PASS (WARN allowed only with a recorded, board-accepted exception). Any FAIL is remediated via intake before the estate is declared governed. </w:t>
      </w:r>
      <w:r>
        <w:rPr>
          <w:b/>
        </w:rPr>
        <w:t>Rollback:</w:t>
      </w:r>
      <w:r>
        <w:t xml:space="preserve"> none — read-only.</w:t>
      </w:r>
    </w:p>
    <w:p>
      <w:pPr>
        <w:pStyle w:val="Heading3"/>
      </w:pPr>
      <w:r>
        <w:t>Step 4.2 — Produce the governance scorecard</w:t>
      </w:r>
    </w:p>
    <w:p>
      <w:r>
        <w:rPr>
          <w:rFonts w:ascii="Consolas" w:hAnsi="Consolas"/>
          <w:sz w:val="18"/>
        </w:rPr>
        <w:t>.\OPSCOE-Register.ps1 -Register ".\Purview-CoE-Register-Governed.csv" -Validation ".\Purview-CoE-Lifecycle-Review.csv" -OutPath ".\Purview-CoE-Scorecard-Report.csv"</w:t>
      </w:r>
    </w:p>
    <w:p>
      <w:r>
        <w:t xml:space="preserve">Produces </w:t>
      </w:r>
      <w:r>
        <w:rPr>
          <w:rFonts w:ascii="Consolas" w:hAnsi="Consolas"/>
          <w:sz w:val="19"/>
        </w:rPr>
        <w:t>Purview CoE Scorecard – Report</w:t>
      </w:r>
      <w:r>
        <w:t xml:space="preserve">: counts by capability, % naming-conformant, % owned, % with review date, count enforced-without-evidence (target: 0), and the next-review-due list. </w:t>
      </w:r>
      <w:r>
        <w:rPr>
          <w:b/>
        </w:rPr>
        <w:t>Gate:</w:t>
      </w:r>
      <w:r>
        <w:t xml:space="preserve"> the scorecard is the board's standing artifact and the audit answer.</w:t>
      </w:r>
    </w:p>
    <w:p>
      <w:r>
        <w:t>__________________________________________________</w:t>
      </w:r>
    </w:p>
    <w:p>
      <w:pPr>
        <w:pStyle w:val="Heading2"/>
      </w:pPr>
      <w:r>
        <w:t>Phase 5 — Expand (run the CoE as a standing rhythm)</w:t>
      </w:r>
    </w:p>
    <w:p>
      <w:pPr>
        <w:pStyle w:val="Heading3"/>
      </w:pPr>
      <w:r>
        <w:t>Step 5.1 — Bring the full estate under the register and cadence</w:t>
      </w:r>
    </w:p>
    <w:p>
      <w:r>
        <w:t xml:space="preserve">Assign an owner and a review date to </w:t>
      </w:r>
      <w:r>
        <w:rPr>
          <w:b/>
        </w:rPr>
        <w:t>every</w:t>
      </w:r>
      <w:r>
        <w:t xml:space="preserve"> in-remit artifact (remediating non-conforming names via intake), register portal-only capabilities (insider risk) by attestation, and set the review cadence (default quarterly). </w:t>
      </w:r>
      <w:r>
        <w:rPr>
          <w:b/>
        </w:rPr>
        <w:t>Gate:</w:t>
      </w:r>
      <w:r>
        <w:t xml:space="preserve"> 100% of in-remit artifacts owned and review-dated in the register.</w:t>
      </w:r>
    </w:p>
    <w:p>
      <w:pPr>
        <w:pStyle w:val="Heading3"/>
      </w:pPr>
      <w:r>
        <w:t>Step 5.2 — Operate intake, lifecycle review, and drift detection</w:t>
      </w:r>
    </w:p>
    <w:p>
      <w:pPr>
        <w:pStyle w:val="ListBullet"/>
      </w:pPr>
      <w:r>
        <w:rPr>
          <w:b/>
        </w:rPr>
        <w:t>Intake:</w:t>
      </w:r>
      <w:r>
        <w:t xml:space="preserve"> every new label/DLP/retention/auto-label/insider-risk request enters via the workflow;</w:t>
      </w:r>
    </w:p>
    <w:p>
      <w:r>
        <w:t xml:space="preserve">  nothing reaches enforce without simulation evidence and board approval.</w:t>
      </w:r>
    </w:p>
    <w:p>
      <w:pPr>
        <w:pStyle w:val="ListBullet"/>
      </w:pPr>
      <w:r>
        <w:rPr>
          <w:b/>
        </w:rPr>
        <w:t>Lifecycle review:</w:t>
      </w:r>
      <w:r>
        <w:t xml:space="preserve"> on the cadence, re-run </w:t>
      </w:r>
      <w:r>
        <w:rPr>
          <w:rFonts w:ascii="Consolas" w:hAnsi="Consolas"/>
          <w:sz w:val="19"/>
        </w:rPr>
        <w:t>OPSCOE-Discovery.ps1</w:t>
      </w:r>
      <w:r>
        <w:t xml:space="preserve"> + </w:t>
      </w:r>
      <w:r>
        <w:rPr>
          <w:rFonts w:ascii="Consolas" w:hAnsi="Consolas"/>
          <w:sz w:val="19"/>
        </w:rPr>
        <w:t>OPSCOE-Validate.ps1</w:t>
      </w:r>
      <w:r>
        <w:t xml:space="preserve"> and review</w:t>
      </w:r>
    </w:p>
    <w:p>
      <w:r>
        <w:t xml:space="preserve">  the </w:t>
      </w:r>
      <w:r>
        <w:rPr>
          <w:rFonts w:ascii="Consolas" w:hAnsi="Consolas"/>
          <w:sz w:val="19"/>
        </w:rPr>
        <w:t>Purview CoE Lifecycle – Review</w:t>
      </w:r>
      <w:r>
        <w:t xml:space="preserve"> output at the board; decommission orphaned/unowned artifacts   under change control (identify → confirm owner → disable → remove).</w:t>
      </w:r>
    </w:p>
    <w:p>
      <w:pPr>
        <w:pStyle w:val="ListBullet"/>
      </w:pPr>
      <w:r>
        <w:rPr>
          <w:b/>
        </w:rPr>
        <w:t>Drift detection:</w:t>
      </w:r>
      <w:r>
        <w:t xml:space="preserve"> compare each cadence's discovery against the registered baseline; new, changed,</w:t>
      </w:r>
    </w:p>
    <w:p>
      <w:r>
        <w:t xml:space="preserve">  or orphaned artifacts are flagged and routed to intake. </w:t>
      </w:r>
      <w:r>
        <w:rPr>
          <w:b/>
        </w:rPr>
        <w:t>Gate:</w:t>
      </w:r>
      <w:r>
        <w:t xml:space="preserve"> each review cycle closes with an updated register, an updated scorecard, and zero enforced-without-evidence artifacts.</w:t>
      </w:r>
    </w:p>
    <w:p>
      <w:r>
        <w:t>__________________________________________________</w:t>
      </w:r>
    </w:p>
    <w:p>
      <w:pPr>
        <w:pStyle w:val="Heading2"/>
      </w:pPr>
      <w:r>
        <w:t>Rollback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Reverse</w:t>
            </w:r>
          </w:p>
        </w:tc>
      </w:tr>
      <w:tr>
        <w:tc>
          <w:tcPr>
            <w:tcW w:type="dxa" w:w="4320"/>
          </w:tcPr>
          <w:p>
            <w:r>
              <w:t>Role-group membership added (2.2)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OPSCOE-ApplyStandards.ps1</w:t>
            </w:r>
            <w:r>
              <w:t xml:space="preserve"> printed </w:t>
            </w:r>
            <w:r>
              <w:rPr>
                <w:rFonts w:ascii="Consolas" w:hAnsi="Consolas"/>
                <w:sz w:val="19"/>
              </w:rPr>
              <w:t>Remove-RoleGroupMember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Remove-RoleGroup</w:t>
            </w:r>
            <w:r>
              <w:t xml:space="preserve"> reverse commands</w:t>
            </w:r>
          </w:p>
        </w:tc>
      </w:tr>
      <w:tr>
        <w:tc>
          <w:tcPr>
            <w:tcW w:type="dxa" w:w="4320"/>
          </w:tcPr>
          <w:p>
            <w:r>
              <w:t xml:space="preserve">Ownership/standard </w:t>
            </w:r>
            <w:r>
              <w:rPr>
                <w:rFonts w:ascii="Consolas" w:hAnsi="Consolas"/>
                <w:sz w:val="19"/>
              </w:rPr>
              <w:t>Comment</w:t>
            </w:r>
            <w:r>
              <w:t xml:space="preserve"> stamp (2.3)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OPSCOE-ApplyStandards.ps1 -Restore</w:t>
            </w:r>
            <w:r>
              <w:t xml:space="preserve"> (reverts to recorded prior </w:t>
            </w:r>
            <w:r>
              <w:rPr>
                <w:rFonts w:ascii="Consolas" w:hAnsi="Consolas"/>
                <w:sz w:val="19"/>
              </w:rPr>
              <w:t>Comment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Pilot simulation policy (3.1)</w:t>
            </w:r>
          </w:p>
        </w:tc>
        <w:tc>
          <w:tcPr>
            <w:tcW w:type="dxa" w:w="4320"/>
          </w:tcPr>
          <w:p>
            <w:r>
              <w:t>Delete the simulation/test policy (no content was acted on)</w:t>
            </w:r>
          </w:p>
        </w:tc>
      </w:tr>
      <w:tr>
        <w:tc>
          <w:tcPr>
            <w:tcW w:type="dxa" w:w="4320"/>
          </w:tcPr>
          <w:p>
            <w:r>
              <w:t>Register/scorecard files (0.2, 4.x)</w:t>
            </w:r>
          </w:p>
        </w:tc>
        <w:tc>
          <w:tcPr>
            <w:tcW w:type="dxa" w:w="4320"/>
          </w:tcPr>
          <w:p>
            <w:r>
              <w:t>Delete the CSVs — read-only artifacts</w:t>
            </w:r>
          </w:p>
        </w:tc>
      </w:tr>
    </w:tbl>
    <w:p>
      <w:r>
        <w:t>No step in this guide enforces a Purview policy, changes a policy's rules or scope, or makes a regulatory/records/legal determination. Enforcement is always a separate, board-gated, intake-driven portal action taken after simulation passes.</w:t>
      </w:r>
    </w:p>
    <w:p>
      <w:pPr>
        <w:pStyle w:val="Heading1"/>
      </w:pPr>
      <w:r>
        <w:t>5. Testing &amp; Validation Guide — Microsoft Purview Center of Excellence</w:t>
      </w:r>
    </w:p>
    <w:p>
      <w:r>
        <w:t xml:space="preserve">Every governance gate has a </w:t>
      </w:r>
      <w:r>
        <w:rPr>
          <w:b/>
        </w:rPr>
        <w:t>pass/fail</w:t>
      </w:r>
      <w:r>
        <w:t xml:space="preserve"> test. Run these after Phase 2 (Configure) and again on every lifecycle review cycle. Read-only scripts are safe to re-run at any time; nothing here enforces a policy. Record results on </w:t>
      </w:r>
      <w:r>
        <w:rPr>
          <w:rFonts w:ascii="Consolas" w:hAnsi="Consolas"/>
          <w:sz w:val="19"/>
        </w:rPr>
        <w:t>Purview CoE Lifecycle – Review</w:t>
      </w:r>
      <w:r>
        <w:t xml:space="preserve"> and roll the summary into </w:t>
      </w:r>
      <w:r>
        <w:rPr>
          <w:rFonts w:ascii="Consolas" w:hAnsi="Consolas"/>
          <w:sz w:val="19"/>
        </w:rPr>
        <w:t>Purview CoE Scorecard – Report</w:t>
      </w:r>
      <w:r>
        <w:t>.</w:t>
      </w:r>
    </w:p>
    <w:p>
      <w:pPr>
        <w:ind w:left="432"/>
      </w:pPr>
      <w:r>
        <w:rPr>
          <w:i/>
          <w:color w:val="2E86C1"/>
        </w:rPr>
        <w:t>What "pass" means for a governance CoE. The CoE is validated when the *operating model* holds: the board is least-privilege and separated, every governed artifact is named to standard, owned, and review-dated, no high-impact policy is enforced without simulation evidence, and the register reconciles to the live tenant. The CoE does not validate the correctness of a policy's regulatory content — that is the stakeholders' determination.</w:t>
      </w:r>
    </w:p>
    <w:p>
      <w:r>
        <w:t>__________________________________________________</w:t>
      </w:r>
    </w:p>
    <w:p>
      <w:pPr>
        <w:pStyle w:val="Heading2"/>
      </w:pPr>
      <w:r>
        <w:t>Test 1 — Scope and toolchain (Requirement 2.1–2.4)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.\OPSCOE-ScopeCheck.ps1 -UseGraph</w:t>
      </w:r>
      <w:r>
        <w:t xml:space="preserve"> </w:t>
      </w:r>
      <w:r>
        <w:rPr>
          <w:b/>
        </w:rPr>
        <w:t>Pass:</w:t>
      </w:r>
      <w:r>
        <w:t xml:space="preserve"> sign-in OK; the in-remit capability list matches the agreed remit; unlicensed/portal-only capabilities are correctly flagged. </w:t>
      </w:r>
      <w:r>
        <w:rPr>
          <w:b/>
        </w:rPr>
        <w:t>Fail:</w:t>
      </w:r>
      <w:r>
        <w:t xml:space="preserve"> any capability you intend to govern is not visible → resolve licensing/roles (2.1–2.2) and re-run.</w:t>
      </w:r>
    </w:p>
    <w:p>
      <w:pPr>
        <w:pStyle w:val="Heading2"/>
      </w:pPr>
      <w:r>
        <w:t>Test 2 — Estate inventory completeness (Requirement 2.8)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.\OPSCOE-Discovery.ps1</w:t>
      </w:r>
      <w:r>
        <w:t xml:space="preserve"> </w:t>
      </w:r>
      <w:r>
        <w:rPr>
          <w:b/>
        </w:rPr>
        <w:t>Pass:</w:t>
      </w:r>
      <w:r>
        <w:t xml:space="preserve"> the inventory enumerates every licensed+readable governed capability; portal-only capabilities are flagged for attestation; the artifact count and non-conforming-name list are recorded. </w:t>
      </w:r>
      <w:r>
        <w:rPr>
          <w:b/>
        </w:rPr>
        <w:t>Fail:</w:t>
      </w:r>
      <w:r>
        <w:t xml:space="preserve"> an in-remit, licensed capability returns no data because of a missing read role → assign the least-privilege read role and re-run.</w:t>
      </w:r>
    </w:p>
    <w:p>
      <w:pPr>
        <w:pStyle w:val="Heading2"/>
      </w:pPr>
      <w:r>
        <w:t>Test 3 — Board least-privilege and separation of duties (Requirement 2.5)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Get-RoleGroupMember</w:t>
      </w:r>
      <w:r>
        <w:t xml:space="preserve"> for each seat (or re-run </w:t>
      </w:r>
      <w:r>
        <w:rPr>
          <w:rFonts w:ascii="Consolas" w:hAnsi="Consolas"/>
          <w:sz w:val="19"/>
        </w:rPr>
        <w:t>.\OPSCOE-ApplyStandards.ps1 -WhatIf</w:t>
      </w:r>
      <w:r>
        <w:t xml:space="preserve"> to diff intent vs live), and </w:t>
      </w:r>
      <w:r>
        <w:rPr>
          <w:rFonts w:ascii="Consolas" w:hAnsi="Consolas"/>
          <w:sz w:val="19"/>
        </w:rPr>
        <w:t>.\OPSCOE-Validate.ps1</w:t>
      </w:r>
      <w:r>
        <w:t xml:space="preserve"> (separation check). </w:t>
      </w:r>
      <w:r>
        <w:rPr>
          <w:b/>
        </w:rPr>
        <w:t>Pass:</w:t>
      </w:r>
      <w:r>
        <w:t xml:space="preserve"> each role group resolves to exactly the named members from the charter; </w:t>
      </w:r>
      <w:r>
        <w:rPr>
          <w:b/>
        </w:rPr>
        <w:t>no</w:t>
      </w:r>
      <w:r>
        <w:t xml:space="preserve"> board member holds both governance administration and an investigative role (insider risk / communication compliance / eDiscovery); investigative role membership is minimal and named. </w:t>
      </w:r>
      <w:r>
        <w:rPr>
          <w:b/>
        </w:rPr>
        <w:t>Fail:</w:t>
      </w:r>
      <w:r>
        <w:t xml:space="preserve"> an unexpected member, or a chair/compliance-admin account also in an investigative role → correct membership via the matrix and re-run </w:t>
      </w:r>
      <w:r>
        <w:rPr>
          <w:rFonts w:ascii="Consolas" w:hAnsi="Consolas"/>
          <w:sz w:val="19"/>
        </w:rPr>
        <w:t>-WhatIf</w:t>
      </w:r>
      <w:r>
        <w:t xml:space="preserve"> then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Test 4 — Naming-standard conformance (Requirement 2.6)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.\OPSCOE-Validate.ps1 -StandardsConfig .\coe-standards.json -Register .\Purview-CoE-Register-Governed.csv</w:t>
      </w:r>
      <w:r>
        <w:t xml:space="preserve"> </w:t>
      </w:r>
      <w:r>
        <w:rPr>
          <w:b/>
        </w:rPr>
        <w:t>Pass:</w:t>
      </w:r>
      <w:r>
        <w:t xml:space="preserve"> every governed artifact name matches the standard pattern </w:t>
      </w:r>
      <w:r>
        <w:rPr>
          <w:rFonts w:ascii="Consolas" w:hAnsi="Consolas"/>
          <w:sz w:val="19"/>
        </w:rPr>
        <w:t>&lt;Purpose&gt; – &lt;Capability&gt; – &lt;State&gt;</w:t>
      </w:r>
      <w:r>
        <w:t xml:space="preserve"> (or is on a recorded, board-accepted remediation list). </w:t>
      </w:r>
      <w:r>
        <w:rPr>
          <w:b/>
        </w:rPr>
        <w:t>Fail:</w:t>
      </w:r>
      <w:r>
        <w:t xml:space="preserve"> any non-conforming name not on the remediation list → route through intake to rename (recreate under the standard; retiring the old artifact via change control) and re-run.</w:t>
      </w:r>
    </w:p>
    <w:p>
      <w:pPr>
        <w:pStyle w:val="Heading2"/>
      </w:pPr>
      <w:r>
        <w:t>Test 5 — Ownership and review-date coverage (Requirement 2.6)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.\OPSCOE-Validate.ps1</w:t>
      </w:r>
      <w:r>
        <w:t xml:space="preserve"> (ownership + review-date checks) </w:t>
      </w:r>
      <w:r>
        <w:rPr>
          <w:b/>
        </w:rPr>
        <w:t>Pass:</w:t>
      </w:r>
      <w:r>
        <w:t xml:space="preserve"> 100% of in-remit artifacts have a named owner (register or stamped </w:t>
      </w:r>
      <w:r>
        <w:rPr>
          <w:rFonts w:ascii="Consolas" w:hAnsi="Consolas"/>
          <w:sz w:val="19"/>
        </w:rPr>
        <w:t>Comment</w:t>
      </w:r>
      <w:r>
        <w:t xml:space="preserve">) and a review date within the cadence window. </w:t>
      </w:r>
      <w:r>
        <w:rPr>
          <w:b/>
        </w:rPr>
        <w:t>Fail:</w:t>
      </w:r>
      <w:r>
        <w:t xml:space="preserve"> any orphaned (no owner) or overdue artifact → assign an owner / schedule review, or route to decommission if genuinely orphaned.</w:t>
      </w:r>
    </w:p>
    <w:p>
      <w:pPr>
        <w:pStyle w:val="Heading2"/>
      </w:pPr>
      <w:r>
        <w:t>Test 6 — Simulation-first gate (Requirement 2.10, the highest-value test)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.\OPSCOE-Validate.ps1</w:t>
      </w:r>
      <w:r>
        <w:t xml:space="preserve"> (enforced-without-evidence check) — cross-references each </w:t>
      </w:r>
      <w:r>
        <w:rPr>
          <w:b/>
        </w:rPr>
        <w:t>enforced</w:t>
      </w:r>
      <w:r>
        <w:t xml:space="preserve"> high-impact policy (DLP, auto-labeling, retention, insider risk) against a recorded simulation-evidence entry. </w:t>
      </w:r>
      <w:r>
        <w:rPr>
          <w:b/>
        </w:rPr>
        <w:t>Pass:</w:t>
      </w:r>
      <w:r>
        <w:t xml:space="preserve"> </w:t>
      </w:r>
      <w:r>
        <w:rPr>
          <w:b/>
        </w:rPr>
        <w:t>zero</w:t>
      </w:r>
      <w:r>
        <w:t xml:space="preserve"> enforced high-impact policies lack recorded simulation/test evidence and board approval. </w:t>
      </w:r>
      <w:r>
        <w:rPr>
          <w:b/>
        </w:rPr>
        <w:t>Fail:</w:t>
      </w:r>
      <w:r>
        <w:t xml:space="preserve"> any enforced policy with no simulation evidence → treat as a governance incident: record it, have the owner produce/attach evidence retroactively, and add the gap to the board review. (You do not disable a live control blindly — that itself is a change; route the remediation through intake.)</w:t>
      </w:r>
    </w:p>
    <w:p>
      <w:pPr>
        <w:pStyle w:val="Heading2"/>
      </w:pPr>
      <w:r>
        <w:t>Test 7 — Intake gate end-to-end on the pilot (Requirement 2.10)</w:t>
      </w:r>
    </w:p>
    <w:p>
      <w:r>
        <w:rPr>
          <w:b/>
        </w:rPr>
        <w:t>Procedure:</w:t>
      </w:r>
      <w:r>
        <w:t xml:space="preserve"> Verify </w:t>
      </w:r>
      <w:r>
        <w:rPr>
          <w:rFonts w:ascii="Consolas" w:hAnsi="Consolas"/>
          <w:sz w:val="19"/>
        </w:rPr>
        <w:t>Purview CoE Pilot – Stage1</w:t>
      </w:r>
      <w:r>
        <w:t xml:space="preserve"> went Request → simulation → validate → board approval, with the artifact </w:t>
      </w:r>
      <w:r>
        <w:rPr>
          <w:b/>
        </w:rPr>
        <w:t>in simulation/test</w:t>
      </w:r>
      <w:r>
        <w:t xml:space="preserve"> (not enforced) and evidence recorded. </w:t>
      </w:r>
      <w:r>
        <w:rPr>
          <w:b/>
        </w:rPr>
        <w:t>Pass:</w:t>
      </w:r>
      <w:r>
        <w:t xml:space="preserve"> the pilot demonstrates the full gate; the board approval predates any possible enforcement. </w:t>
      </w:r>
      <w:r>
        <w:rPr>
          <w:b/>
        </w:rPr>
        <w:t>Fail:</w:t>
      </w:r>
      <w:r>
        <w:t xml:space="preserve"> any stage skipped (no simulation, no approval record) → the gate is not yet trustworthy; re-run the pilot correctly before governing the estate.</w:t>
      </w:r>
    </w:p>
    <w:p>
      <w:pPr>
        <w:pStyle w:val="Heading2"/>
      </w:pPr>
      <w:r>
        <w:t>Test 8 — Register reconciles to the live tenant (drift)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.\OPSCOE-Validate.ps1</w:t>
      </w:r>
      <w:r>
        <w:t xml:space="preserve"> (reconciliation) — diffs the register against a fresh </w:t>
      </w:r>
      <w:r>
        <w:rPr>
          <w:rFonts w:ascii="Consolas" w:hAnsi="Consolas"/>
          <w:sz w:val="19"/>
        </w:rPr>
        <w:t>OPSCOE-Discovery.ps1</w:t>
      </w:r>
      <w:r>
        <w:t xml:space="preserve"> run. </w:t>
      </w:r>
      <w:r>
        <w:rPr>
          <w:b/>
        </w:rPr>
        <w:t>Pass:</w:t>
      </w:r>
      <w:r>
        <w:t xml:space="preserve"> no unregistered artifacts in the tenant and no registered artifacts missing from the tenant; any delta is explained (new intake, approved decommission). </w:t>
      </w:r>
      <w:r>
        <w:rPr>
          <w:b/>
        </w:rPr>
        <w:t>Fail:</w:t>
      </w:r>
      <w:r>
        <w:t xml:space="preserve"> an artifact exists in the tenant but not the register (drift / out-of-band change) → route to intake and register it; an artifact in the register is gone from the tenant → confirm approved decommission or investigate.</w:t>
      </w:r>
    </w:p>
    <w:p>
      <w:pPr>
        <w:pStyle w:val="Heading2"/>
      </w:pPr>
      <w:r>
        <w:t>Test 9 — Scorecard produced and reconciles (Requirement 2.9)</w:t>
      </w:r>
    </w:p>
    <w:p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.\OPSCOE-Register.ps1 -Register ... -Validation ...</w:t>
      </w:r>
      <w:r>
        <w:t xml:space="preserve"> </w:t>
      </w: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Purview CoE Scorecard – Report</w:t>
      </w:r>
      <w:r>
        <w:t xml:space="preserve"> produces counts by capability, % naming-conformant, % owned, % review-dated, enforced-without-evidence = 0, and a next-review-due list — and the totals reconcile to the discovery count. </w:t>
      </w:r>
      <w:r>
        <w:rPr>
          <w:b/>
        </w:rPr>
        <w:t>Fail:</w:t>
      </w:r>
      <w:r>
        <w:t xml:space="preserve"> totals do not reconcile → re-run discovery/validation and rebuild before the board review.</w:t>
      </w:r>
    </w:p>
    <w:p>
      <w:r>
        <w:t>__________________________________________________</w:t>
      </w:r>
    </w:p>
    <w:p>
      <w:pPr>
        <w:pStyle w:val="Heading2"/>
      </w:pPr>
      <w:r>
        <w:t>Regression / cadence checklist (run every review cycle)</w:t>
      </w:r>
    </w:p>
    <w:p>
      <w:pPr>
        <w:pStyle w:val="ListBullet"/>
      </w:pPr>
      <w:r>
        <w:t>Test 1 scope/toolchain — pass</w:t>
      </w:r>
    </w:p>
    <w:p>
      <w:pPr>
        <w:pStyle w:val="ListBullet"/>
      </w:pPr>
      <w:r>
        <w:t>Test 2 inventory complete — pass</w:t>
      </w:r>
    </w:p>
    <w:p>
      <w:pPr>
        <w:pStyle w:val="ListBullet"/>
      </w:pPr>
      <w:r>
        <w:t>Test 3 board least-privilege + separation — pass</w:t>
      </w:r>
    </w:p>
    <w:p>
      <w:pPr>
        <w:pStyle w:val="ListBullet"/>
      </w:pPr>
      <w:r>
        <w:t>Test 4 naming conformance — pass (or remediation list current)</w:t>
      </w:r>
    </w:p>
    <w:p>
      <w:pPr>
        <w:pStyle w:val="ListBullet"/>
      </w:pPr>
      <w:r>
        <w:t>Test 5 ownership + review-date coverage 100%</w:t>
      </w:r>
    </w:p>
    <w:p>
      <w:pPr>
        <w:pStyle w:val="ListBullet"/>
      </w:pPr>
      <w:r>
        <w:t xml:space="preserve">Test 6 simulation-first gate — </w:t>
      </w:r>
      <w:r>
        <w:rPr>
          <w:b/>
        </w:rPr>
        <w:t>enforced-without-evidence = 0</w:t>
      </w:r>
    </w:p>
    <w:p>
      <w:pPr>
        <w:pStyle w:val="ListBullet"/>
      </w:pPr>
      <w:r>
        <w:t>Test 7 intake gate proven (pilot / latest change)</w:t>
      </w:r>
    </w:p>
    <w:p>
      <w:pPr>
        <w:pStyle w:val="ListBullet"/>
      </w:pPr>
      <w:r>
        <w:t>Test 8 register reconciles (no unexplained drift)</w:t>
      </w:r>
    </w:p>
    <w:p>
      <w:pPr>
        <w:pStyle w:val="ListBullet"/>
      </w:pPr>
      <w:r>
        <w:t>Test 9 scorecard produced and reconciles</w:t>
      </w:r>
    </w:p>
    <w:p>
      <w:pPr>
        <w:pStyle w:val="ListBullet"/>
      </w:pPr>
      <w:r>
        <w:rPr>
          <w:rFonts w:ascii="Consolas" w:hAnsi="Consolas"/>
          <w:sz w:val="19"/>
        </w:rPr>
        <w:t>Purview CoE Lifecycle – Review</w:t>
      </w:r>
      <w:r>
        <w:t xml:space="preserve"> + </w:t>
      </w:r>
      <w:r>
        <w:rPr>
          <w:rFonts w:ascii="Consolas" w:hAnsi="Consolas"/>
          <w:sz w:val="19"/>
        </w:rPr>
        <w:t>Purview CoE Scorecard – Report</w:t>
      </w:r>
      <w:r>
        <w:t xml:space="preserve"> filed with the board</w:t>
      </w:r>
    </w:p>
    <w:p>
      <w:pPr>
        <w:pStyle w:val="Heading1"/>
      </w:pPr>
      <w:r>
        <w:t>6. Troubleshooting — Microsoft Purview Center of Excellence</w:t>
      </w:r>
    </w:p>
    <w:p>
      <w:r>
        <w:t xml:space="preserve">The failure modes that make a Purview </w:t>
      </w:r>
      <w:r>
        <w:rPr>
          <w:b/>
        </w:rPr>
        <w:t>CoE stall, over-reach, or fail its own audit</w:t>
      </w:r>
      <w:r>
        <w:t xml:space="preserve"> — plus the role-group, ownership-stamp, validation, and reconciliation issues you'll hit standing up and running the operating model. Each: </w:t>
      </w:r>
      <w:r>
        <w:rPr>
          <w:b/>
        </w:rPr>
        <w:t>symptom → likely cause → fix.</w:t>
      </w:r>
      <w:r>
        <w:t xml:space="preserve"> The CoE governs the *operating model* (board, standards, intake, lifecycle); it </w:t>
      </w:r>
      <w:r>
        <w:rPr>
          <w:b/>
        </w:rPr>
        <w:t>never flips a policy to enforce</w:t>
      </w:r>
      <w:r>
        <w:t xml:space="preserve"> and makes </w:t>
      </w:r>
      <w:r>
        <w:rPr>
          <w:b/>
        </w:rPr>
        <w:t>no</w:t>
      </w:r>
      <w:r>
        <w:t xml:space="preserve"> retention/records/ legal or insider-risk determination — those are deferred. Every write tool previews with </w:t>
      </w:r>
      <w:r>
        <w:rPr>
          <w:rFonts w:ascii="Consolas" w:hAnsi="Consolas"/>
          <w:sz w:val="19"/>
        </w:rPr>
        <w:t>-WhatIf</w:t>
      </w:r>
      <w:r>
        <w:t xml:space="preserve"> first.</w:t>
      </w:r>
    </w:p>
    <w:p>
      <w:pPr>
        <w:pStyle w:val="Heading2"/>
      </w:pPr>
      <w:r>
        <w:t>`OPSCOE-ScopeCheck.ps1` can't see a capability you intend to govern</w:t>
      </w:r>
    </w:p>
    <w:p>
      <w:pPr>
        <w:pStyle w:val="ListBullet"/>
      </w:pPr>
      <w:r>
        <w:rPr>
          <w:b/>
        </w:rPr>
        <w:t>Cause:</w:t>
      </w:r>
      <w:r>
        <w:t xml:space="preserve"> the capability is unlicensed, or portal-only in your tenant (insider risk especially).</w:t>
      </w:r>
    </w:p>
    <w:p>
      <w:pPr>
        <w:pStyle w:val="ListBullet"/>
      </w:pPr>
      <w:r>
        <w:rPr>
          <w:b/>
        </w:rPr>
        <w:t>Fix:</w:t>
      </w:r>
      <w:r>
        <w:t xml:space="preserve"> confirm the SKU (Requirement 2.1). If genuinely portal-only, govern it by </w:t>
      </w:r>
      <w:r>
        <w:rPr>
          <w:b/>
        </w:rPr>
        <w:t>attestation</w:t>
      </w:r>
      <w:r>
        <w:t xml:space="preserve"> — a</w:t>
      </w:r>
    </w:p>
    <w:p>
      <w:r>
        <w:t xml:space="preserve">  register row with a named owner and review date — rather than inventing a cmdlet. The gate FAILS only for   a capability you intend to govern that you also can't see with a correct license/role.</w:t>
      </w:r>
    </w:p>
    <w:p>
      <w:pPr>
        <w:pStyle w:val="Heading2"/>
      </w:pPr>
      <w:r>
        <w:t>`OPSCOE-ApplyStandards.ps1 -RoleMatrixCsv` prints `[MISSING] role group`</w:t>
      </w:r>
    </w:p>
    <w:p>
      <w:pPr>
        <w:pStyle w:val="ListBullet"/>
      </w:pPr>
      <w:r>
        <w:rPr>
          <w:b/>
        </w:rPr>
        <w:t>Cause:</w:t>
      </w:r>
      <w:r>
        <w:t xml:space="preserve"> the role-group name in the matrix doesn't exist — Purview role-group names </w:t>
      </w:r>
      <w:r>
        <w:rPr>
          <w:b/>
        </w:rPr>
        <w:t>evolve</w:t>
      </w:r>
      <w:r>
        <w:t xml:space="preserve"> and many</w:t>
      </w:r>
    </w:p>
    <w:p>
      <w:r>
        <w:t xml:space="preserve">  tenants use </w:t>
      </w:r>
      <w:r>
        <w:rPr>
          <w:b/>
        </w:rPr>
        <w:t>unified Purview RBAC</w:t>
      </w:r>
      <w:r>
        <w:t xml:space="preserve"> with different names.</w:t>
      </w:r>
    </w:p>
    <w:p>
      <w:pPr>
        <w:pStyle w:val="ListBullet"/>
      </w:pPr>
      <w:r>
        <w:rPr>
          <w:b/>
        </w:rPr>
        <w:t>Fix:</w:t>
      </w:r>
      <w:r>
        <w:t xml:space="preserve"> verify the current name in </w:t>
      </w:r>
      <w:r>
        <w:rPr>
          <w:b/>
        </w:rPr>
        <w:t>Settings → Roles &amp; scopes → Permissions</w:t>
      </w:r>
      <w:r>
        <w:t>; fix the matrix. To create</w:t>
      </w:r>
    </w:p>
    <w:p>
      <w:r>
        <w:t xml:space="preserve">  a *custom scoped* group deliberately, mark the row </w:t>
      </w:r>
      <w:r>
        <w:rPr>
          <w:rFonts w:ascii="Consolas" w:hAnsi="Consolas"/>
          <w:sz w:val="19"/>
        </w:rPr>
        <w:t>Custom=Yes</w:t>
      </w:r>
      <w:r>
        <w:t xml:space="preserve"> (the tool then </w:t>
      </w:r>
      <w:r>
        <w:rPr>
          <w:rFonts w:ascii="Consolas" w:hAnsi="Consolas"/>
          <w:sz w:val="19"/>
        </w:rPr>
        <w:t>New-RoleGroup</w:t>
      </w:r>
      <w:r>
        <w:t>s it). Do   not guess built-in names.</w:t>
      </w:r>
    </w:p>
    <w:p>
      <w:pPr>
        <w:pStyle w:val="Heading2"/>
      </w:pPr>
      <w:r>
        <w:t>The preview would add someone to an investigative role</w:t>
      </w:r>
    </w:p>
    <w:p>
      <w:pPr>
        <w:pStyle w:val="ListBullet"/>
      </w:pPr>
      <w:r>
        <w:rPr>
          <w:b/>
        </w:rPr>
        <w:t>Cause:</w:t>
      </w:r>
      <w:r>
        <w:t xml:space="preserve"> the matrix grants Insider Risk / Communication Compliance / eDiscovery to a member not named in</w:t>
      </w:r>
    </w:p>
    <w:p>
      <w:r>
        <w:t xml:space="preserve">  the charter.</w:t>
      </w:r>
    </w:p>
    <w:p>
      <w:pPr>
        <w:pStyle w:val="ListBullet"/>
      </w:pPr>
      <w:r>
        <w:rPr>
          <w:b/>
        </w:rPr>
        <w:t>Fix:</w:t>
      </w:r>
      <w:r>
        <w:t xml:space="preserve"> the </w:t>
      </w:r>
      <w:r>
        <w:rPr>
          <w:rFonts w:ascii="Consolas" w:hAnsi="Consolas"/>
          <w:sz w:val="19"/>
        </w:rPr>
        <w:t>[WARN] … INVESTIGATIVE role</w:t>
      </w:r>
      <w:r>
        <w:t xml:space="preserve"> line is the gate — </w:t>
      </w:r>
      <w:r>
        <w:rPr>
          <w:b/>
        </w:rPr>
        <w:t>STOP</w:t>
      </w:r>
      <w:r>
        <w:t xml:space="preserve"> and confirm the member is named in</w:t>
      </w:r>
    </w:p>
    <w:p>
      <w:r>
        <w:t xml:space="preserve">  the CoE charter and that separation of duties holds (investigative seats separate from the chair/compliance   administration seat). Correct the matrix before </w:t>
      </w:r>
      <w:r>
        <w:rPr>
          <w:rFonts w:ascii="Consolas" w:hAnsi="Consolas"/>
          <w:sz w:val="19"/>
        </w:rPr>
        <w:t>-Commit</w:t>
      </w:r>
      <w:r>
        <w:t>.</w:t>
      </w:r>
    </w:p>
    <w:p>
      <w:pPr>
        <w:pStyle w:val="Heading2"/>
      </w:pPr>
      <w:r>
        <w:t>The ownership stamp changed (or seems to have changed) a policy</w:t>
      </w:r>
    </w:p>
    <w:p>
      <w:pPr>
        <w:pStyle w:val="ListBullet"/>
      </w:pPr>
      <w:r>
        <w:rPr>
          <w:b/>
        </w:rPr>
        <w:t>Cause:</w:t>
      </w:r>
      <w:r>
        <w:t xml:space="preserve"> concern that </w:t>
      </w:r>
      <w:r>
        <w:rPr>
          <w:rFonts w:ascii="Consolas" w:hAnsi="Consolas"/>
          <w:sz w:val="19"/>
        </w:rPr>
        <w:t>-StampOwnership</w:t>
      </w:r>
      <w:r>
        <w:t xml:space="preserve"> altered a policy's rules/scope/enforcement.</w:t>
      </w:r>
    </w:p>
    <w:p>
      <w:pPr>
        <w:pStyle w:val="ListBullet"/>
      </w:pPr>
      <w:r>
        <w:rPr>
          <w:b/>
        </w:rPr>
        <w:t>Fix:</w:t>
      </w:r>
      <w:r>
        <w:t xml:space="preserve"> it does </w:t>
      </w:r>
      <w:r>
        <w:rPr>
          <w:b/>
        </w:rPr>
        <w:t>not</w:t>
      </w:r>
      <w:r>
        <w:t xml:space="preserve"> — it writes only the </w:t>
      </w:r>
      <w:r>
        <w:rPr>
          <w:rFonts w:ascii="Consolas" w:hAnsi="Consolas"/>
          <w:sz w:val="19"/>
        </w:rPr>
        <w:t>Comment</w:t>
      </w:r>
      <w:r>
        <w:t xml:space="preserve"> field (</w:t>
      </w:r>
      <w:r>
        <w:rPr>
          <w:rFonts w:ascii="Consolas" w:hAnsi="Consolas"/>
          <w:sz w:val="19"/>
        </w:rPr>
        <w:t>CoE-Owner=&lt;name&gt;; Review=&lt;date&gt;</w:t>
      </w:r>
      <w:r>
        <w:t>),</w:t>
      </w:r>
    </w:p>
    <w:p>
      <w:r>
        <w:t xml:space="preserve">  preserving any non-CoE comment text. Re-run </w:t>
      </w:r>
      <w:r>
        <w:rPr>
          <w:rFonts w:ascii="Consolas" w:hAnsi="Consolas"/>
          <w:sz w:val="19"/>
        </w:rPr>
        <w:t>OPSCOE-Discovery.ps1</w:t>
      </w:r>
      <w:r>
        <w:t xml:space="preserve"> and confirm every policy's </w:t>
      </w:r>
      <w:r>
        <w:rPr>
          <w:b/>
        </w:rPr>
        <w:t>State</w:t>
      </w:r>
      <w:r>
        <w:t xml:space="preserve">   is unchanged. </w:t>
      </w:r>
      <w:r>
        <w:rPr>
          <w:b/>
        </w:rPr>
        <w:t>Rollback:</w:t>
      </w:r>
      <w:r>
        <w:t xml:space="preserve"> </w:t>
      </w:r>
      <w:r>
        <w:rPr>
          <w:rFonts w:ascii="Consolas" w:hAnsi="Consolas"/>
          <w:sz w:val="19"/>
        </w:rPr>
        <w:t>OPSCOE-ApplyStandards.ps1 -StampOwnership -Restore -Commit</w:t>
      </w:r>
      <w:r>
        <w:t xml:space="preserve"> reverts each   Comment from the saved backup (</w:t>
      </w:r>
      <w:r>
        <w:rPr>
          <w:rFonts w:ascii="Consolas" w:hAnsi="Consolas"/>
          <w:sz w:val="19"/>
        </w:rPr>
        <w:t>OPSCOE-StampBackup.json</w:t>
      </w:r>
      <w:r>
        <w:t>).</w:t>
      </w:r>
    </w:p>
    <w:p>
      <w:pPr>
        <w:pStyle w:val="Heading2"/>
      </w:pPr>
      <w:r>
        <w:t>Stamp skips a capability with `[SKIP] … cmdlets unavailable`</w:t>
      </w:r>
    </w:p>
    <w:p>
      <w:pPr>
        <w:pStyle w:val="ListBullet"/>
      </w:pPr>
      <w:r>
        <w:rPr>
          <w:b/>
        </w:rPr>
        <w:t>Cause:</w:t>
      </w:r>
      <w:r>
        <w:t xml:space="preserve"> that capability is unlicensed or lacks a writable comment surface (</w:t>
      </w:r>
      <w:r>
        <w:rPr>
          <w:rFonts w:ascii="Consolas" w:hAnsi="Consolas"/>
          <w:sz w:val="19"/>
        </w:rPr>
        <w:t>Set-*</w:t>
      </w:r>
      <w:r>
        <w:t xml:space="preserve"> cmdlet absent).</w:t>
      </w:r>
    </w:p>
    <w:p>
      <w:pPr>
        <w:pStyle w:val="ListBullet"/>
      </w:pPr>
      <w:r>
        <w:rPr>
          <w:b/>
        </w:rPr>
        <w:t>Fix:</w:t>
      </w:r>
      <w:r>
        <w:t xml:space="preserve"> expected behavior — the tool guards </w:t>
      </w:r>
      <w:r>
        <w:rPr>
          <w:rFonts w:ascii="Consolas" w:hAnsi="Consolas"/>
          <w:sz w:val="19"/>
        </w:rPr>
        <w:t>Get-Command</w:t>
      </w:r>
      <w:r>
        <w:t xml:space="preserve"> and skips rather than inventing a surface.</w:t>
      </w:r>
    </w:p>
    <w:p>
      <w:r>
        <w:t xml:space="preserve">  Govern that capability's ownership in the register by attestation instead.</w:t>
      </w:r>
    </w:p>
    <w:p>
      <w:pPr>
        <w:pStyle w:val="Heading2"/>
      </w:pPr>
      <w:r>
        <w:t>`OPSCOE-Validate.ps1` reports FAIL on naming</w:t>
      </w:r>
    </w:p>
    <w:p>
      <w:pPr>
        <w:pStyle w:val="ListBullet"/>
      </w:pPr>
      <w:r>
        <w:rPr>
          <w:b/>
        </w:rPr>
        <w:t>Cause:</w:t>
      </w:r>
      <w:r>
        <w:t xml:space="preserve"> an artifact doesn't match </w:t>
      </w:r>
      <w:r>
        <w:rPr>
          <w:rFonts w:ascii="Consolas" w:hAnsi="Consolas"/>
          <w:sz w:val="19"/>
        </w:rPr>
        <w:t>&lt;Purpose&gt; – &lt;Capability&gt; – &lt;State&gt;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route the rename through </w:t>
      </w:r>
      <w:r>
        <w:rPr>
          <w:b/>
        </w:rPr>
        <w:t>intake</w:t>
      </w:r>
      <w:r>
        <w:t xml:space="preserve"> (renaming is per-object in the portal). Portal-only/attestation</w:t>
      </w:r>
    </w:p>
    <w:p>
      <w:r>
        <w:t xml:space="preserve">  rows are exempt (reported WARN, not FAIL). Adjust the </w:t>
      </w:r>
      <w:r>
        <w:rPr>
          <w:rFonts w:ascii="Consolas" w:hAnsi="Consolas"/>
          <w:sz w:val="19"/>
        </w:rPr>
        <w:t>namePattern</w:t>
      </w:r>
      <w:r>
        <w:t xml:space="preserve"> in </w:t>
      </w:r>
      <w:r>
        <w:rPr>
          <w:rFonts w:ascii="Consolas" w:hAnsi="Consolas"/>
          <w:sz w:val="19"/>
        </w:rPr>
        <w:t>coe-standards.json</w:t>
      </w:r>
      <w:r>
        <w:t xml:space="preserve"> only if your   agreed standard genuinely differs — don't loosen it to hide drift.</w:t>
      </w:r>
    </w:p>
    <w:p>
      <w:pPr>
        <w:pStyle w:val="Heading2"/>
      </w:pPr>
      <w:r>
        <w:t>Validate reports FAIL on `EnforceEvidence`</w:t>
      </w:r>
    </w:p>
    <w:p>
      <w:pPr>
        <w:pStyle w:val="ListBullet"/>
      </w:pPr>
      <w:r>
        <w:rPr>
          <w:b/>
        </w:rPr>
        <w:t>Cause:</w:t>
      </w:r>
      <w:r>
        <w:t xml:space="preserve"> a high-impact policy (DLP / auto-label / retention) is in an </w:t>
      </w:r>
      <w:r>
        <w:rPr>
          <w:b/>
        </w:rPr>
        <w:t>enforced</w:t>
      </w:r>
      <w:r>
        <w:t xml:space="preserve"> state with **no</w:t>
      </w:r>
    </w:p>
    <w:p>
      <w:r>
        <w:t xml:space="preserve">  recorded simulation/test evidence** in the register.</w:t>
      </w:r>
    </w:p>
    <w:p>
      <w:pPr>
        <w:pStyle w:val="ListBullet"/>
      </w:pPr>
      <w:r>
        <w:rPr>
          <w:b/>
        </w:rPr>
        <w:t>Fix:</w:t>
      </w:r>
      <w:r>
        <w:t xml:space="preserve"> this is the core CoE gate. Either record the simulation evidence (</w:t>
      </w:r>
      <w:r>
        <w:rPr>
          <w:rFonts w:ascii="Consolas" w:hAnsi="Consolas"/>
          <w:sz w:val="19"/>
        </w:rPr>
        <w:t>Evidence=</w:t>
      </w:r>
      <w:r>
        <w:t>/</w:t>
      </w:r>
      <w:r>
        <w:rPr>
          <w:rFonts w:ascii="Consolas" w:hAnsi="Consolas"/>
          <w:sz w:val="19"/>
        </w:rPr>
        <w:t>SimEvidence</w:t>
      </w:r>
      <w:r>
        <w:t xml:space="preserve"> in</w:t>
      </w:r>
    </w:p>
    <w:p>
      <w:r>
        <w:t xml:space="preserve">  the register Detail) if the pilot genuinely passed, or return the policy to </w:t>
      </w:r>
      <w:r>
        <w:rPr>
          <w:b/>
        </w:rPr>
        <w:t>simulation/test</w:t>
      </w:r>
      <w:r>
        <w:t xml:space="preserve"> and take   it back through intake. The board's target is </w:t>
      </w:r>
      <w:r>
        <w:rPr>
          <w:b/>
        </w:rPr>
        <w:t>enforced-without-evidence = 0</w:t>
      </w:r>
      <w:r>
        <w:t>.</w:t>
      </w:r>
    </w:p>
    <w:p>
      <w:pPr>
        <w:pStyle w:val="Heading2"/>
      </w:pPr>
      <w:r>
        <w:t>Validate reports FAIL on `Owner` / `ReviewDate`</w:t>
      </w:r>
    </w:p>
    <w:p>
      <w:pPr>
        <w:pStyle w:val="ListBullet"/>
      </w:pPr>
      <w:r>
        <w:rPr>
          <w:b/>
        </w:rPr>
        <w:t>Cause:</w:t>
      </w:r>
      <w:r>
        <w:t xml:space="preserve"> the artifact has no owner or no (valid, current) review date.</w:t>
      </w:r>
    </w:p>
    <w:p>
      <w:pPr>
        <w:pStyle w:val="ListBullet"/>
      </w:pPr>
      <w:r>
        <w:rPr>
          <w:b/>
        </w:rPr>
        <w:t>Fix:</w:t>
      </w:r>
      <w:r>
        <w:t xml:space="preserve"> assign an owner and a review date — in the register or via an </w:t>
      </w:r>
      <w:r>
        <w:rPr>
          <w:rFonts w:ascii="Consolas" w:hAnsi="Consolas"/>
          <w:sz w:val="19"/>
        </w:rPr>
        <w:t>OPSCOE-ApplyStandards.ps1</w:t>
      </w:r>
    </w:p>
    <w:p>
      <w:r>
        <w:t xml:space="preserve">  ownership stamp. An overdue review is a </w:t>
      </w:r>
      <w:r>
        <w:rPr>
          <w:b/>
        </w:rPr>
        <w:t>WARN</w:t>
      </w:r>
      <w:r>
        <w:t xml:space="preserve"> (past the cadence in </w:t>
      </w:r>
      <w:r>
        <w:rPr>
          <w:rFonts w:ascii="Consolas" w:hAnsi="Consolas"/>
          <w:sz w:val="19"/>
        </w:rPr>
        <w:t>reviewCadenceDays</w:t>
      </w:r>
      <w:r>
        <w:t xml:space="preserve">); a missing one   is a </w:t>
      </w:r>
      <w:r>
        <w:rPr>
          <w:b/>
        </w:rPr>
        <w:t>FAIL</w:t>
      </w:r>
      <w:r>
        <w:t>. Bring the estate to 100% owned and review-dated.</w:t>
      </w:r>
    </w:p>
    <w:p>
      <w:pPr>
        <w:pStyle w:val="Heading2"/>
      </w:pPr>
      <w:r>
        <w:t>Separation-of-duties FAIL on the board matrix</w:t>
      </w:r>
    </w:p>
    <w:p>
      <w:pPr>
        <w:pStyle w:val="ListBullet"/>
      </w:pPr>
      <w:r>
        <w:rPr>
          <w:b/>
        </w:rPr>
        <w:t>Cause:</w:t>
      </w:r>
      <w:r>
        <w:t xml:space="preserve"> one member holds </w:t>
      </w:r>
      <w:r>
        <w:rPr>
          <w:b/>
        </w:rPr>
        <w:t>two</w:t>
      </w:r>
      <w:r>
        <w:t xml:space="preserve"> investigative roles (or an investigative role plus others without a</w:t>
      </w:r>
    </w:p>
    <w:p>
      <w:r>
        <w:t xml:space="preserve">  recorded exception).</w:t>
      </w:r>
    </w:p>
    <w:p>
      <w:pPr>
        <w:pStyle w:val="ListBullet"/>
      </w:pPr>
      <w:r>
        <w:rPr>
          <w:b/>
        </w:rPr>
        <w:t>Fix:</w:t>
      </w:r>
      <w:r>
        <w:t xml:space="preserve"> remove one membership (</w:t>
      </w:r>
      <w:r>
        <w:rPr>
          <w:rFonts w:ascii="Consolas" w:hAnsi="Consolas"/>
          <w:sz w:val="19"/>
        </w:rPr>
        <w:t>OPSCOE-ApplyStandards.ps1</w:t>
      </w:r>
      <w:r>
        <w:t xml:space="preserve"> printed the reverse </w:t>
      </w:r>
      <w:r>
        <w:rPr>
          <w:rFonts w:ascii="Consolas" w:hAnsi="Consolas"/>
          <w:sz w:val="19"/>
        </w:rPr>
        <w:t>Remove-RoleGroupMember</w:t>
      </w:r>
      <w:r>
        <w:t>)</w:t>
      </w:r>
    </w:p>
    <w:p>
      <w:r>
        <w:t xml:space="preserve">  or record a board-accepted exception for a WARN. Insider risk, communication compliance, and eDiscovery   stay separated from the chair/compliance-administration seat.</w:t>
      </w:r>
    </w:p>
    <w:p>
      <w:pPr>
        <w:pStyle w:val="Heading2"/>
      </w:pPr>
      <w:r>
        <w:t>Reconciliation reports `Unregistered` / orphaned live artifacts</w:t>
      </w:r>
    </w:p>
    <w:p>
      <w:pPr>
        <w:pStyle w:val="ListBullet"/>
      </w:pPr>
      <w:r>
        <w:rPr>
          <w:b/>
        </w:rPr>
        <w:t>Cause:</w:t>
      </w:r>
      <w:r>
        <w:t xml:space="preserve"> a policy exists in the tenant that isn't in the register — an out-of-band change bypassing</w:t>
      </w:r>
    </w:p>
    <w:p>
      <w:r>
        <w:t xml:space="preserve">  intake.</w:t>
      </w:r>
    </w:p>
    <w:p>
      <w:pPr>
        <w:pStyle w:val="ListBullet"/>
      </w:pPr>
      <w:r>
        <w:rPr>
          <w:b/>
        </w:rPr>
        <w:t>Fix:</w:t>
      </w:r>
      <w:r>
        <w:t xml:space="preserve"> route it through intake — assign an owner, standard name, and review date, and register it; or</w:t>
      </w:r>
    </w:p>
    <w:p>
      <w:r>
        <w:t xml:space="preserve">  decommission it under change control (identify → confirm owner → disable → remove). This is exactly the   drift the CoE exists to catch.</w:t>
      </w:r>
    </w:p>
    <w:p>
      <w:pPr>
        <w:pStyle w:val="Heading2"/>
      </w:pPr>
      <w:r>
        <w:t>`OPSCOE-Register.ps1` scorecard shows enforced-without-evidence &gt; 0</w:t>
      </w:r>
    </w:p>
    <w:p>
      <w:pPr>
        <w:pStyle w:val="ListBullet"/>
      </w:pPr>
      <w:r>
        <w:rPr>
          <w:b/>
        </w:rPr>
        <w:t>Cause:</w:t>
      </w:r>
      <w:r>
        <w:t xml:space="preserve"> the validation output still contains </w:t>
      </w:r>
      <w:r>
        <w:rPr>
          <w:rFonts w:ascii="Consolas" w:hAnsi="Consolas"/>
          <w:sz w:val="19"/>
        </w:rPr>
        <w:t>EnforceEvidence</w:t>
      </w:r>
      <w:r>
        <w:t xml:space="preserve"> FAILs.</w:t>
      </w:r>
    </w:p>
    <w:p>
      <w:pPr>
        <w:pStyle w:val="ListBullet"/>
      </w:pPr>
      <w:r>
        <w:rPr>
          <w:b/>
        </w:rPr>
        <w:t>Fix:</w:t>
      </w:r>
      <w:r>
        <w:t xml:space="preserve"> remediate each in validation first (record evidence or de-enforce), re-run </w:t>
      </w:r>
      <w:r>
        <w:rPr>
          <w:rFonts w:ascii="Consolas" w:hAnsi="Consolas"/>
          <w:sz w:val="19"/>
        </w:rPr>
        <w:t>OPSCOE-Validate.ps1</w:t>
      </w:r>
      <w:r>
        <w:t>,</w:t>
      </w:r>
    </w:p>
    <w:p>
      <w:r>
        <w:t xml:space="preserve">  then regenerate the scorecard. The scorecard is the board's audit answer — it must show </w:t>
      </w:r>
      <w:r>
        <w:rPr>
          <w:b/>
        </w:rPr>
        <w:t>0</w:t>
      </w:r>
      <w:r>
        <w:t xml:space="preserve"> before   sign-off.</w:t>
      </w:r>
    </w:p>
    <w:p>
      <w:pPr>
        <w:pStyle w:val="Heading2"/>
      </w:pPr>
      <w:r>
        <w:t>`Connect-IPPSSession` / `Connect-ExchangeOnline` / `Connect-MgGraph` fails</w:t>
      </w:r>
    </w:p>
    <w:p>
      <w:pPr>
        <w:pStyle w:val="ListBullet"/>
      </w:pPr>
      <w:r>
        <w:rPr>
          <w:b/>
        </w:rPr>
        <w:t>Cause:</w:t>
      </w:r>
      <w:r>
        <w:t xml:space="preserve"> module not installed, or MFA/modern-auth not completed.</w:t>
      </w:r>
    </w:p>
    <w:p>
      <w:pPr>
        <w:pStyle w:val="ListBullet"/>
      </w:pP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ExchangeOnlineManagement -Scope CurrentUser</w:t>
      </w:r>
      <w:r>
        <w:t xml:space="preserve"> (+ </w:t>
      </w:r>
      <w:r>
        <w:rPr>
          <w:rFonts w:ascii="Consolas" w:hAnsi="Consolas"/>
          <w:sz w:val="19"/>
        </w:rPr>
        <w:t>Microsoft.Graph</w:t>
      </w:r>
      <w:r>
        <w:t>); complete the</w:t>
      </w:r>
    </w:p>
    <w:p>
      <w:r>
        <w:t xml:space="preserve">  interactive sign-in (Requirement 2.3). The read-only scripts are safe to retry; write tools are </w:t>
      </w:r>
      <w:r>
        <w:rPr>
          <w:rFonts w:ascii="Consolas" w:hAnsi="Consolas"/>
          <w:sz w:val="19"/>
        </w:rPr>
        <w:t>-WhatIf</w:t>
      </w:r>
      <w:r>
        <w:t xml:space="preserve">   by default.</w:t>
      </w:r>
    </w:p>
    <w:p>
      <w:pPr>
        <w:pStyle w:val="Heading2"/>
      </w:pPr>
      <w:r>
        <w:t>When to escalate beyond this solution</w:t>
      </w:r>
    </w:p>
    <w:p>
      <w:pPr>
        <w:pStyle w:val="ListBullet"/>
      </w:pPr>
      <w:r>
        <w:rPr>
          <w:b/>
        </w:rPr>
        <w:t>What a policy should *contain* or *require</w:t>
      </w:r>
      <w:r>
        <w:t>* — retention schedules, records file plans, insider-risk</w:t>
      </w:r>
    </w:p>
    <w:p>
      <w:r>
        <w:t xml:space="preserve">  conditions, regulatory applicability → </w:t>
      </w:r>
      <w:r>
        <w:rPr>
          <w:b/>
        </w:rPr>
        <w:t>compliance, records, privacy, and legal</w:t>
      </w:r>
      <w:r>
        <w:t>. The CoE governs the   operating model; it does not make these determinations.</w:t>
      </w:r>
    </w:p>
    <w:p>
      <w:pPr>
        <w:pStyle w:val="ListBullet"/>
      </w:pPr>
      <w:r>
        <w:rPr>
          <w:b/>
        </w:rPr>
        <w:t>The decision to enforce</w:t>
      </w:r>
      <w:r>
        <w:t xml:space="preserve"> → the board, via intake, </w:t>
      </w:r>
      <w:r>
        <w:rPr>
          <w:b/>
        </w:rPr>
        <w:t>after</w:t>
      </w:r>
      <w:r>
        <w:t xml:space="preserve"> simulation passes — never a script action.</w:t>
      </w:r>
    </w:p>
    <w:p>
      <w:pPr>
        <w:pStyle w:val="ListBullet"/>
      </w:pPr>
      <w:r>
        <w:rPr>
          <w:b/>
        </w:rPr>
        <w:t>A role group or portal surface that has genuinely changed</w:t>
      </w:r>
      <w:r>
        <w:t xml:space="preserve"> → verify against current Microsoft</w:t>
      </w:r>
    </w:p>
    <w:p>
      <w:r>
        <w:t xml:space="preserve">  documentation; Purview RBAC and the portal evolve, and unified RBAC may be in effect.</w:t>
      </w:r>
    </w:p>
    <w:p>
      <w:pPr>
        <w:pStyle w:val="Heading1"/>
      </w:pPr>
      <w:r>
        <w:t>7. Best Practices — Microsoft Purview Center of Excellence</w:t>
      </w:r>
    </w:p>
    <w:p>
      <w:r>
        <w:t>Field-proven recommendations for running a Purview CoE that stays useful instead of becoming shelfware.</w:t>
      </w:r>
    </w:p>
    <w:p>
      <w:pPr>
        <w:pStyle w:val="Heading2"/>
      </w:pPr>
      <w:r>
        <w:t>Govern the operating model, not the determinations</w:t>
      </w:r>
    </w:p>
    <w:p>
      <w:pPr>
        <w:pStyle w:val="ListBullet"/>
      </w:pPr>
      <w:r>
        <w:t xml:space="preserve">The CoE's job is </w:t>
      </w:r>
      <w:r>
        <w:rPr>
          <w:b/>
        </w:rPr>
        <w:t>board, standards, intake, lifecycle, evidence</w:t>
      </w:r>
      <w:r>
        <w:t xml:space="preserve"> — not retention schedules, records</w:t>
      </w:r>
    </w:p>
    <w:p>
      <w:r>
        <w:t xml:space="preserve">  file plans, legal holds, or insider-risk case outcomes. Keep the </w:t>
      </w:r>
      <w:r>
        <w:rPr>
          <w:b/>
        </w:rPr>
        <w:t>determination boundary</w:t>
      </w:r>
      <w:r>
        <w:t xml:space="preserve"> written   into the charter and referenced whenever a request blurs it. The moment the CoE starts *deciding*   regulatory questions instead of *governing how they are implemented*, it has overreached.</w:t>
      </w:r>
    </w:p>
    <w:p>
      <w:pPr>
        <w:pStyle w:val="ListBullet"/>
      </w:pPr>
      <w:r>
        <w:t xml:space="preserve">Every governed artifact should trace to a </w:t>
      </w:r>
      <w:r>
        <w:rPr>
          <w:b/>
        </w:rPr>
        <w:t>stakeholder-owned requirement</w:t>
      </w:r>
      <w:r>
        <w:t xml:space="preserve"> (a compliance obligation,</w:t>
      </w:r>
    </w:p>
    <w:p>
      <w:r>
        <w:t xml:space="preserve">  a records schedule, a data-protection intent) — the CoE ensures it is named, owned, simulated, and   reviewed; the stakeholder owns *why it exists*.</w:t>
      </w:r>
    </w:p>
    <w:p>
      <w:pPr>
        <w:pStyle w:val="Heading2"/>
      </w:pPr>
      <w:r>
        <w:t>Make simulation-first non-negotiable</w:t>
      </w:r>
    </w:p>
    <w:p>
      <w:pPr>
        <w:pStyle w:val="ListBullet"/>
      </w:pPr>
      <w:r>
        <w:t>The single most valuable rule in the whole CoE is: **no DLP, auto-labeling, retention, or</w:t>
      </w:r>
    </w:p>
    <w:p>
      <w:r>
        <w:t xml:space="preserve">  insider-risk policy is enforced without recorded simulation/test evidence and board approval.** Most   catastrophic Purview incidents (blocked mail, mass encryption, unexpected deletion, employee flags)   come from skipping simulation.</w:t>
      </w:r>
    </w:p>
    <w:p>
      <w:pPr>
        <w:pStyle w:val="ListBullet"/>
      </w:pPr>
      <w:r>
        <w:t xml:space="preserve">Keep the </w:t>
      </w:r>
      <w:r>
        <w:rPr>
          <w:b/>
        </w:rPr>
        <w:t>evidence</w:t>
      </w:r>
      <w:r>
        <w:t xml:space="preserve"> with the artifact, not in someone's inbox — a register entry linking to</w:t>
      </w:r>
    </w:p>
    <w:p>
      <w:r>
        <w:t xml:space="preserve">  simulation results and the board approval is the audit answer. </w:t>
      </w:r>
      <w:r>
        <w:rPr>
          <w:rFonts w:ascii="Consolas" w:hAnsi="Consolas"/>
          <w:sz w:val="19"/>
        </w:rPr>
        <w:t>enforced-without-evidence = 0</w:t>
      </w:r>
      <w:r>
        <w:t xml:space="preserve"> is the   CoE's flagship metric.</w:t>
      </w:r>
    </w:p>
    <w:p>
      <w:pPr>
        <w:pStyle w:val="Heading2"/>
      </w:pPr>
      <w:r>
        <w:t>Least privilege and separation of duties, enforced on the CoE itself</w:t>
      </w:r>
    </w:p>
    <w:p>
      <w:pPr>
        <w:pStyle w:val="ListBullet"/>
      </w:pPr>
      <w:r>
        <w:t xml:space="preserve">The CoE preaches least privilege — so </w:t>
      </w:r>
      <w:r>
        <w:rPr>
          <w:b/>
        </w:rPr>
        <w:t>run it that way</w:t>
      </w:r>
      <w:r>
        <w:t>. The chair holds Compliance Administrator,</w:t>
      </w:r>
    </w:p>
    <w:p>
      <w:r>
        <w:t xml:space="preserve">  not Global Administrator; investigative seats (insider risk, communication compliance, eDiscovery)   are </w:t>
      </w:r>
      <w:r>
        <w:rPr>
          <w:b/>
        </w:rPr>
        <w:t>separate</w:t>
      </w:r>
      <w:r>
        <w:t>, minimal, and named. A CoE administered from a blanket Global Admin has no   credibility.</w:t>
      </w:r>
    </w:p>
    <w:p>
      <w:pPr>
        <w:pStyle w:val="ListBullet"/>
      </w:pPr>
      <w:r>
        <w:t xml:space="preserve">Prefer </w:t>
      </w:r>
      <w:r>
        <w:rPr>
          <w:b/>
        </w:rPr>
        <w:t>built-in role groups</w:t>
      </w:r>
      <w:r>
        <w:t>; create custom scoped groups only where you genuinely need tighter</w:t>
      </w:r>
    </w:p>
    <w:p>
      <w:r>
        <w:t xml:space="preserve">  scope. Fewer, well-understood groups beat a sprawl of bespoke ones.</w:t>
      </w:r>
    </w:p>
    <w:p>
      <w:pPr>
        <w:pStyle w:val="ListBullet"/>
      </w:pPr>
      <w:r>
        <w:t xml:space="preserve">For insider risk and communication compliance, apply </w:t>
      </w:r>
      <w:r>
        <w:rPr>
          <w:b/>
        </w:rPr>
        <w:t>privacy-by-design</w:t>
      </w:r>
      <w:r>
        <w:t xml:space="preserve"> (pseudonymization where</w:t>
      </w:r>
    </w:p>
    <w:p>
      <w:r>
        <w:t xml:space="preserve">  the capability supports it) in that capability's own solution, and defer *who may hold the role* to   HR, privacy, and legal.</w:t>
      </w:r>
    </w:p>
    <w:p>
      <w:pPr>
        <w:pStyle w:val="Heading2"/>
      </w:pPr>
      <w:r>
        <w:t>Standardize names so the estate reads itself</w:t>
      </w:r>
    </w:p>
    <w:p>
      <w:pPr>
        <w:pStyle w:val="ListBullet"/>
      </w:pPr>
      <w:r>
        <w:t xml:space="preserve">Enforce </w:t>
      </w:r>
      <w:r>
        <w:rPr>
          <w:rFonts w:ascii="Consolas" w:hAnsi="Consolas"/>
          <w:sz w:val="19"/>
        </w:rPr>
        <w:t>&lt;Purpose&gt; – &lt;Capability&gt; – &lt;State&gt;</w:t>
      </w:r>
      <w:r>
        <w:t xml:space="preserve"> on every artifact. A name like</w:t>
      </w:r>
    </w:p>
    <w:p>
      <w:r>
        <w:t xml:space="preserve">  </w:t>
      </w:r>
      <w:r>
        <w:rPr>
          <w:rFonts w:ascii="Consolas" w:hAnsi="Consolas"/>
          <w:sz w:val="19"/>
        </w:rPr>
        <w:t>Financial Data – DLP – Simulation</w:t>
      </w:r>
      <w:r>
        <w:t xml:space="preserve"> tells you what it protects and that it is not yet enforced —   without opening it.</w:t>
      </w:r>
    </w:p>
    <w:p>
      <w:pPr>
        <w:pStyle w:val="ListBullet"/>
      </w:pPr>
      <w:r>
        <w:t xml:space="preserve">Renaming a live policy is a </w:t>
      </w:r>
      <w:r>
        <w:rPr>
          <w:b/>
        </w:rPr>
        <w:t>change</w:t>
      </w:r>
      <w:r>
        <w:t>, not a cleanup — route it through intake, recreate under the</w:t>
      </w:r>
    </w:p>
    <w:p>
      <w:r>
        <w:t xml:space="preserve">  standard, and retire the old one under change control. Never bulk-rename enforced policies out of   band.</w:t>
      </w:r>
    </w:p>
    <w:p>
      <w:pPr>
        <w:pStyle w:val="Heading2"/>
      </w:pPr>
      <w:r>
        <w:t>Stamp ownership onto the object where you can</w:t>
      </w:r>
    </w:p>
    <w:p>
      <w:pPr>
        <w:pStyle w:val="ListBullet"/>
      </w:pPr>
      <w:r>
        <w:t xml:space="preserve">Use the non-disruptive </w:t>
      </w:r>
      <w:r>
        <w:rPr>
          <w:rFonts w:ascii="Consolas" w:hAnsi="Consolas"/>
          <w:sz w:val="19"/>
        </w:rPr>
        <w:t>Comment</w:t>
      </w:r>
      <w:r>
        <w:t xml:space="preserve"> stamp (</w:t>
      </w:r>
      <w:r>
        <w:rPr>
          <w:rFonts w:ascii="Consolas" w:hAnsi="Consolas"/>
          <w:sz w:val="19"/>
        </w:rPr>
        <w:t>CoE-Owner=…; Review=…</w:t>
      </w:r>
      <w:r>
        <w:t>) on DLP/retention/auto-labeling</w:t>
      </w:r>
    </w:p>
    <w:p>
      <w:r>
        <w:t xml:space="preserve">  policies so the owner and review date travel with the object and survive a register mishap. Never let   the stamp script touch rules, scope, or enforcement state — it writes metadata only.</w:t>
      </w:r>
    </w:p>
    <w:p>
      <w:pPr>
        <w:pStyle w:val="ListBullet"/>
      </w:pPr>
      <w:r>
        <w:t xml:space="preserve">For portal-only capabilities (insider risk especially), govern by </w:t>
      </w:r>
      <w:r>
        <w:rPr>
          <w:b/>
        </w:rPr>
        <w:t>attestation</w:t>
      </w:r>
      <w:r>
        <w:t xml:space="preserve"> in the register</w:t>
      </w:r>
    </w:p>
    <w:p>
      <w:r>
        <w:t xml:space="preserve">  with a named owner — do not invent a cmdlet to enumerate what the platform does not expose.</w:t>
      </w:r>
    </w:p>
    <w:p>
      <w:pPr>
        <w:pStyle w:val="Heading2"/>
      </w:pPr>
      <w:r>
        <w:t>Run a real cadence, or the register rots</w:t>
      </w:r>
    </w:p>
    <w:p>
      <w:pPr>
        <w:pStyle w:val="ListBullet"/>
      </w:pPr>
      <w:r>
        <w:t>A register that is never reconciled is worse than none — it lies. Run **discovery + validate on a</w:t>
      </w:r>
    </w:p>
    <w:p>
      <w:r>
        <w:t xml:space="preserve">  fixed cadence</w:t>
      </w:r>
      <w:r>
        <w:rPr>
          <w:b/>
        </w:rPr>
        <w:t xml:space="preserve"> (default quarterly), review the output </w:t>
      </w:r>
      <w:r>
        <w:t>at the board**, and act on drift.</w:t>
      </w:r>
    </w:p>
    <w:p>
      <w:pPr>
        <w:pStyle w:val="ListBullet"/>
      </w:pPr>
      <w:r>
        <w:rPr>
          <w:b/>
        </w:rPr>
        <w:t>Drift detection</w:t>
      </w:r>
      <w:r>
        <w:t xml:space="preserve"> is the early-warning system: any artifact in the tenant but not the register is</w:t>
      </w:r>
    </w:p>
    <w:p>
      <w:r>
        <w:t xml:space="preserve">  an out-of-band change; any registered artifact gone from the tenant is an unrecorded decommission.   Both route to intake.</w:t>
      </w:r>
    </w:p>
    <w:p>
      <w:pPr>
        <w:pStyle w:val="ListBullet"/>
      </w:pPr>
      <w:r>
        <w:rPr>
          <w:b/>
        </w:rPr>
        <w:t>Decommission deliberately</w:t>
      </w:r>
      <w:r>
        <w:t>: identify orphaned/unowned → confirm no owner claims it → disable →</w:t>
      </w:r>
    </w:p>
    <w:p>
      <w:r>
        <w:t xml:space="preserve">  observe → remove, all under change control. Deleting a retention or DLP policy can have compliance   consequences — confirm with the stakeholder first.</w:t>
      </w:r>
    </w:p>
    <w:p>
      <w:pPr>
        <w:pStyle w:val="Heading2"/>
      </w:pPr>
      <w:r>
        <w:t>Keep the CoE lightweight enough to survive</w:t>
      </w:r>
    </w:p>
    <w:p>
      <w:pPr>
        <w:pStyle w:val="ListBullet"/>
      </w:pPr>
      <w:r>
        <w:t xml:space="preserve">The intake workflow must be </w:t>
      </w:r>
      <w:r>
        <w:rPr>
          <w:b/>
        </w:rPr>
        <w:t>fast for low-risk changes</w:t>
      </w:r>
      <w:r>
        <w:t xml:space="preserve"> or people will route around it. Triage</w:t>
      </w:r>
    </w:p>
    <w:p>
      <w:r>
        <w:t xml:space="preserve">  should fast-track obviously low-risk requests and reserve full board review for high-impact ones — a   gate everyone bypasses governs nothing.</w:t>
      </w:r>
    </w:p>
    <w:p>
      <w:pPr>
        <w:pStyle w:val="ListBullet"/>
      </w:pPr>
      <w:r>
        <w:t xml:space="preserve">Automate the boring parts (discovery, validation, scorecard) so board time is spent on </w:t>
      </w:r>
      <w:r>
        <w:rPr>
          <w:b/>
        </w:rPr>
        <w:t>decisions</w:t>
      </w:r>
      <w:r>
        <w:t>,</w:t>
      </w:r>
    </w:p>
    <w:p>
      <w:r>
        <w:t xml:space="preserve">  not data gathering. The scripts exist so the board reviews a scorecard, not a raw tenant.</w:t>
      </w:r>
    </w:p>
    <w:p>
      <w:pPr>
        <w:pStyle w:val="Heading2"/>
      </w:pPr>
      <w:r>
        <w:t>Assume the portal will change</w:t>
      </w:r>
    </w:p>
    <w:p>
      <w:pPr>
        <w:pStyle w:val="ListBullet"/>
      </w:pPr>
      <w:r>
        <w:t>Microsoft is actively evolving the Purview portal and moving role management toward a unified Purview</w:t>
      </w:r>
    </w:p>
    <w:p>
      <w:r>
        <w:t xml:space="preserve">  RBAC model. </w:t>
      </w:r>
      <w:r>
        <w:rPr>
          <w:b/>
        </w:rPr>
        <w:t>Verify portal paths and cmdlet availability each cycle</w:t>
      </w:r>
      <w:r>
        <w:t xml:space="preserve">; the scripts guard   </w:t>
      </w:r>
      <w:r>
        <w:rPr>
          <w:rFonts w:ascii="Consolas" w:hAnsi="Consolas"/>
          <w:sz w:val="19"/>
        </w:rPr>
        <w:t>Get-Command</w:t>
      </w:r>
      <w:r>
        <w:t xml:space="preserve"> and skip what is unavailable rather than failing. When a path moves, update the charter   and standards references — do not assume last quarter's screenshot still holds.</w:t>
      </w:r>
    </w:p>
    <w:p>
      <w:pPr>
        <w:pStyle w:val="Heading2"/>
      </w:pPr>
      <w:r>
        <w:t>Protect the evidence and the credentials</w:t>
      </w:r>
    </w:p>
    <w:p>
      <w:pPr>
        <w:pStyle w:val="ListBullet"/>
      </w:pPr>
      <w:r>
        <w:t>Never store credentials or secrets in scripts or the register — every script uses interactive</w:t>
      </w:r>
    </w:p>
    <w:p>
      <w:r>
        <w:t xml:space="preserve">  modern-auth. The register and scorecard may list policy </w:t>
      </w:r>
      <w:r>
        <w:rPr>
          <w:b/>
        </w:rPr>
        <w:t>names and owners</w:t>
      </w:r>
      <w:r>
        <w:t xml:space="preserve">; they must </w:t>
      </w:r>
      <w:r>
        <w:rPr>
          <w:b/>
        </w:rPr>
        <w:t>not</w:t>
      </w:r>
      <w:r>
        <w:t xml:space="preserve">   contain policy contents that are themselves sensitive, nor any employee case data.</w:t>
      </w:r>
    </w:p>
    <w:p>
      <w:pPr>
        <w:pStyle w:val="ListBullet"/>
      </w:pPr>
      <w:r>
        <w:t xml:space="preserve">Treat the governance artifacts (charter, register, scorecard, evidence) as the </w:t>
      </w:r>
      <w:r>
        <w:rPr>
          <w:b/>
        </w:rPr>
        <w:t>audit trail</w:t>
      </w:r>
      <w:r>
        <w:t xml:space="preserve"> —</w:t>
      </w:r>
    </w:p>
    <w:p>
      <w:r>
        <w:t xml:space="preserve">  version them, retain them per your own records schedule, and keep them where the board (not the whole   tenant) can read them.</w:t>
      </w:r>
    </w:p>
    <w:p>
      <w:pPr>
        <w:pStyle w:val="Heading1"/>
      </w:pPr>
      <w:r>
        <w:t>8. Deliverables Summary — Microsoft Purview Center of Excellence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CoE operating model — governance board (least-privilege, separated), standards, intake workflow, and lifecycle cadence — plus the naming convention, limitations, and determination boundary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(Purview)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portal + S&amp;C PowerShell + Graph steps: assess the estate, author charter/standards/intake, apply the board role model and standard tags pilot-first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), pilot the intake gate in simulation, validate every gate, expand to the full estate and run the cadence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Nine pass/fail governance-gate tests + a cadence checklist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OPSCOE-ScopeCheck.ps1</w:t>
            </w:r>
          </w:p>
        </w:tc>
        <w:tc>
          <w:tcPr>
            <w:tcW w:type="dxa" w:w="4320"/>
          </w:tcPr>
          <w:p>
            <w:r>
              <w:t xml:space="preserve">Read-only scope/health helper: confirms S&amp;C PowerShell / Exchange Online / Graph sign-in, reports compliance SKUs present, and lists which governed capabilities are visible vs unlicensed/portal-only. Writes </w:t>
            </w:r>
            <w:r>
              <w:rPr>
                <w:rFonts w:ascii="Consolas" w:hAnsi="Consolas"/>
                <w:sz w:val="19"/>
              </w:rPr>
              <w:t>Purview CoE Scope – Assess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OPSCOE-Discovery.ps1</w:t>
            </w:r>
          </w:p>
        </w:tc>
        <w:tc>
          <w:tcPr>
            <w:tcW w:type="dxa" w:w="4320"/>
          </w:tcPr>
          <w:p>
            <w:r>
              <w:t xml:space="preserve">Read-only estate inventory: enumerates every readable governed artifact (labels, label policies, DLP policies+rules, retention policies/labels+rules, auto-labeling, and where readable communication-compliance / audit-retention), with name, type, state, and naming-standard conformance. Writes </w:t>
            </w:r>
            <w:r>
              <w:rPr>
                <w:rFonts w:ascii="Consolas" w:hAnsi="Consolas"/>
                <w:sz w:val="19"/>
              </w:rPr>
              <w:t>Purview CoE Register – Governed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OPSCOE-ApplyStandards.ps1</w:t>
            </w:r>
          </w:p>
        </w:tc>
        <w:tc>
          <w:tcPr>
            <w:tcW w:type="dxa" w:w="4320"/>
          </w:tcPr>
          <w:p>
            <w:r>
              <w:t xml:space="preserve">Configuration/remediation helper: populates the CoE board's built-in role groups from a matrix (creating custom scoped groups where needed) and optionally stamps a non-disruptive </w:t>
            </w:r>
            <w:r>
              <w:rPr>
                <w:rFonts w:ascii="Consolas" w:hAnsi="Consolas"/>
                <w:sz w:val="19"/>
              </w:rPr>
              <w:t>CoE-Owner/Review</w:t>
            </w:r>
            <w:r>
              <w:t xml:space="preserve"> tag onto policy </w:t>
            </w:r>
            <w:r>
              <w:rPr>
                <w:rFonts w:ascii="Consolas" w:hAnsi="Consolas"/>
                <w:sz w:val="19"/>
              </w:rPr>
              <w:t>Comment</w:t>
            </w:r>
            <w:r>
              <w:t xml:space="preserve"> fields. </w:t>
            </w:r>
            <w:r>
              <w:rPr>
                <w:b/>
              </w:rPr>
              <w:t>`-WhatIf` by default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to apply, </w:t>
            </w:r>
            <w:r>
              <w:rPr>
                <w:rFonts w:ascii="Consolas" w:hAnsi="Consolas"/>
                <w:sz w:val="19"/>
              </w:rPr>
              <w:t>-Restore</w:t>
            </w:r>
            <w:r>
              <w:t xml:space="preserve"> to revert stamps; prints the reverse command for every change. Never changes policy rules/scope/enforcement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OPSCOE-Validate.ps1</w:t>
            </w:r>
          </w:p>
        </w:tc>
        <w:tc>
          <w:tcPr>
            <w:tcW w:type="dxa" w:w="4320"/>
          </w:tcPr>
          <w:p>
            <w:r>
              <w:t xml:space="preserve">Read-only governance-gate validation: naming conformance, ownership + review-date coverage, the simulation-first (enforced-without-evidence) gate, separation of duties, and register-to-tenant reconciliation. Writes </w:t>
            </w:r>
            <w:r>
              <w:rPr>
                <w:rFonts w:ascii="Consolas" w:hAnsi="Consolas"/>
                <w:sz w:val="19"/>
              </w:rPr>
              <w:t>Purview CoE Lifecycle – Review</w:t>
            </w:r>
            <w:r>
              <w:t xml:space="preserve"> with per-artifact PASS/FAIL/WARN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OPSCOE-Register.ps1</w:t>
            </w:r>
          </w:p>
        </w:tc>
        <w:tc>
          <w:tcPr>
            <w:tcW w:type="dxa" w:w="4320"/>
          </w:tcPr>
          <w:p>
            <w:r>
              <w:t xml:space="preserve">Read-only reporting: builds the governance scorecard — counts by capability, % naming-conformant, % owned, % review-dated, enforced-without-evidence count, and next-review-due list. Writes </w:t>
            </w:r>
            <w:r>
              <w:rPr>
                <w:rFonts w:ascii="Consolas" w:hAnsi="Consolas"/>
                <w:sz w:val="19"/>
              </w:rPr>
              <w:t>Purview CoE Scorecard – Report</w:t>
            </w:r>
          </w:p>
        </w:tc>
      </w:tr>
    </w:tbl>
    <w:p>
      <w:r>
        <w:t xml:space="preserve">All scripts are </w:t>
      </w:r>
      <w:r>
        <w:rPr>
          <w:b/>
        </w:rPr>
        <w:t>safe by default</w:t>
      </w:r>
      <w:r>
        <w:t xml:space="preserve"> — read-only, or a </w:t>
      </w:r>
      <w:r>
        <w:rPr>
          <w:rFonts w:ascii="Consolas" w:hAnsi="Consolas"/>
          <w:sz w:val="19"/>
        </w:rPr>
        <w:t>-WhatIf</w:t>
      </w:r>
      <w:r>
        <w:t xml:space="preserve"> preview requiring an explicit </w:t>
      </w:r>
      <w:r>
        <w:rPr>
          <w:rFonts w:ascii="Consolas" w:hAnsi="Consolas"/>
          <w:sz w:val="19"/>
        </w:rPr>
        <w:t>-Commit</w:t>
      </w:r>
      <w:r>
        <w:t xml:space="preserve"> to change anything (and </w:t>
      </w:r>
      <w:r>
        <w:rPr>
          <w:rFonts w:ascii="Consolas" w:hAnsi="Consolas"/>
          <w:sz w:val="19"/>
        </w:rPr>
        <w:t>ApplyStandards</w:t>
      </w:r>
      <w:r>
        <w:t xml:space="preserve"> writes only role-group membership and a metadata </w:t>
      </w:r>
      <w:r>
        <w:rPr>
          <w:rFonts w:ascii="Consolas" w:hAnsi="Consolas"/>
          <w:sz w:val="19"/>
        </w:rPr>
        <w:t>Comment</w:t>
      </w:r>
      <w:r>
        <w:t xml:space="preserve"> stamp — never a policy's rules, scope, or enforcement state). No credentials or secrets are stored in code; every script uses interactive modern-auth (</w:t>
      </w:r>
      <w:r>
        <w:rPr>
          <w:rFonts w:ascii="Consolas" w:hAnsi="Consolas"/>
          <w:sz w:val="19"/>
        </w:rPr>
        <w:t>Connect-IPPSSession</w:t>
      </w:r>
      <w:r>
        <w:t xml:space="preserve"> / </w:t>
      </w:r>
      <w:r>
        <w:rPr>
          <w:rFonts w:ascii="Consolas" w:hAnsi="Consolas"/>
          <w:sz w:val="19"/>
        </w:rPr>
        <w:t>Connect-ExchangeOnline</w:t>
      </w:r>
      <w:r>
        <w:t xml:space="preserve"> / </w:t>
      </w:r>
      <w:r>
        <w:rPr>
          <w:rFonts w:ascii="Consolas" w:hAnsi="Consolas"/>
          <w:sz w:val="19"/>
        </w:rPr>
        <w:t>Connect-MgGraph</w:t>
      </w:r>
      <w:r>
        <w:t xml:space="preserve">) and guards </w:t>
      </w:r>
      <w:r>
        <w:rPr>
          <w:rFonts w:ascii="Consolas" w:hAnsi="Consolas"/>
          <w:sz w:val="19"/>
        </w:rPr>
        <w:t>Get-Command</w:t>
      </w:r>
      <w:r>
        <w:t xml:space="preserve"> so unlicensed or portal-only capabilities are skipped, not failed.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>A repeatable governance operating model following the model: **Assess → Design → Configure → Pilot →</w:t>
      </w:r>
    </w:p>
    <w:p>
      <w:r>
        <w:t xml:space="preserve">  Validate → Expand.**</w:t>
      </w:r>
    </w:p>
    <w:p>
      <w:pPr>
        <w:pStyle w:val="Heading2"/>
      </w:pPr>
      <w:r>
        <w:t>Outcome</w:t>
      </w:r>
    </w:p>
    <w:p>
      <w:r>
        <w:t xml:space="preserve">A standing </w:t>
      </w:r>
      <w:r>
        <w:rPr>
          <w:b/>
        </w:rPr>
        <w:t>Purview Center of Excellence</w:t>
      </w:r>
      <w:r>
        <w:t xml:space="preserve"> — a named, least-privilege, separated governance board; written standards (naming, ownership, simulation-first, change-control, separation of duties); a single intake gate that keeps ungoverned and un-simulated policies out of the tenant; and a lifecycle cadence with drift detection and a decommission path — so Purview governance is institutionalized, every governed artifact is owned and defensible, and the audit answer is one scorecard export. The CoE governs the method and the evidence; regulatory, records, and legal determinations remain with the organization's compliance, records, privacy, and legal functions.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OPSCOE-ApplyStandards.ps1</w:t>
      </w:r>
    </w:p>
    <w:p>
      <w:r>
        <w:rPr>
          <w:b/>
        </w:rPr>
        <w:t>Purpose:</w:t>
      </w:r>
      <w:r>
        <w:t xml:space="preserve"> Two governance actions for a Purview Center of Excellence, both SAFE BY DEFAULT (preview with -WhatIf, apply only with -Commit): (1) -RoleMatrixCsv: reads a Seat,RoleGroup,Member matrix and adds the named members to the built-in role groups (Add-RoleGroupMember), creating any custom scoped groups (New-RoleGroup) the matrix declares. Every applied change prints its REVERSE command. (2) -StampOwnership -OwnerMapCsv: writes a non-disruptive ownership/standard tag into the writable Comment field of governed policies (CoE-Owner=&lt;name&gt;; Review=&lt;date&gt;) via Set-DlpCompliancePolicy / Set-RetentionCompliancePolicy / Set-AutoSensitivityLabelPolicy -Comment. It NEVER changes a policy's rules, scope, or enforcement state, and records each prior Comment so -Restore reverts it. This tool never flips a policy to enforce - enforcement is a board-gated, intake-driven portal action. HOW TO RUN Board role-group membership: .\OPSCOE-ApplyStandards.ps1 -RoleMatrixCsv .\coe-board-matrix.csv -WhatIf    # preview .\OPSCOE-ApplyStandards.ps1 -RoleMatrixCsv .\coe-board-matrix.csv -Commit    # apply Ownership/standard stamp: .\OPSCOE-ApplyStandards.ps1 -StampOwnership -OwnerMapCsv .\coe-owner-map.csv -WhatIf .\OPSCOE-ApplyStandards.ps1 -StampOwnership -OwnerMapCsv .\coe-owner-map.csv -Commit Revert the stamps: .\OPSCOE-ApplyStandards.ps1 -StampOwnership -Restore -Commit matrix columns: Seat,RoleGroup,Member (+ optional Custom=Yes to create a scoped group). owner-map columns: Type,Name,Owner,Review (Type = Dlp|Retention|AutoLabel). Prereqs: ExchangeOnlineManagement (Connect-IPPSSession) + Connect-ExchangeOnline for role-group cmdlets. EXPECTED RESULTS Without -Commit: a per-change plan and, for role adds, the reverse command. With -Commit: each change applied with a PASS/FAIL line. PASS = matrix members resolve to exactly the intended role groups; each stamped policy's Comment shows the owner/review tag and NO rule/scope/enforcement value changed. .NOTES White-label Microsoft Purview tooling. -WhatIf by default; writes only with -Commit. Security &amp; Compliance PowerShell / Exchange Online. No credentials in code. Role-group names EVOLVE - verify in your tenant. &gt; [CmdletBinding()] param( [string]$RoleMatrixCsv, [switch]$StampOwnership, [string]$OwnerMapCsv, [switch]$Restore, [string]$RestoreStorePath = ".\OPSCOE-StampBackup.json", [switch]$Commit )</w:t>
      </w:r>
    </w:p>
    <w:p>
      <w:r>
        <w:rPr>
          <w:b/>
        </w:rPr>
        <w:t>How to run:</w:t>
      </w:r>
      <w:r>
        <w:t xml:space="preserve"> Board role-group membership: .\OPSCOE-ApplyStandards.ps1 -RoleMatrixCsv .\coe-board-matrix.csv -WhatIf    # preview .\OPSCOE-ApplyStandards.ps1 -RoleMatrixCsv .\coe-board-matrix.csv -Commit    # apply Ownership/standard stamp: .\OPSCOE-ApplyStandards.ps1 -StampOwnership -OwnerMapCsv .\coe-owner-map.csv -WhatIf .\OPSCOE-ApplyStandards.ps1 -StampOwnership -OwnerMapCsv .\coe-owner-map.csv -Commit Revert the stamps: .\OPSCOE-ApplyStandards.ps1 -StampOwnership -Restore -Commit matrix columns: Seat,RoleGroup,Member (+ optional Custom=Yes to create a scoped group). owner-map columns: Type,Name,Owner,Review (Type = Dlp|Retention|AutoLabel). Prereqs: ExchangeOnlineManagement (Connect-IPPSSession) + Connect-ExchangeOnline for role-group cmdlets. EXPECTED RESULTS Without -Commit: a per-change plan and, for role adds, the reverse command. With -Commit: each change applied with a PASS/FAIL line. PASS = matrix members resolve to exactly the intended role groups; each stamped policy's Comment shows the owner/review tag and NO rule/scope/enforcement value changed. .NOTES White-label Microsoft Purview tooling. -WhatIf by default; writes only with -Commit. Security &amp; Compliance PowerShell / Exchange Online. No credentials in code. Role-group names EVOLVE - verify in your tenant. &gt; [CmdletBinding()] param( [string]$RoleMatrixCsv, [switch]$StampOwnership, [string]$OwnerMapCsv, [switch]$Restore, [string]$RestoreStorePath = ".\OPSCOE-StampBackup.json", [switch]$Commit )</w:t>
      </w:r>
    </w:p>
    <w:p>
      <w:pPr>
        <w:pStyle w:val="Heading2"/>
      </w:pPr>
      <w:r>
        <w:t>OPSCOE-Discovery.ps1</w:t>
      </w:r>
    </w:p>
    <w:p>
      <w:r>
        <w:rPr>
          <w:b/>
        </w:rPr>
        <w:t>Purpose:</w:t>
      </w:r>
      <w:r>
        <w:t xml:space="preserve"> Read-only estate inventory for a Purview Center of Excellence. Enumerates every readable governed artifact — sensitivity labels, label policies, DLP policies (+ rule counts), retention policies/labels (+ rule counts), auto-labeling policies, and (where readable) communication-compliance policies — and for each records its name, type, current state, owner (parsed from a CoE-Owner Comment stamp if present), and whether it conforms to the naming standard &lt;Purpose&gt; - &lt;Capability&gt; - &lt;State&gt;. This inventory becomes the governance register. HOW TO RUN PowerShell 5.1+ or 7+ with ExchangeOnlineManagement (Security &amp; Compliance PowerShell): Connect-IPPSSession .\OPSCOE-Discovery.ps1 -OutPath ".\Purview-CoE-Register-Governed.csv" Optional: -NamePattern to override the default naming-standard regex. EXPECTED RESULTS One row per governed artifact with Type/Name/State/Owner/Conforms, plus a summary count and a non-conforming list. Written to the -OutPath CSV (default .\Purview-CoE-Register-Governed.csv). Resolves Requirement 2.8. This is the register baseline for OPSCOE-Validate.ps1 / -Register.ps1. .NOTES White-label Microsoft Purview tooling. Read-only — enumerates only. No credentials stored in code. Availability caveat: unlicensed or portal-only capabilities (insider risk especially) will not enumerate — they are governed by attestation in the register, not invented here. Cmdlets are standard Security &amp; Compliance PowerShell; none are invented. Portal/cmdlet surfaces evolve — verify in your tenant. &gt; [CmdletBinding()] param( [string]$OutPath = ".\Purview-CoE-Register-Governed.csv", Default naming standard: "&lt;Purpose&gt; - &lt;Capability&gt; - &lt;State&gt;" (en dash or hyphen, 2 separators). [string]$NamePattern = '^.+\s[–-]\s.+\s[–-]\s.+$' )</w:t>
      </w:r>
    </w:p>
    <w:p>
      <w:r>
        <w:rPr>
          <w:b/>
        </w:rPr>
        <w:t>How to run:</w:t>
      </w:r>
      <w:r>
        <w:t xml:space="preserve"> PowerShell 5.1+ or 7+ with ExchangeOnlineManagement (Security &amp; Compliance PowerShell): Connect-IPPSSession .\OPSCOE-Discovery.ps1 -OutPath ".\Purview-CoE-Register-Governed.csv" Optional: -NamePattern to override the default naming-standard regex. EXPECTED RESULTS One row per governed artifact with Type/Name/State/Owner/Conforms, plus a summary count and a non-conforming list. Written to the -OutPath CSV (default .\Purview-CoE-Register-Governed.csv). Resolves Requirement 2.8. This is the register baseline for OPSCOE-Validate.ps1 / -Register.ps1. .NOTES White-label Microsoft Purview tooling. Read-only — enumerates only. No credentials stored in code. Availability caveat: unlicensed or portal-only capabilities (insider risk especially) will not enumerate — they are governed by attestation in the register, not invented here. Cmdlets are standard Security &amp; Compliance PowerShell; none are invented. Portal/cmdlet surfaces evolve — verify in your tenant. &gt; [CmdletBinding()] param( [string]$OutPath = ".\Purview-CoE-Register-Governed.csv", Default naming standard: "&lt;Purpose&gt; - &lt;Capability&gt; - &lt;State&gt;" (en dash or hyphen, 2 separators). [string]$NamePattern = '^.+\s[–-]\s.+\s[–-]\s.+$' )</w:t>
      </w:r>
    </w:p>
    <w:p>
      <w:pPr>
        <w:pStyle w:val="Heading2"/>
      </w:pPr>
      <w:r>
        <w:t>OPSCOE-Register.ps1</w:t>
      </w:r>
    </w:p>
    <w:p>
      <w:r>
        <w:rPr>
          <w:b/>
        </w:rPr>
        <w:t>Purpose:</w:t>
      </w:r>
      <w:r>
        <w:t xml:space="preserve"> Rolls the governance register (OPSCOE-Discovery.ps1) and the lifecycle-review results (OPSCOE-Validate.ps1) into the board's standing artifact: "Purview CoE Scorecard - Report" - counts by capability, % naming-conformant, % owned, % with a review date, count enforced-without-evidence (target 0), and the next-review-due list. Read-only - aggregates the two inputs, changes nothing. HOW TO RUN .\OPSCOE-Register.ps1 -Register .\Purview-CoE-Register-Governed.csv -Validation .\Purview-CoE-Lifecycle-Review.csv -OutPath .\Purview-CoE-Scorecard-Report.csv Optional: -ReviewCadenceDays 90 to set the "next review due" horizon. EXPECTED RESULTS A per-capability scorecard CSV plus a printed summary. The board's audit answer: enforced-without- evidence should be 0; naming/owned/review percentages trend to 100%. PASS = scorecard produced and enforced-without-evidence = 0. .NOTES White-label Microsoft Purview tooling. Read-only. No credentials in code. Portal-only capabilities are counted as attestation rows. Verify capability availability/cmdlets in your tenant. &gt; [CmdletBinding()] param( [Parameter(Mandatory)][string]$Register, [Parameter(Mandatory)][string]$Validation, [string]$OutPath = ".\Purview-CoE-Scorecard-Report.csv", [int]$ReviewCadenceDays = 90 )</w:t>
      </w:r>
    </w:p>
    <w:p>
      <w:r>
        <w:rPr>
          <w:b/>
        </w:rPr>
        <w:t>How to run:</w:t>
      </w:r>
      <w:r>
        <w:t xml:space="preserve"> .\OPSCOE-Register.ps1 -Register .\Purview-CoE-Register-Governed.csv -Validation .\Purview-CoE-Lifecycle-Review.csv -OutPath .\Purview-CoE-Scorecard-Report.csv Optional: -ReviewCadenceDays 90 to set the "next review due" horizon. EXPECTED RESULTS A per-capability scorecard CSV plus a printed summary. The board's audit answer: enforced-without- evidence should be 0; naming/owned/review percentages trend to 100%. PASS = scorecard produced and enforced-without-evidence = 0. .NOTES White-label Microsoft Purview tooling. Read-only. No credentials in code. Portal-only capabilities are counted as attestation rows. Verify capability availability/cmdlets in your tenant. &gt; [CmdletBinding()] param( [Parameter(Mandatory)][string]$Register, [Parameter(Mandatory)][string]$Validation, [string]$OutPath = ".\Purview-CoE-Scorecard-Report.csv", [int]$ReviewCadenceDays = 90 )</w:t>
      </w:r>
    </w:p>
    <w:p>
      <w:pPr>
        <w:pStyle w:val="Heading2"/>
      </w:pPr>
      <w:r>
        <w:t>OPSCOE-ScopeCheck.ps1</w:t>
      </w:r>
    </w:p>
    <w:p>
      <w:r>
        <w:rPr>
          <w:b/>
        </w:rPr>
        <w:t>Purpose:</w:t>
      </w:r>
      <w:r>
        <w:t xml:space="preserve"> Read-only pre-flight for a Microsoft Purview Center of Excellence. Confirms your Security &amp; Compliance PowerShell (and optional Graph) sign-in, reports which compliance SKUs are present, and lists which governed capabilities (sensitivity/retention labels, DLP, auto-labeling, communication compliance, audit) are visible versus unlicensed or portal-only — so the CoE's remit is bounded by what the tenant can actually run. Changes nothing. HOW TO RUN PowerShell 5.1+ or 7+, with the ExchangeOnlineManagement (Security &amp; Compliance PowerShell) and, optionally, Microsoft.Graph modules: Connect-IPPSSession Connect-ExchangeOnline        # optional, enables audit-config visibility .\OPSCOE-ScopeCheck.ps1 To also read licensing/directory via Graph, pass -UseGraph (Connect-MgGraph is invoked read-only). EXPECTED RESULTS A readiness summary: sign-in OK, compliance SKUs present, and per-capability visibility (in-remit / unlicensed / portal-only). Written to .\OPSCOE-ScopeCheck-Scope-Assess.csv. Resolves Requirements 2.1-2.4. Any FAIL must be resolved before governing that capability. .NOTES White-label Microsoft Purview tooling. Read-only. No credentials are stored or requested in code. Availability caveat: Purview capabilities are licensing-/tenant-dependent and the portal evolves; insider risk (and parts of communication compliance) are primarily portal-managed with limited PowerShell — this script reports what it can see and flags the rest for attestation. Cmdlets are standard Security &amp; Compliance PowerShell / Exchange Online / Graph; none are invented. &gt; [CmdletBinding()] param( [switch]$UseGraph, [string]$OutPath = ".\OPSCOE-ScopeCheck-Scope-Assess.csv" )</w:t>
      </w:r>
    </w:p>
    <w:p>
      <w:r>
        <w:rPr>
          <w:b/>
        </w:rPr>
        <w:t>How to run:</w:t>
      </w:r>
      <w:r>
        <w:t xml:space="preserve"> PowerShell 5.1+ or 7+, with the ExchangeOnlineManagement (Security &amp; Compliance PowerShell) and, optionally, Microsoft.Graph modules: Connect-IPPSSession Connect-ExchangeOnline        # optional, enables audit-config visibility .\OPSCOE-ScopeCheck.ps1 To also read licensing/directory via Graph, pass -UseGraph (Connect-MgGraph is invoked read-only). EXPECTED RESULTS A readiness summary: sign-in OK, compliance SKUs present, and per-capability visibility (in-remit / unlicensed / portal-only). Written to .\OPSCOE-ScopeCheck-Scope-Assess.csv. Resolves Requirements 2.1-2.4. Any FAIL must be resolved before governing that capability. .NOTES White-label Microsoft Purview tooling. Read-only. No credentials are stored or requested in code. Availability caveat: Purview capabilities are licensing-/tenant-dependent and the portal evolves; insider risk (and parts of communication compliance) are primarily portal-managed with limited PowerShell — this script reports what it can see and flags the rest for attestation. Cmdlets are standard Security &amp; Compliance PowerShell / Exchange Online / Graph; none are invented. &gt; [CmdletBinding()] param( [switch]$UseGraph, [string]$OutPath = ".\OPSCOE-ScopeCheck-Scope-Assess.csv" )</w:t>
      </w:r>
    </w:p>
    <w:p>
      <w:pPr>
        <w:pStyle w:val="Heading2"/>
      </w:pPr>
      <w:r>
        <w:t>OPSCOE-Validate.ps1</w:t>
      </w:r>
    </w:p>
    <w:p>
      <w:r>
        <w:rPr>
          <w:b/>
        </w:rPr>
        <w:t>Purpose:</w:t>
      </w:r>
      <w:r>
        <w:t xml:space="preserve"> The machine-checkable governance gate for a Purview Center of Excellence. Reads the standards config (naming pattern + review cadence) and the governance register (from OPSCOE-Discovery.ps1) and checks, per artifact: (1) NAMING conformance to &lt;Purpose&gt; - &lt;Capability&gt; - &lt;State&gt;; (2) an OWNER and a REVIEW date exist (register column or stamped Comment); (3) no HIGH-IMPACT policy is ENFORCED without recorded simulation/test evidence; (4) SEPARATION OF DUTIES - no board member sits in a conflicting investigative role; and (5) the register RECONCILES to the live tenant (no orphaned/unregistered artifacts). Read-only. Produces "Purview CoE Lifecycle - Review" with a per-artifact PASS/FAIL/WARN. HOW TO RUN Connect-IPPSSession    # (+ Connect-ExchangeOnline for role-group membership reconciliation) .\OPSCOE-Validate.ps1 -StandardsConfig .\coe-standards.json -Register .\Purview-CoE-Register-Governed.csv -OutPath .\Purview-CoE-Lifecycle-Review.csv Optional: -BoardMatrixCsv .\coe-board-matrix.csv to run the separation-of-duties check; -SkipLiveReconcile to validate the register alone without connecting. coe-standards.json: { "namePattern": "...", "reviewCadenceDays": 90, "investigativeRoles": [ ... ] } EXPECTED RESULTS A per-artifact PASS/FAIL/WARN table written to -OutPath, plus a summary. PASS overall = every gate PASS (WARN allowed only with a recorded, board-accepted exception). Any FAIL is remediated via intake before the estate is declared governed. .NOTES White-label Microsoft Purview tooling. Read-only - evaluates only. No credentials in code. Portal-only capabilities (insider risk) are governed by attestation rows, not invented cmdlets. Verify in your tenant. &gt; [CmdletBinding()] param( [Parameter(Mandatory)][string]$StandardsConfig, [Parameter(Mandatory)][string]$Register, [string]$OutPath = ".\Purview-CoE-Lifecycle-Review.csv", [string]$BoardMatrixCsv, [switch]$SkipLiveReconcile )</w:t>
      </w:r>
    </w:p>
    <w:p>
      <w:r>
        <w:rPr>
          <w:b/>
        </w:rPr>
        <w:t>How to run:</w:t>
      </w:r>
      <w:r>
        <w:t xml:space="preserve"> Connect-IPPSSession    # (+ Connect-ExchangeOnline for role-group membership reconciliation) .\OPSCOE-Validate.ps1 -StandardsConfig .\coe-standards.json -Register .\Purview-CoE-Register-Governed.csv -OutPath .\Purview-CoE-Lifecycle-Review.csv Optional: -BoardMatrixCsv .\coe-board-matrix.csv to run the separation-of-duties check; -SkipLiveReconcile to validate the register alone without connecting. coe-standards.json: { "namePattern": "...", "reviewCadenceDays": 90, "investigativeRoles": [ ... ] } EXPECTED RESULTS A per-artifact PASS/FAIL/WARN table written to -OutPath, plus a summary. PASS overall = every gate PASS (WARN allowed only with a recorded, board-accepted exception). Any FAIL is remediated via intake before the estate is declared governed. .NOTES White-label Microsoft Purview tooling. Read-only - evaluates only. No credentials in code. Portal-only capabilities (insider risk) are governed by attestation rows, not invented cmdlets. Verify in your tenant. &gt; [CmdletBinding()] param( [Parameter(Mandatory)][string]$StandardsConfig, [Parameter(Mandatory)][string]$Register, [string]$OutPath = ".\Purview-CoE-Lifecycle-Review.csv", [string]$BoardMatrixCsv, [switch]$SkipLiveReconcile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