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Active Directory Capacity &amp; Architecture Assessment — Project Group-Provisioning (RID) Review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2026-07-03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t xml:space="preserve">HDR is standing up an automated provisioning system that creates </w:t>
      </w:r>
      <w:r>
        <w:rPr>
          <w:b/>
        </w:rPr>
        <w:t>three Active Directory security groups per engineering project</w:t>
      </w:r>
      <w:r>
        <w:t xml:space="preserve"> — a </w:t>
      </w:r>
      <w:r>
        <w:rPr>
          <w:b/>
        </w:rPr>
        <w:t>Read</w:t>
      </w:r>
      <w:r>
        <w:t xml:space="preserve">, a </w:t>
      </w:r>
      <w:r>
        <w:rPr>
          <w:b/>
        </w:rPr>
        <w:t>Write</w:t>
      </w:r>
      <w:r>
        <w:t xml:space="preserve">, and a </w:t>
      </w:r>
      <w:r>
        <w:rPr>
          <w:b/>
        </w:rPr>
        <w:t>Privileged Write</w:t>
      </w:r>
      <w:r>
        <w:t xml:space="preserve"> group — at a projected rate of </w:t>
      </w:r>
      <w:r>
        <w:rPr>
          <w:b/>
        </w:rPr>
        <w:t>30–40 projects per week</w:t>
      </w:r>
      <w:r>
        <w:t>. A prior generation of this tooling created 5 groups + a shared mailbox per project and was scaled back after Microsoft raised a concern about the *rate* of security-principal creation and RID consumption.</w:t>
      </w:r>
    </w:p>
    <w:p>
      <w:r>
        <w:rPr>
          <w:b/>
        </w:rPr>
        <w:t>Bottom line:</w:t>
      </w:r>
      <w:r>
        <w:t xml:space="preserve"> </w:t>
      </w:r>
      <w:r>
        <w:rPr>
          <w:b/>
        </w:rPr>
        <w:t>RID exhaustion is not a realistic risk for this workload.</w:t>
      </w:r>
      <w:r>
        <w:t xml:space="preserve"> The domain has consumed </w:t>
      </w:r>
      <w:r>
        <w:rPr>
          <w:b/>
        </w:rPr>
        <w:t>1,478,144 of 1,073,741,823 RIDs (~0.138%)</w:t>
      </w:r>
      <w:r>
        <w:t xml:space="preserve">. The proposed application adds at most </w:t>
      </w:r>
      <w:r>
        <w:rPr>
          <w:b/>
        </w:rPr>
        <w:t>~6,240 groups per year</w:t>
      </w:r>
      <w:r>
        <w:t xml:space="preserve">; against the </w:t>
      </w:r>
      <w:r>
        <w:rPr>
          <w:b/>
        </w:rPr>
        <w:t>1,072,263,679 remaining</w:t>
      </w:r>
      <w:r>
        <w:t xml:space="preserve"> RIDs, this workload alone would take on the order of </w:t>
      </w:r>
      <w:r>
        <w:rPr>
          <w:b/>
        </w:rPr>
        <w:t>170,000+ years</w:t>
      </w:r>
      <w:r>
        <w:t xml:space="preserve"> to exhaust, and even the *entire* organization's blended object-creation rate leaves a runway measured in </w:t>
      </w:r>
      <w:r>
        <w:rPr>
          <w:b/>
        </w:rPr>
        <w:t>thousands of years</w:t>
      </w:r>
      <w:r>
        <w:t xml:space="preserve"> — with a documented </w:t>
      </w:r>
      <w:r>
        <w:rPr>
          <w:b/>
        </w:rPr>
        <w:t>safety valve</w:t>
      </w:r>
      <w:r>
        <w:t xml:space="preserve"> (the extended RID pool) that doubles capacity if ever needed.</w:t>
      </w:r>
    </w:p>
    <w:p>
      <w:r>
        <w:rPr>
          <w:b/>
        </w:rPr>
        <w:t>However, the assessment should not be approved on RID availability alone.</w:t>
      </w:r>
      <w:r>
        <w:t xml:space="preserve"> The real, near-term risks of a per-project 3-group model are </w:t>
      </w:r>
      <w:r>
        <w:rPr>
          <w:b/>
        </w:rPr>
        <w:t>Kerberos token bloat</w:t>
      </w:r>
      <w:r>
        <w:t xml:space="preserve"> (for users/service accounts attached to many projects), </w:t>
      </w:r>
      <w:r>
        <w:rPr>
          <w:b/>
        </w:rPr>
        <w:t>group sprawl and lifecycle debt</w:t>
      </w:r>
      <w:r>
        <w:t xml:space="preserve"> (abandoned project groups), and </w:t>
      </w:r>
      <w:r>
        <w:rPr>
          <w:b/>
        </w:rPr>
        <w:t>operational/administrative overhead</w:t>
      </w:r>
      <w:r>
        <w:t xml:space="preserve"> — none of which are RID problems. This document approves the model </w:t>
      </w:r>
      <w:r>
        <w:rPr>
          <w:b/>
        </w:rPr>
        <w:t>with governance guardrails</w:t>
      </w:r>
      <w:r>
        <w:t xml:space="preserve"> and provides the monitoring and lifecycle controls required to keep it sustainable.</w:t>
      </w:r>
    </w:p>
    <w:p>
      <w:r>
        <w:rPr>
          <w:b/>
        </w:rPr>
        <w:t>Recommendation: APPROVE the 3-group-per-project model, conditional on the guardrails in §8.</w:t>
      </w:r>
    </w:p>
    <w:p>
      <w:r>
        <w:t>__________________________________________________</w:t>
      </w:r>
    </w:p>
    <w:p>
      <w:pPr>
        <w:pStyle w:val="Heading2"/>
      </w:pPr>
      <w:r>
        <w:t>2. Restated Requirement (what is actually being asked)</w:t>
      </w:r>
    </w:p>
    <w:p>
      <w:pPr>
        <w:ind w:left="432"/>
      </w:pPr>
      <w:r>
        <w:rPr>
          <w:i/>
          <w:color w:val="2E86C1"/>
        </w:rPr>
        <w:t>Determine whether the proposed per-project Active Directory group-provisioning model is sustainable over the long term — without introducing RID exhaustion, directory scalability issues, or operational risk — and provide recommendations for a scalable design aligned with Microsoft Active Directory best practices.</w:t>
      </w:r>
    </w:p>
    <w:p>
      <w:r>
        <w:t xml:space="preserve">The question "can we create three groups?" is the implementation detail. The decision this assessment supports is an </w:t>
      </w:r>
      <w:r>
        <w:rPr>
          <w:b/>
        </w:rPr>
        <w:t>architectural go/no-go with conditions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3. Current State &amp; Workload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Groups per project</w:t>
            </w:r>
          </w:p>
        </w:tc>
        <w:tc>
          <w:tcPr>
            <w:tcW w:type="dxa" w:w="4320"/>
          </w:tcPr>
          <w:p>
            <w:r>
              <w:t>3 (Read, Write, Privileged Write)</w:t>
            </w:r>
          </w:p>
        </w:tc>
      </w:tr>
      <w:tr>
        <w:tc>
          <w:tcPr>
            <w:tcW w:type="dxa" w:w="4320"/>
          </w:tcPr>
          <w:p>
            <w:r>
              <w:t>Projects per week</w:t>
            </w:r>
          </w:p>
        </w:tc>
        <w:tc>
          <w:tcPr>
            <w:tcW w:type="dxa" w:w="4320"/>
          </w:tcPr>
          <w:p>
            <w:r>
              <w:t>30–40</w:t>
            </w:r>
          </w:p>
        </w:tc>
      </w:tr>
      <w:tr>
        <w:tc>
          <w:tcPr>
            <w:tcW w:type="dxa" w:w="4320"/>
          </w:tcPr>
          <w:p>
            <w:r>
              <w:t>Groups per week</w:t>
            </w:r>
          </w:p>
        </w:tc>
        <w:tc>
          <w:tcPr>
            <w:tcW w:type="dxa" w:w="4320"/>
          </w:tcPr>
          <w:p>
            <w:r>
              <w:t>90 – 120</w:t>
            </w:r>
          </w:p>
        </w:tc>
      </w:tr>
      <w:tr>
        <w:tc>
          <w:tcPr>
            <w:tcW w:type="dxa" w:w="4320"/>
          </w:tcPr>
          <w:p>
            <w:r>
              <w:t>Groups per year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4,680 – 6,240</w:t>
            </w:r>
            <w:r>
              <w:t xml:space="preserve"> (52 weeks)</w:t>
            </w:r>
          </w:p>
        </w:tc>
      </w:tr>
      <w:tr>
        <w:tc>
          <w:tcPr>
            <w:tcW w:type="dxa" w:w="4320"/>
          </w:tcPr>
          <w:p>
            <w:r>
              <w:t>Prior model (retired)</w:t>
            </w:r>
          </w:p>
        </w:tc>
        <w:tc>
          <w:tcPr>
            <w:tcW w:type="dxa" w:w="4320"/>
          </w:tcPr>
          <w:p>
            <w:r>
              <w:t>5 groups + 1 shared mailbox/project</w:t>
            </w:r>
          </w:p>
        </w:tc>
      </w:tr>
      <w:tr>
        <w:tc>
          <w:tcPr>
            <w:tcW w:type="dxa" w:w="4320"/>
          </w:tcPr>
          <w:p>
            <w:r>
              <w:t>RIDs consumed (reported)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1,478,144</w:t>
            </w:r>
          </w:p>
        </w:tc>
      </w:tr>
      <w:tr>
        <w:tc>
          <w:tcPr>
            <w:tcW w:type="dxa" w:w="4320"/>
          </w:tcPr>
          <w:p>
            <w:r>
              <w:t>RID maximum (default 30-bit pool)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1,073,741,823</w:t>
            </w:r>
            <w:r>
              <w:t xml:space="preserve"> (2³⁰ − 1)</w:t>
            </w:r>
          </w:p>
        </w:tc>
      </w:tr>
      <w:tr>
        <w:tc>
          <w:tcPr>
            <w:tcW w:type="dxa" w:w="4320"/>
          </w:tcPr>
          <w:p>
            <w:r>
              <w:t>Percent consumed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~0.138%</w:t>
            </w:r>
          </w:p>
        </w:tc>
      </w:tr>
      <w:tr>
        <w:tc>
          <w:tcPr>
            <w:tcW w:type="dxa" w:w="4320"/>
          </w:tcPr>
          <w:p>
            <w:r>
              <w:t>RIDs remaining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1,072,263,679</w:t>
            </w:r>
          </w:p>
        </w:tc>
      </w:tr>
    </w:tbl>
    <w:p>
      <w:r>
        <w:t xml:space="preserve">*(Note: the maximum-workload annual figure is 40 × 3 × 52 = </w:t>
      </w:r>
      <w:r>
        <w:rPr>
          <w:b/>
        </w:rPr>
        <w:t>6,240 groups/year</w:t>
      </w:r>
      <w:r>
        <w:t>, not ~1,500 — the higher number is used for all worst-case projections below.)*</w:t>
      </w:r>
    </w:p>
    <w:p>
      <w:r>
        <w:t>__________________________________________________</w:t>
      </w:r>
    </w:p>
    <w:p>
      <w:pPr>
        <w:pStyle w:val="Heading2"/>
      </w:pPr>
      <w:r>
        <w:t>4. RID Fundamentals (why the prior warning happened, and why it's low-risk now)</w:t>
      </w:r>
    </w:p>
    <w:p>
      <w:pPr>
        <w:pStyle w:val="ListBullet"/>
      </w:pPr>
      <w:r>
        <w:t xml:space="preserve">Every </w:t>
      </w:r>
      <w:r>
        <w:rPr>
          <w:b/>
        </w:rPr>
        <w:t>security principal</w:t>
      </w:r>
      <w:r>
        <w:t xml:space="preserve"> (user, computer, group) is assigned a unique </w:t>
      </w:r>
      <w:r>
        <w:rPr>
          <w:b/>
        </w:rPr>
        <w:t>SID</w:t>
      </w:r>
      <w:r>
        <w:t xml:space="preserve"> = *domain SID* +</w:t>
      </w:r>
    </w:p>
    <w:p>
      <w:r>
        <w:t xml:space="preserve">  </w:t>
      </w:r>
      <w:r>
        <w:rPr>
          <w:b/>
        </w:rPr>
        <w:t>RID</w:t>
      </w:r>
      <w:r>
        <w:t xml:space="preserve">. RIDs come from a </w:t>
      </w:r>
      <w:r>
        <w:rPr>
          <w:b/>
        </w:rPr>
        <w:t>per-domain pool</w:t>
      </w:r>
      <w:r>
        <w:t xml:space="preserve"> managed by the </w:t>
      </w:r>
      <w:r>
        <w:rPr>
          <w:b/>
        </w:rPr>
        <w:t>RID Master</w:t>
      </w:r>
      <w:r>
        <w:t xml:space="preserve"> FSMO role holder.</w:t>
      </w:r>
    </w:p>
    <w:p>
      <w:pPr>
        <w:pStyle w:val="ListBullet"/>
      </w:pPr>
      <w:r>
        <w:t xml:space="preserve">The RID Master hands each DC blocks of </w:t>
      </w:r>
      <w:r>
        <w:rPr>
          <w:b/>
        </w:rPr>
        <w:t>500 RIDs</w:t>
      </w:r>
      <w:r>
        <w:t xml:space="preserve"> at a time; a DC requests a new block when it drops</w:t>
      </w:r>
    </w:p>
    <w:p>
      <w:r>
        <w:t xml:space="preserve">  below ~50% of its current block.</w:t>
      </w:r>
    </w:p>
    <w:p>
      <w:pPr>
        <w:pStyle w:val="ListBullet"/>
      </w:pPr>
      <w:r>
        <w:t xml:space="preserve">The default pool is </w:t>
      </w:r>
      <w:r>
        <w:rPr>
          <w:b/>
        </w:rPr>
        <w:t>30-bit → 2³⁰ − 1 = 1,073,741,823</w:t>
      </w:r>
      <w:r>
        <w:t xml:space="preserve"> RIDs per domain.</w:t>
      </w:r>
    </w:p>
    <w:p>
      <w:pPr>
        <w:pStyle w:val="ListBullet"/>
      </w:pPr>
      <w:r>
        <w:rPr>
          <w:b/>
        </w:rPr>
        <w:t>RIDs are never reclaimed.</w:t>
      </w:r>
      <w:r>
        <w:t xml:space="preserve"> Deleting a group does </w:t>
      </w:r>
      <w:r>
        <w:rPr>
          <w:b/>
        </w:rPr>
        <w:t>not</w:t>
      </w:r>
      <w:r>
        <w:t xml:space="preserve"> return its RID to the pool. So consumption</w:t>
      </w:r>
    </w:p>
    <w:p>
      <w:r>
        <w:t xml:space="preserve">  is </w:t>
      </w:r>
      <w:r>
        <w:rPr>
          <w:b/>
        </w:rPr>
        <w:t>cumulative over the life of the domain</w:t>
      </w:r>
      <w:r>
        <w:t xml:space="preserve"> — this is why *rate* matters and why the prior 5-groups+   mailbox model drew a caution: it was the trajectory, not an immediate cliff.</w:t>
      </w:r>
    </w:p>
    <w:p>
      <w:pPr>
        <w:pStyle w:val="ListBullet"/>
      </w:pPr>
      <w:r>
        <w:rPr>
          <w:b/>
        </w:rPr>
        <w:t>Safety valve:</w:t>
      </w:r>
      <w:r>
        <w:t xml:space="preserve"> on Windows Server 2012+, the </w:t>
      </w:r>
      <w:r>
        <w:rPr>
          <w:b/>
        </w:rPr>
        <w:t>extended RID pool</w:t>
      </w:r>
      <w:r>
        <w:t xml:space="preserve"> can be unlocked to raise the pool</w:t>
      </w:r>
    </w:p>
    <w:p>
      <w:r>
        <w:t xml:space="preserve">  ceiling to </w:t>
      </w:r>
      <w:r>
        <w:rPr>
          <w:b/>
        </w:rPr>
        <w:t>2³¹ = 2,147,483,648</w:t>
      </w:r>
      <w:r>
        <w:t xml:space="preserve"> (doubling capacity). This is a one-way, supported operation held in   reserve — it is *not* needed here, but it exists.</w:t>
      </w:r>
    </w:p>
    <w:p>
      <w:r>
        <w:t>__________________________________________________</w:t>
      </w:r>
    </w:p>
    <w:p>
      <w:pPr>
        <w:pStyle w:val="Heading2"/>
      </w:pPr>
      <w:r>
        <w:t>5. RID Consumption Projection</w:t>
      </w:r>
    </w:p>
    <w:p>
      <w:r>
        <w:rPr>
          <w:b/>
        </w:rPr>
        <w:t>This application's contribution only: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Worst-case groups/year</w:t>
            </w:r>
          </w:p>
        </w:tc>
        <w:tc>
          <w:tcPr>
            <w:tcW w:type="dxa" w:w="4320"/>
          </w:tcPr>
          <w:p>
            <w:r>
              <w:t>6,240</w:t>
            </w:r>
          </w:p>
        </w:tc>
      </w:tr>
      <w:tr>
        <w:tc>
          <w:tcPr>
            <w:tcW w:type="dxa" w:w="4320"/>
          </w:tcPr>
          <w:p>
            <w:r>
              <w:t>RIDs remaining</w:t>
            </w:r>
          </w:p>
        </w:tc>
        <w:tc>
          <w:tcPr>
            <w:tcW w:type="dxa" w:w="4320"/>
          </w:tcPr>
          <w:p>
            <w:r>
              <w:t>1,072,263,679</w:t>
            </w:r>
          </w:p>
        </w:tc>
      </w:tr>
      <w:tr>
        <w:tc>
          <w:tcPr>
            <w:tcW w:type="dxa" w:w="4320"/>
          </w:tcPr>
          <w:p>
            <w:r>
              <w:t>Years to exhaust (this app alone, worst case)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~171,800 years</w:t>
            </w:r>
          </w:p>
        </w:tc>
      </w:tr>
      <w:tr>
        <w:tc>
          <w:tcPr>
            <w:tcW w:type="dxa" w:w="4320"/>
          </w:tcPr>
          <w:p>
            <w:r>
              <w:t>Years to exhaust (this app alone, low case 4,680/yr)</w:t>
            </w:r>
          </w:p>
        </w:tc>
        <w:tc>
          <w:tcPr>
            <w:tcW w:type="dxa" w:w="4320"/>
          </w:tcPr>
          <w:p>
            <w:r>
              <w:t>~229,100 years</w:t>
            </w:r>
          </w:p>
        </w:tc>
      </w:tr>
    </w:tbl>
    <w:p>
      <w:r>
        <w:rPr>
          <w:b/>
        </w:rPr>
        <w:t>Whole-organization blended view</w:t>
      </w:r>
      <w:r>
        <w:t xml:space="preserve"> (RIDs are consumed by *all* principals ever created — users, computers, and every other group source — not just this app):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Assumed total org RID burn / 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 this app (6,240)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Years to exhaust remaining</w:t>
            </w:r>
          </w:p>
        </w:tc>
      </w:tr>
      <w:tr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56,240</w:t>
            </w:r>
          </w:p>
        </w:tc>
        <w:tc>
          <w:tcPr>
            <w:tcW w:type="dxa" w:w="2880"/>
          </w:tcPr>
          <w:p>
            <w:r>
              <w:t>~19,070 years</w:t>
            </w:r>
          </w:p>
        </w:tc>
      </w:tr>
      <w:tr>
        <w:tc>
          <w:tcPr>
            <w:tcW w:type="dxa" w:w="2880"/>
          </w:tcPr>
          <w:p>
            <w:r>
              <w:t>100,000</w:t>
            </w:r>
          </w:p>
        </w:tc>
        <w:tc>
          <w:tcPr>
            <w:tcW w:type="dxa" w:w="2880"/>
          </w:tcPr>
          <w:p>
            <w:r>
              <w:t>106,240</w:t>
            </w:r>
          </w:p>
        </w:tc>
        <w:tc>
          <w:tcPr>
            <w:tcW w:type="dxa" w:w="2880"/>
          </w:tcPr>
          <w:p>
            <w:r>
              <w:t>~10,090 years</w:t>
            </w:r>
          </w:p>
        </w:tc>
      </w:tr>
      <w:tr>
        <w:tc>
          <w:tcPr>
            <w:tcW w:type="dxa" w:w="2880"/>
          </w:tcPr>
          <w:p>
            <w:r>
              <w:t>250,000</w:t>
            </w:r>
          </w:p>
        </w:tc>
        <w:tc>
          <w:tcPr>
            <w:tcW w:type="dxa" w:w="2880"/>
          </w:tcPr>
          <w:p>
            <w:r>
              <w:t>256,240</w:t>
            </w:r>
          </w:p>
        </w:tc>
        <w:tc>
          <w:tcPr>
            <w:tcW w:type="dxa" w:w="2880"/>
          </w:tcPr>
          <w:p>
            <w:r>
              <w:t>~4,185 years</w:t>
            </w:r>
          </w:p>
        </w:tc>
      </w:tr>
      <w:tr>
        <w:tc>
          <w:tcPr>
            <w:tcW w:type="dxa" w:w="2880"/>
          </w:tcPr>
          <w:p>
            <w:r>
              <w:t>500,000</w:t>
            </w:r>
          </w:p>
        </w:tc>
        <w:tc>
          <w:tcPr>
            <w:tcW w:type="dxa" w:w="2880"/>
          </w:tcPr>
          <w:p>
            <w:r>
              <w:t>506,240</w:t>
            </w:r>
          </w:p>
        </w:tc>
        <w:tc>
          <w:tcPr>
            <w:tcW w:type="dxa" w:w="2880"/>
          </w:tcPr>
          <w:p>
            <w:r>
              <w:t>~2,118 years</w:t>
            </w:r>
          </w:p>
        </w:tc>
      </w:tr>
    </w:tbl>
    <w:p>
      <w:r>
        <w:t xml:space="preserve">Even under aggressive assumptions, the runway is </w:t>
      </w:r>
      <w:r>
        <w:rPr>
          <w:b/>
        </w:rPr>
        <w:t>millennia</w:t>
      </w:r>
      <w:r>
        <w:t xml:space="preserve">. The incremental </w:t>
      </w:r>
      <w:r>
        <w:rPr>
          <w:b/>
        </w:rPr>
        <w:t>6,240 RIDs/year</w:t>
      </w:r>
      <w:r>
        <w:t xml:space="preserve"> from this application is </w:t>
      </w:r>
      <w:r>
        <w:rPr>
          <w:b/>
        </w:rPr>
        <w:t>statistically negligible</w:t>
      </w:r>
      <w:r>
        <w:t xml:space="preserve"> against both the remaining pool and the extended-pool safety valve.</w:t>
      </w:r>
    </w:p>
    <w:p>
      <w:r>
        <w:rPr>
          <w:b/>
        </w:rPr>
        <w:t>Finding:</w:t>
      </w:r>
      <w:r>
        <w:t xml:space="preserve"> RID exhaustion risk = </w:t>
      </w:r>
      <w:r>
        <w:rPr>
          <w:b/>
        </w:rPr>
        <w:t>Very Low</w:t>
      </w:r>
      <w:r>
        <w:t>. Not a basis to block the design.</w:t>
      </w:r>
    </w:p>
    <w:p>
      <w:r>
        <w:t>__________________________________________________</w:t>
      </w:r>
    </w:p>
    <w:p>
      <w:pPr>
        <w:pStyle w:val="Heading2"/>
      </w:pPr>
      <w:r>
        <w:t>6. The Risks That *Do* Matter (non-RID)</w:t>
      </w:r>
    </w:p>
    <w:p>
      <w:r>
        <w:t>RID exhaustion is the wrong thing to worry about at this scale. The following are the real, design-relevant impacts of proliferating per-project groups.</w:t>
      </w:r>
    </w:p>
    <w:p>
      <w:pPr>
        <w:pStyle w:val="Heading3"/>
      </w:pPr>
      <w:r>
        <w:t>6.1 Kerberos Token Bloat *(highest practical risk)*</w:t>
      </w:r>
    </w:p>
    <w:p>
      <w:pPr>
        <w:pStyle w:val="ListBullet"/>
      </w:pPr>
      <w:r>
        <w:t xml:space="preserve">A user's Kerberos ticket (PAC) carries the </w:t>
      </w:r>
      <w:r>
        <w:rPr>
          <w:b/>
        </w:rPr>
        <w:t>SID of every group they belong to</w:t>
      </w:r>
      <w:r>
        <w:t xml:space="preserve"> (plus SID history and,</w:t>
      </w:r>
    </w:p>
    <w:p>
      <w:r>
        <w:t xml:space="preserve">  under AGDLP, the domain-local resource-group SIDs).</w:t>
      </w:r>
    </w:p>
    <w:p>
      <w:pPr>
        <w:pStyle w:val="ListBullet"/>
      </w:pPr>
      <w:r>
        <w:t xml:space="preserve">Default </w:t>
      </w:r>
      <w:r>
        <w:rPr>
          <w:b/>
        </w:rPr>
        <w:t>MaxTokenSize = 48,000 bytes</w:t>
      </w:r>
      <w:r>
        <w:t xml:space="preserve"> (Server 2012+). There is also a hard ceiling of roughly</w:t>
      </w:r>
    </w:p>
    <w:p>
      <w:r>
        <w:t xml:space="preserve">  </w:t>
      </w:r>
      <w:r>
        <w:rPr>
          <w:b/>
        </w:rPr>
        <w:t>1,015 group SIDs</w:t>
      </w:r>
      <w:r>
        <w:t xml:space="preserve"> before authentication fails outright.</w:t>
      </w:r>
    </w:p>
    <w:p>
      <w:pPr>
        <w:pStyle w:val="ListBullet"/>
      </w:pPr>
      <w:r>
        <w:rPr>
          <w:b/>
        </w:rPr>
        <w:t>Where this bites:</w:t>
      </w:r>
      <w:r>
        <w:t xml:space="preserve"> a user, </w:t>
      </w:r>
      <w:r>
        <w:rPr>
          <w:b/>
        </w:rPr>
        <w:t>service account, or automation identity attached to many projects</w:t>
      </w:r>
      <w:r>
        <w:t>.</w:t>
      </w:r>
    </w:p>
    <w:p>
      <w:r>
        <w:t xml:space="preserve">  At 3 groups/project, a person on </w:t>
      </w:r>
      <w:r>
        <w:rPr>
          <w:b/>
        </w:rPr>
        <w:t>100 projects consumes ~300 project-group SIDs</w:t>
      </w:r>
      <w:r>
        <w:t xml:space="preserve"> — before counting   their baseline enterprise groups. Power users, PMs, and service accounts that span the portfolio are   the exposure, not the average engineer.</w:t>
      </w:r>
    </w:p>
    <w:p>
      <w:pPr>
        <w:pStyle w:val="ListBullet"/>
      </w:pPr>
      <w:r>
        <w:rPr>
          <w:b/>
        </w:rPr>
        <w:t>Mitigation:</w:t>
      </w:r>
      <w:r>
        <w:t xml:space="preserve"> monitor token size for high-membership principals; avoid deep nesting; scope service</w:t>
      </w:r>
    </w:p>
    <w:p>
      <w:r>
        <w:t xml:space="preserve">  accounts to only the projects they truly need; consider role-resource separation (§7).</w:t>
      </w:r>
    </w:p>
    <w:p>
      <w:pPr>
        <w:pStyle w:val="Heading3"/>
      </w:pPr>
      <w:r>
        <w:t>6.2 Group Sprawl &amp; Lifecycle Debt *(highest operational risk)*</w:t>
      </w:r>
    </w:p>
    <w:p>
      <w:pPr>
        <w:pStyle w:val="ListBullet"/>
      </w:pPr>
      <w:r>
        <w:t xml:space="preserve">6,240 groups/year with </w:t>
      </w:r>
      <w:r>
        <w:rPr>
          <w:b/>
        </w:rPr>
        <w:t>no deprovisioning</w:t>
      </w:r>
      <w:r>
        <w:t xml:space="preserve"> = </w:t>
      </w:r>
      <w:r>
        <w:rPr>
          <w:b/>
        </w:rPr>
        <w:t>62,400 groups in 10 years</w:t>
      </w:r>
      <w:r>
        <w:t xml:space="preserve"> from this app alone.</w:t>
      </w:r>
    </w:p>
    <w:p>
      <w:pPr>
        <w:pStyle w:val="ListBullet"/>
      </w:pPr>
      <w:r>
        <w:t xml:space="preserve">Without automated cleanup, </w:t>
      </w:r>
      <w:r>
        <w:rPr>
          <w:b/>
        </w:rPr>
        <w:t>completed/abandoned projects leave orphaned groups</w:t>
      </w:r>
      <w:r>
        <w:t xml:space="preserve"> that inflate backups,</w:t>
      </w:r>
    </w:p>
    <w:p>
      <w:r>
        <w:t xml:space="preserve">  replication, search, and audit scope, and erode least-privilege over time.</w:t>
      </w:r>
    </w:p>
    <w:p>
      <w:pPr>
        <w:pStyle w:val="ListBullet"/>
      </w:pPr>
      <w:r>
        <w:rPr>
          <w:b/>
        </w:rPr>
        <w:t>Mitigation:</w:t>
      </w:r>
      <w:r>
        <w:t xml:space="preserve"> lifecycle automation tied to project state (see §8) is the single most important</w:t>
      </w:r>
    </w:p>
    <w:p>
      <w:r>
        <w:t xml:space="preserve">  guardrail.</w:t>
      </w:r>
    </w:p>
    <w:p>
      <w:pPr>
        <w:pStyle w:val="Heading3"/>
      </w:pPr>
      <w:r>
        <w:t>6.3 Replication &amp; Global Catalog</w:t>
      </w:r>
    </w:p>
    <w:p>
      <w:pPr>
        <w:pStyle w:val="ListBullet"/>
      </w:pPr>
      <w:r>
        <w:t>Security groups and their memberships replicate to all DCs; universal groups and GC-replicated</w:t>
      </w:r>
    </w:p>
    <w:p>
      <w:r>
        <w:t xml:space="preserve">  attributes add inter-site traffic. At thousands/year this is </w:t>
      </w:r>
      <w:r>
        <w:rPr>
          <w:b/>
        </w:rPr>
        <w:t>modest but non-zero</w:t>
      </w:r>
      <w:r>
        <w:t xml:space="preserve">; large-membership   groups matter more than group *count* (use </w:t>
      </w:r>
      <w:r>
        <w:rPr>
          <w:b/>
        </w:rPr>
        <w:t>linked-value replication</w:t>
      </w:r>
      <w:r>
        <w:t xml:space="preserve"> — Server 2003+ functional level   — so membership changes replicate per-member, not whole-list).</w:t>
      </w:r>
    </w:p>
    <w:p>
      <w:pPr>
        <w:pStyle w:val="Heading3"/>
      </w:pPr>
      <w:r>
        <w:t>6.4 Administration &amp; Governance Overhead</w:t>
      </w:r>
    </w:p>
    <w:p>
      <w:pPr>
        <w:pStyle w:val="ListBullet"/>
      </w:pPr>
      <w:r>
        <w:t>Naming collisions, ownership ambiguity, unclear scope, and audit fatigue scale with object count.</w:t>
      </w:r>
    </w:p>
    <w:p>
      <w:r>
        <w:t xml:space="preserve">  Requires </w:t>
      </w:r>
      <w:r>
        <w:rPr>
          <w:b/>
        </w:rPr>
        <w:t>naming standards, a dedicated OU subtree, and ownership metadata</w:t>
      </w:r>
      <w:r>
        <w:t>.</w:t>
      </w:r>
    </w:p>
    <w:p>
      <w:pPr>
        <w:pStyle w:val="Heading3"/>
      </w:pPr>
      <w:r>
        <w:t>6.5 SYSVOL — *not impacted*</w:t>
      </w:r>
    </w:p>
    <w:p>
      <w:pPr>
        <w:pStyle w:val="ListBullet"/>
      </w:pPr>
      <w:r>
        <w:t xml:space="preserve">These are </w:t>
      </w:r>
      <w:r>
        <w:rPr>
          <w:b/>
        </w:rPr>
        <w:t>permission/security groups</w:t>
      </w:r>
      <w:r>
        <w:t xml:space="preserve">, not GPO objects. SYSVOL/GPO scale is </w:t>
      </w:r>
      <w:r>
        <w:rPr>
          <w:b/>
        </w:rPr>
        <w:t>not</w:t>
      </w:r>
      <w:r>
        <w:t xml:space="preserve"> a factor unless</w:t>
      </w:r>
    </w:p>
    <w:p>
      <w:r>
        <w:t xml:space="preserve">  the groups are used for GPO security filtering (they are not, per the described design).</w:t>
      </w:r>
    </w:p>
    <w:p>
      <w:pPr>
        <w:pStyle w:val="Heading3"/>
      </w:pPr>
      <w:r>
        <w:t>6.6 Backup / DIT size</w:t>
      </w:r>
    </w:p>
    <w:p>
      <w:pPr>
        <w:pStyle w:val="ListBullet"/>
      </w:pPr>
      <w:r>
        <w:t xml:space="preserve">Each object adds to the </w:t>
      </w:r>
      <w:r>
        <w:rPr>
          <w:b/>
        </w:rPr>
        <w:t>NTDS.DIT</w:t>
      </w:r>
      <w:r>
        <w:t xml:space="preserve"> and system-state backup. Thousands/year is small relative to</w:t>
      </w:r>
    </w:p>
    <w:p>
      <w:r>
        <w:t xml:space="preserve">  typical enterprise directories, but compounds with §6.2 if cleanup is absent.</w:t>
      </w:r>
    </w:p>
    <w:p>
      <w:r>
        <w:t>__________________________________________________</w:t>
      </w:r>
    </w:p>
    <w:p>
      <w:pPr>
        <w:pStyle w:val="Heading2"/>
      </w:pPr>
      <w:r>
        <w:t>7. Authorization-Architecture Review (is 3 groups/project the right model?)</w:t>
      </w:r>
    </w:p>
    <w:p>
      <w:r>
        <w:t>The 3-group model (</w:t>
      </w:r>
      <w:r>
        <w:rPr>
          <w:b/>
        </w:rPr>
        <w:t>Read / Write / Privileged Write</w:t>
      </w:r>
      <w:r>
        <w:t xml:space="preserve">) is a </w:t>
      </w:r>
      <w:r>
        <w:rPr>
          <w:b/>
        </w:rPr>
        <w:t>legitimate least-privilege design</w:t>
      </w:r>
      <w:r>
        <w:t xml:space="preserve"> and is worth keeping — provided it follows Microsoft's canonical pattern and has lifecycle governance.</w:t>
      </w:r>
    </w:p>
    <w:p>
      <w:pPr>
        <w:pStyle w:val="Heading3"/>
      </w:pPr>
      <w:r>
        <w:t>7.1 Apply AGDLP (or AGDLP-per-resource), don't flatten</w:t>
      </w:r>
    </w:p>
    <w:p>
      <w:pPr>
        <w:pStyle w:val="ListBullet"/>
      </w:pPr>
      <w:r>
        <w:rPr>
          <w:b/>
        </w:rPr>
        <w:t>Accounts → Global groups (roles) → Domain Local groups (resource permissions) → Permissions.</w:t>
      </w:r>
    </w:p>
    <w:p>
      <w:pPr>
        <w:pStyle w:val="ListBullet"/>
      </w:pPr>
      <w:r>
        <w:t>Best-practice mapping: the **per-project Read/Write/Privileged groups are the Domain Local "resource"</w:t>
      </w:r>
    </w:p>
    <w:p>
      <w:r>
        <w:t xml:space="preserve">  groups</w:t>
      </w:r>
      <w:r>
        <w:rPr>
          <w:b/>
        </w:rPr>
        <w:t xml:space="preserve"> applied to the project's file shares/SharePoint/resources. </w:t>
      </w:r>
      <w:r>
        <w:t>Users are added via Global "role"   groups**, which are nested into the resource groups.</w:t>
      </w:r>
    </w:p>
    <w:p>
      <w:pPr>
        <w:pStyle w:val="ListBullet"/>
      </w:pPr>
      <w:r>
        <w:t>This keeps ACLs clean, supports multi-domain/forest, and localizes churn to membership (linked-value</w:t>
      </w:r>
    </w:p>
    <w:p>
      <w:r>
        <w:t xml:space="preserve">  replication) rather than ACL rewrites.</w:t>
      </w:r>
    </w:p>
    <w:p>
      <w:pPr>
        <w:pStyle w:val="Heading3"/>
      </w:pPr>
      <w:r>
        <w:t>7.2 Options to reduce object creation (if desired — not 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Trade-off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Keep 3 resource groups/project</w:t>
            </w:r>
            <w:r>
              <w:t xml:space="preserve"> (recommended)</w:t>
            </w:r>
          </w:p>
        </w:tc>
        <w:tc>
          <w:tcPr>
            <w:tcW w:type="dxa" w:w="2880"/>
          </w:tcPr>
          <w:p>
            <w:r>
              <w:t>Clean least-privilege; RID-safe</w:t>
            </w:r>
          </w:p>
        </w:tc>
        <w:tc>
          <w:tcPr>
            <w:tcW w:type="dxa" w:w="2880"/>
          </w:tcPr>
          <w:p>
            <w:r>
              <w:t>Highest object count (acceptable here)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 project group + role via nested global groups</w:t>
            </w:r>
          </w:p>
        </w:tc>
        <w:tc>
          <w:tcPr>
            <w:tcW w:type="dxa" w:w="2880"/>
          </w:tcPr>
          <w:p>
            <w:r>
              <w:t>Fewer per-project objects (what the prior app did)</w:t>
            </w:r>
          </w:p>
        </w:tc>
        <w:tc>
          <w:tcPr>
            <w:tcW w:type="dxa" w:w="2880"/>
          </w:tcPr>
          <w:p>
            <w:r>
              <w:t>Permissions logic moves into nesting/RBAC; less transparent ACLs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RBAC via enterprise role groups + resource groups</w:t>
            </w:r>
          </w:p>
        </w:tc>
        <w:tc>
          <w:tcPr>
            <w:tcW w:type="dxa" w:w="2880"/>
          </w:tcPr>
          <w:p>
            <w:r>
              <w:t>Reuse existing roles; fewer new per-project objects</w:t>
            </w:r>
          </w:p>
        </w:tc>
        <w:tc>
          <w:tcPr>
            <w:tcW w:type="dxa" w:w="2880"/>
          </w:tcPr>
          <w:p>
            <w:r>
              <w:t>Requires a maintained role catalog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Entra ID groups / dynamic groups</w:t>
            </w:r>
          </w:p>
        </w:tc>
        <w:tc>
          <w:tcPr>
            <w:tcW w:type="dxa" w:w="2880"/>
          </w:tcPr>
          <w:p>
            <w:r>
              <w:t xml:space="preserve">Good for </w:t>
            </w:r>
            <w:r>
              <w:rPr>
                <w:b/>
              </w:rPr>
              <w:t>cloud</w:t>
            </w:r>
            <w:r>
              <w:t xml:space="preserve"> resources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Does not</w:t>
            </w:r>
            <w:r>
              <w:t xml:space="preserve"> set on-prem NTFS/SharePoint-Server ACLs; not a substitute for AD groups on file resources</w:t>
            </w:r>
          </w:p>
        </w:tc>
      </w:tr>
    </w:tbl>
    <w:p>
      <w:r>
        <w:rPr>
          <w:b/>
        </w:rPr>
        <w:t>Recommendation:</w:t>
      </w:r>
      <w:r>
        <w:t xml:space="preserve"> retain </w:t>
      </w:r>
      <w:r>
        <w:rPr>
          <w:b/>
        </w:rPr>
        <w:t>3 domain-local resource groups per project</w:t>
      </w:r>
      <w:r>
        <w:t xml:space="preserve"> (the model is fine and is the clearest least-privilege expression), implemented through </w:t>
      </w:r>
      <w:r>
        <w:rPr>
          <w:b/>
        </w:rPr>
        <w:t>AGDLP</w:t>
      </w:r>
      <w:r>
        <w:t>, with the governance in §8. Only collapse to fewer groups if token bloat (§6.1) becomes a measured problem for portfolio-spanning identities.</w:t>
      </w:r>
    </w:p>
    <w:p>
      <w:r>
        <w:t>__________________________________________________</w:t>
      </w:r>
    </w:p>
    <w:p>
      <w:pPr>
        <w:pStyle w:val="Heading2"/>
      </w:pPr>
      <w:r>
        <w:t>8. Recommendation &amp; Conditions of Approval</w:t>
      </w:r>
    </w:p>
    <w:p>
      <w:r>
        <w:rPr>
          <w:b/>
        </w:rPr>
        <w:t>APPROVE</w:t>
      </w:r>
      <w:r>
        <w:t xml:space="preserve"> the 3-group-per-project provisioning model. RID capacity is a non-issue. Approval is </w:t>
      </w:r>
      <w:r>
        <w:rPr>
          <w:b/>
        </w:rPr>
        <w:t>conditional on the following guardrails</w:t>
      </w:r>
      <w:r>
        <w:t>, which address the risks that actually matter:</w:t>
      </w:r>
    </w:p>
    <w:p>
      <w:pPr>
        <w:pStyle w:val="ListNumber"/>
      </w:pPr>
      <w:r>
        <w:rPr>
          <w:b/>
        </w:rPr>
        <w:t>Lifecycle automation (mandatory).</w:t>
      </w:r>
      <w:r>
        <w:t xml:space="preserve"> Tie group lifetime to project state: on project</w:t>
      </w:r>
    </w:p>
    <w:p>
      <w:r>
        <w:t xml:space="preserve">   close/archive, </w:t>
      </w:r>
      <w:r>
        <w:rPr>
          <w:b/>
        </w:rPr>
        <w:t>disable → stage → delete</w:t>
      </w:r>
      <w:r>
        <w:t xml:space="preserve"> the three groups on a defined timer (e.g. 30/60/90 days).    This is the single most important control — it converts an ever-growing pile into a steady state.</w:t>
      </w:r>
    </w:p>
    <w:p>
      <w:pPr>
        <w:pStyle w:val="ListNumber"/>
      </w:pPr>
      <w:r>
        <w:rPr>
          <w:b/>
        </w:rPr>
        <w:t>Dedicated OU subtree + naming standard.</w:t>
      </w:r>
      <w:r>
        <w:t xml:space="preserve"> e.g.</w:t>
      </w:r>
    </w:p>
    <w:p>
      <w:r>
        <w:t xml:space="preserve">   </w:t>
      </w:r>
      <w:r>
        <w:rPr>
          <w:rFonts w:ascii="Consolas" w:hAnsi="Consolas"/>
          <w:sz w:val="19"/>
        </w:rPr>
        <w:t>OU=ProjectGroups,OU=Provisioned,DC=…</w:t>
      </w:r>
      <w:r>
        <w:t xml:space="preserve"> and    </w:t>
      </w:r>
      <w:r>
        <w:rPr>
          <w:rFonts w:ascii="Consolas" w:hAnsi="Consolas"/>
          <w:sz w:val="19"/>
        </w:rPr>
        <w:t>PRJ-&lt;ProjectID&gt;-&lt;READ|WRITE|PRIV&gt;</w:t>
      </w:r>
      <w:r>
        <w:t xml:space="preserve"> — deterministic, collision-free, auditable, easy to target for    cleanup and reporting.</w:t>
      </w:r>
    </w:p>
    <w:p>
      <w:pPr>
        <w:pStyle w:val="ListNumber"/>
      </w:pPr>
      <w:r>
        <w:rPr>
          <w:b/>
        </w:rPr>
        <w:t>AGDLP implementation.</w:t>
      </w:r>
      <w:r>
        <w:t xml:space="preserve"> Project groups are </w:t>
      </w:r>
      <w:r>
        <w:rPr>
          <w:b/>
        </w:rPr>
        <w:t>Domain Local</w:t>
      </w:r>
      <w:r>
        <w:t xml:space="preserve"> resource groups; membership comes via</w:t>
      </w:r>
    </w:p>
    <w:p>
      <w:r>
        <w:t xml:space="preserve">   Global role groups (§7.1).</w:t>
      </w:r>
    </w:p>
    <w:p>
      <w:pPr>
        <w:pStyle w:val="ListNumber"/>
      </w:pPr>
      <w:r>
        <w:rPr>
          <w:b/>
        </w:rPr>
        <w:t>Ownership metadata.</w:t>
      </w:r>
      <w:r>
        <w:t xml:space="preserve"> Stamp each group with owner, project ID, and creation date (</w:t>
      </w:r>
      <w:r>
        <w:rPr>
          <w:rFonts w:ascii="Consolas" w:hAnsi="Consolas"/>
          <w:sz w:val="19"/>
        </w:rPr>
        <w:t>info</w:t>
      </w:r>
      <w:r>
        <w:t>/</w:t>
      </w:r>
      <w:r>
        <w:rPr>
          <w:rFonts w:ascii="Consolas" w:hAnsi="Consolas"/>
          <w:sz w:val="19"/>
        </w:rPr>
        <w:t>managedBy</w:t>
      </w:r>
      <w:r>
        <w:t>/</w:t>
      </w:r>
    </w:p>
    <w:p>
      <w:r>
        <w:t xml:space="preserve">   extension attributes) so orphan detection and recertification are automatable.</w:t>
      </w:r>
    </w:p>
    <w:p>
      <w:pPr>
        <w:pStyle w:val="ListNumber"/>
      </w:pPr>
      <w:r>
        <w:rPr>
          <w:b/>
        </w:rPr>
        <w:t>Monitoring (mandatory):</w:t>
      </w:r>
    </w:p>
    <w:p>
      <w:pPr>
        <w:pStyle w:val="ListBullet"/>
      </w:pPr>
      <w:r>
        <w:rPr>
          <w:b/>
        </w:rPr>
        <w:t>RID pool</w:t>
      </w:r>
      <w:r>
        <w:t xml:space="preserve"> — trend consumption and RID Master health (script in §9). Alert at ≥ </w:t>
      </w:r>
      <w:r>
        <w:rPr>
          <w:b/>
        </w:rPr>
        <w:t>80%</w:t>
      </w:r>
      <w:r>
        <w:t xml:space="preserve"> of the</w:t>
      </w:r>
    </w:p>
    <w:p>
      <w:r>
        <w:t xml:space="preserve">     30-bit pool (we are at 0.138%).</w:t>
      </w:r>
    </w:p>
    <w:p>
      <w:pPr>
        <w:pStyle w:val="ListBullet"/>
      </w:pPr>
      <w:r>
        <w:rPr>
          <w:b/>
        </w:rPr>
        <w:t>Token size</w:t>
      </w:r>
      <w:r>
        <w:t xml:space="preserve"> — watch high-membership users/service accounts against MaxTokenSize (§6.1).</w:t>
      </w:r>
    </w:p>
    <w:p>
      <w:pPr>
        <w:pStyle w:val="ListBullet"/>
      </w:pPr>
      <w:r>
        <w:rPr>
          <w:b/>
        </w:rPr>
        <w:t>Orphan/growth report</w:t>
      </w:r>
      <w:r>
        <w:t xml:space="preserve"> — weekly count of project groups vs. active projects.</w:t>
      </w:r>
    </w:p>
    <w:p>
      <w:pPr>
        <w:pStyle w:val="ListNumber"/>
      </w:pPr>
      <w:r>
        <w:rPr>
          <w:b/>
        </w:rPr>
        <w:t>Access recertification.</w:t>
      </w:r>
      <w:r>
        <w:t xml:space="preserve"> Periodic review of Privileged Write membership (least privilege drifts).</w:t>
      </w:r>
    </w:p>
    <w:p>
      <w:pPr>
        <w:pStyle w:val="ListNumber"/>
      </w:pPr>
      <w:r>
        <w:rPr>
          <w:b/>
        </w:rPr>
        <w:t>Cap portfolio-spanning identities.</w:t>
      </w:r>
      <w:r>
        <w:t xml:space="preserve"> Ensure service/automation accounts are scoped to needed</w:t>
      </w:r>
    </w:p>
    <w:p>
      <w:r>
        <w:t xml:space="preserve">   projects only, to bound token growth.</w:t>
      </w:r>
    </w:p>
    <w:p>
      <w:r>
        <w:t xml:space="preserve">With these controls, the model is </w:t>
      </w:r>
      <w:r>
        <w:rPr>
          <w:b/>
        </w:rPr>
        <w:t>sustainable for the foreseeable life of the domain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9. Monitoring — PowerShell</w:t>
      </w:r>
    </w:p>
    <w:p>
      <w:pPr>
        <w:pStyle w:val="Heading3"/>
      </w:pPr>
      <w:r>
        <w:t>9.1 RID pool consumption &amp; RID Master health</w:t>
      </w:r>
    </w:p>
    <w:p>
      <w:r>
        <w:rPr>
          <w:rFonts w:ascii="Consolas" w:hAnsi="Consolas"/>
          <w:sz w:val="18"/>
        </w:rPr>
        <w:t># Remaining RIDs, % consumed, and RID Master identity</w:t>
        <w:br/>
        <w:t>$domain      = Get-ADDomain</w:t>
        <w:br/>
        <w:t>$ridMaster   = $domain.RIDMaster</w:t>
        <w:br/>
        <w:t>$rootDSE     = Get-ADRootDSE</w:t>
        <w:br/>
        <w:t>$ridSet      = Get-ADObject "CN=RID Manager$,CN=System,$($domain.DistinguishedName)" -Property rIDAvailablePool</w:t>
        <w:br/>
        <w:t>$pool        = $ridSet.rIDAvailablePool</w:t>
        <w:br/>
        <w:t>$high        = [math]::Floor($pool / ([math]::Pow(2,32)))   # pool ceiling (max RIDs)</w:t>
        <w:br/>
        <w:t>$low         = $pool -band ([math]::Pow(2,32) - 1)          # next RID to be issued (consumed)</w:t>
        <w:br/>
        <w:t>$consumed    = $low</w:t>
        <w:br/>
        <w:t>$max         = $high</w:t>
        <w:br/>
        <w:t>$remaining   = $max - $consumed</w:t>
        <w:br/>
        <w:t>$pct         = [math]::Round(($consumed / $max) * 100, 4)</w:t>
        <w:br/>
        <w:br/>
        <w:t>[pscustomobject]@{</w:t>
        <w:br/>
        <w:t xml:space="preserve">    RIDMaster       = $ridMaster</w:t>
        <w:br/>
        <w:t xml:space="preserve">    RIDsConsumed    = $consumed</w:t>
        <w:br/>
        <w:t xml:space="preserve">    RIDMaximum      = $max</w:t>
        <w:br/>
        <w:t xml:space="preserve">    RIDsRemaining   = $remaining</w:t>
        <w:br/>
        <w:t xml:space="preserve">    PercentConsumed = "$pct %"</w:t>
        <w:br/>
        <w:t>} | Format-List</w:t>
      </w:r>
    </w:p>
    <w:p>
      <w:pPr>
        <w:pStyle w:val="Heading3"/>
      </w:pPr>
      <w:r>
        <w:t>9.2 Project-group growth &amp; orphan report</w:t>
      </w:r>
    </w:p>
    <w:p>
      <w:r>
        <w:rPr>
          <w:rFonts w:ascii="Consolas" w:hAnsi="Consolas"/>
          <w:sz w:val="18"/>
        </w:rPr>
        <w:t># Count provisioned project groups and flag ones whose project is closed.</w:t>
        <w:br/>
        <w:t>$ou = "OU=ProjectGroups,OU=Provisioned,DC=example,DC=com"</w:t>
        <w:br/>
        <w:t>$groups = Get-ADGroup -SearchBase $ou -Filter * -Property whenCreated, info, managedBy</w:t>
        <w:br/>
        <w:t>"Total project groups: $($groups.Count)"</w:t>
        <w:br/>
        <w:t>$groups | Group-Object { ($_.Name -split '-')[1] } |   # by ProjectID</w:t>
        <w:br/>
        <w:t xml:space="preserve">    Select-Object Name, Count | Sort-Object Count -Descending | Select-Object -First 20</w:t>
        <w:br/>
        <w:t># Orphans = groups whose ProjectID is not in the active-projects list you supply</w:t>
      </w:r>
    </w:p>
    <w:p>
      <w:pPr>
        <w:pStyle w:val="Heading3"/>
      </w:pPr>
      <w:r>
        <w:t>9.3 Token-size exposure for high-membership principals</w:t>
      </w:r>
    </w:p>
    <w:p>
      <w:r>
        <w:rPr>
          <w:rFonts w:ascii="Consolas" w:hAnsi="Consolas"/>
          <w:sz w:val="18"/>
        </w:rPr>
        <w:t># Approximate token contributors: count group memberships (incl. nesting) per user of interest.</w:t>
        <w:br/>
        <w:t>$user = Get-ADUser "jdoe" -Property memberOf</w:t>
        <w:br/>
        <w:t>$tokenGroups = (Get-ADUser $user.DistinguishedName -Properties tokenGroups).tokenGroups</w:t>
        <w:br/>
        <w:t>"SID count in token (approx): $($tokenGroups.Count)"   # watch against ~1,015 hard cap / MaxTokenSize</w:t>
      </w:r>
    </w:p>
    <w:p>
      <w:r>
        <w:t xml:space="preserve">*(Enable the </w:t>
      </w:r>
      <w:r>
        <w:rPr>
          <w:b/>
        </w:rPr>
        <w:t>RID pool alert</w:t>
      </w:r>
      <w:r>
        <w:t xml:space="preserve"> in your monitoring platform at 80% of </w:t>
      </w:r>
      <w:r>
        <w:rPr>
          <w:rFonts w:ascii="Consolas" w:hAnsi="Consolas"/>
          <w:sz w:val="19"/>
        </w:rPr>
        <w:t>RIDMaximum</w:t>
      </w:r>
      <w:r>
        <w:t>; today it would read 0.138%.)*</w:t>
      </w:r>
    </w:p>
    <w:p>
      <w:r>
        <w:t>__________________________________________________</w:t>
      </w:r>
    </w:p>
    <w:p>
      <w:pPr>
        <w:pStyle w:val="Heading2"/>
      </w:pPr>
      <w:r>
        <w:t>10. Answers to the Specific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Will ~1,500 (really ~6,240) groups/year become a scalability problem?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  <w:r>
              <w:t xml:space="preserve"> for RIDs; </w:t>
            </w:r>
            <w:r>
              <w:rPr>
                <w:b/>
              </w:rPr>
              <w:t>manageable</w:t>
            </w:r>
            <w:r>
              <w:t xml:space="preserve"> for operations </w:t>
            </w:r>
            <w:r>
              <w:rPr>
                <w:b/>
              </w:rPr>
              <w:t>with lifecycle cleanup</w:t>
            </w:r>
            <w:r>
              <w:t xml:space="preserve"> (§8).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Is RID consumption a realistic concern?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No.</w:t>
            </w:r>
            <w:r>
              <w:t xml:space="preserve"> 0.138% consumed; incremental burn is negligible; extended pool in reserve.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Projected RID pool lifetime?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Thousands of years</w:t>
            </w:r>
            <w:r>
              <w:t xml:space="preserve"> even under aggressive whole-org assumptions (§5).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Better architectural approaches?</w:t>
            </w:r>
          </w:p>
        </w:tc>
        <w:tc>
          <w:tcPr>
            <w:tcW w:type="dxa" w:w="2880"/>
          </w:tcPr>
          <w:p>
            <w:r>
              <w:t xml:space="preserve">Keep 3 groups but implement </w:t>
            </w:r>
            <w:r>
              <w:rPr>
                <w:b/>
              </w:rPr>
              <w:t>AGDLP + lifecycle + naming</w:t>
            </w:r>
            <w:r>
              <w:t>; consider RBAC role reuse only to bound token bloat (§7).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Other AD impacts?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 bloat</w:t>
            </w:r>
            <w:r>
              <w:t xml:space="preserve">, </w:t>
            </w:r>
            <w:r>
              <w:rPr>
                <w:b/>
              </w:rPr>
              <w:t>group sprawl/lifecycle</w:t>
            </w:r>
            <w:r>
              <w:t>, replication/GC, backup, admin overhead — addressed by §8. SYSVOL not impacted.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11. Decision</w:t>
      </w:r>
    </w:p>
    <w:p>
      <w:pPr>
        <w:ind w:left="432"/>
      </w:pPr>
      <w:r>
        <w:rPr>
          <w:i/>
          <w:color w:val="2E86C1"/>
        </w:rPr>
        <w:t>Approved to proceed with the 3-group-per-project provisioning model, conditional on implementing the §8 guardrails (lifecycle automation, dedicated OU + naming standard, AGDLP, ownership metadata, and RID/token/orphan monitoring). RID capacity is not a limiting factor. Re-review if per-project group count increases, if portfolio-spanning identities approach token limits, or if RID consumption trend alerts fire at ≥ 80%.</w:t>
      </w:r>
    </w:p>
    <w:p>
      <w:r>
        <w:t>*Reviewed by: Active Directory Architecture. Next review: on material design change or annually.*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