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Application Packaging &amp; Deployment Standards (Win32, MSIX &amp; Store) — Org-Wide Specification &amp; Quality Gates</w:t>
      </w:r>
    </w:p>
    <w:p>
      <w:pPr>
        <w:jc w:val="center"/>
      </w:pPr>
      <w:r>
        <w:rPr>
          <w:i/>
          <w:sz w:val="26"/>
        </w:rPr>
        <w:t>Implementation Solution Guide</w:t>
      </w:r>
    </w:p>
    <w:p/>
    <w:p/>
    <w:p/>
    <w:p/>
    <w:p/>
    <w:p/>
    <w:p/>
    <w:p/>
    <w:p>
      <w:pPr>
        <w:jc w:val="center"/>
      </w:pPr>
      <w:r>
        <w:rPr>
          <w:sz w:val="20"/>
        </w:rPr>
        <w:t>Version 1.0.0    ·    2026-07-20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Application Packaging &amp; Deployment Standards (Win32, MSIX &amp; Store)</w:t>
      </w:r>
    </w:p>
    <w:p>
      <w:r>
        <w:rPr>
          <w:b/>
        </w:rPr>
        <w:t>Intune Solutions</w:t>
      </w:r>
    </w:p>
    <w:p>
      <w:r>
        <w:t xml:space="preserve">An application catalog decays predictably. The first ten apps are fine because one person built them all. By app forty there are three naming styles, detection rules only one person understands, apps assigned to groups nobody can explain, several apps with no owner, and a </w:t>
      </w:r>
      <w:r>
        <w:rPr>
          <w:rFonts w:ascii="Consolas" w:hAnsi="Consolas"/>
          <w:sz w:val="19"/>
        </w:rPr>
        <w:t>Test - do not use</w:t>
      </w:r>
      <w:r>
        <w:t xml:space="preserve"> app that has been pushed to every device for months. Nobody did anything wrong — there was simply no </w:t>
      </w:r>
      <w:r>
        <w:rPr>
          <w:b/>
        </w:rPr>
        <w:t>standard</w:t>
      </w:r>
      <w:r>
        <w:t>. The cost is real: failed installs nobody can triage, licence spend on software still deployed to people who left, audit findings because there is no record of what was approved, and a "don't touch that app" culture where the safest move is to build a duplicate.</w:t>
      </w:r>
    </w:p>
    <w:p>
      <w:r>
        <w:t xml:space="preserve">This solution is the </w:t>
      </w:r>
      <w:r>
        <w:rPr>
          <w:b/>
        </w:rPr>
        <w:t>organisation-wide packaging specification</w:t>
      </w:r>
      <w:r>
        <w:t xml:space="preserve"> that prevents that decay. It sits </w:t>
      </w:r>
      <w:r>
        <w:rPr>
          <w:b/>
        </w:rPr>
        <w:t>above</w:t>
      </w:r>
      <w:r>
        <w:t xml:space="preserve"> the mechanics of packaging any single application — it does not re-teach how to wrap a </w:t>
      </w:r>
      <w:r>
        <w:rPr>
          <w:rFonts w:ascii="Consolas" w:hAnsi="Consolas"/>
          <w:sz w:val="19"/>
        </w:rPr>
        <w:t>.intunewin</w:t>
      </w:r>
      <w:r>
        <w:t>; it governs how *every* app is named, formatted, detected, documented, reviewed, released, and audited across the whole tenant, for years.</w:t>
      </w:r>
    </w:p>
    <w:p>
      <w:r>
        <w:t>It is written for an administrator with no prior standards experience, and it is deploy-it-this-week.</w:t>
      </w:r>
    </w:p>
    <w:p>
      <w:pPr>
        <w:pStyle w:val="Heading2"/>
      </w:pPr>
      <w:r>
        <w:t>What you get</w:t>
      </w:r>
    </w:p>
    <w:p>
      <w:pPr>
        <w:pStyle w:val="ListBullet"/>
      </w:pPr>
      <w:r>
        <w:t xml:space="preserve">A </w:t>
      </w:r>
      <w:r>
        <w:rPr>
          <w:b/>
        </w:rPr>
        <w:t>Solution Overview</w:t>
      </w:r>
      <w:r>
        <w:t xml:space="preserve"> of the standards layer, its four control points (intake, build, release,</w:t>
      </w:r>
    </w:p>
    <w:p>
      <w:r>
        <w:t xml:space="preserve">  operate), and the three delivery formats you govern (Win32, MSIX, Microsoft Store) plus the legacy   LOB/MSI type being retired.</w:t>
      </w:r>
    </w:p>
    <w:p>
      <w:pPr>
        <w:pStyle w:val="ListBullet"/>
      </w:pPr>
      <w:r>
        <w:t xml:space="preserve">A </w:t>
      </w:r>
      <w:r>
        <w:rPr>
          <w:b/>
        </w:rPr>
        <w:t>Requirements Guide</w:t>
      </w:r>
      <w:r>
        <w:t xml:space="preserve"> with verify / implement-if-missing for every prerequisite, including the</w:t>
      </w:r>
    </w:p>
    <w:p>
      <w:r>
        <w:t xml:space="preserve">  Government-cloud position on Microsoft Store availability.</w:t>
      </w:r>
    </w:p>
    <w:p>
      <w:pPr>
        <w:pStyle w:val="ListBullet"/>
      </w:pPr>
      <w:r>
        <w:t xml:space="preserve">An </w:t>
      </w:r>
      <w:r>
        <w:rPr>
          <w:b/>
        </w:rPr>
        <w:t>Implementation Guide</w:t>
      </w:r>
      <w:r>
        <w:t xml:space="preserve"> that stands up the tenant objects, then hands you the specification</w:t>
      </w:r>
    </w:p>
    <w:p>
      <w:r>
        <w:t xml:space="preserve">  itself: a </w:t>
      </w:r>
      <w:r>
        <w:rPr>
          <w:b/>
        </w:rPr>
        <w:t>format decision tree</w:t>
      </w:r>
      <w:r>
        <w:t xml:space="preserve">, the </w:t>
      </w:r>
      <w:r>
        <w:rPr>
          <w:b/>
        </w:rPr>
        <w:t>naming / version-stamping / metadata</w:t>
      </w:r>
      <w:r>
        <w:t xml:space="preserve"> standard, the   </w:t>
      </w:r>
      <w:r>
        <w:rPr>
          <w:b/>
        </w:rPr>
        <w:t>detection-rule acceptability rules and ten banned patterns</w:t>
      </w:r>
      <w:r>
        <w:t xml:space="preserve">, the </w:t>
      </w:r>
      <w:r>
        <w:rPr>
          <w:b/>
        </w:rPr>
        <w:t>command / return-code /   reboot</w:t>
      </w:r>
      <w:r>
        <w:t xml:space="preserve"> standards, a reusable </w:t>
      </w:r>
      <w:r>
        <w:rPr>
          <w:b/>
        </w:rPr>
        <w:t>Package Intake &amp; Specification template</w:t>
      </w:r>
      <w:r>
        <w:t xml:space="preserve">, a five-gate </w:t>
      </w:r>
      <w:r>
        <w:rPr>
          <w:b/>
        </w:rPr>
        <w:t>acceptance   checklist</w:t>
      </w:r>
      <w:r>
        <w:t xml:space="preserve">, a </w:t>
      </w:r>
      <w:r>
        <w:rPr>
          <w:b/>
        </w:rPr>
        <w:t>peer-review and sign-off</w:t>
      </w:r>
      <w:r>
        <w:t xml:space="preserve"> process, </w:t>
      </w:r>
      <w:r>
        <w:rPr>
          <w:b/>
        </w:rPr>
        <w:t>assignment-hygiene</w:t>
      </w:r>
      <w:r>
        <w:t xml:space="preserve"> rules, and an   </w:t>
      </w:r>
      <w:r>
        <w:rPr>
          <w:b/>
        </w:rPr>
        <w:t>enforcement and audit</w:t>
      </w:r>
      <w:r>
        <w:t xml:space="preserve"> cadence.</w:t>
      </w:r>
    </w:p>
    <w:p>
      <w:pPr>
        <w:pStyle w:val="ListBullet"/>
      </w:pPr>
      <w:r>
        <w:rPr>
          <w:b/>
        </w:rPr>
        <w:t>Five PowerShell scripts</w:t>
      </w:r>
      <w:r>
        <w:t xml:space="preserve"> — a standard-compliance auditor, a detection-rule quality checker, an</w:t>
      </w:r>
    </w:p>
    <w:p>
      <w:r>
        <w:t xml:space="preserve">  assignment-hygiene reporter, a metadata completeness scorer, and a preview-by-default metadata   remediation tool — all using the Microsoft Graph PowerShell SDK, read-only except the remediation   tool, which changes nothing without </w:t>
      </w:r>
      <w:r>
        <w:rPr>
          <w:rFonts w:ascii="Consolas" w:hAnsi="Consolas"/>
          <w:sz w:val="19"/>
        </w:rPr>
        <w:t>-Apply</w:t>
      </w:r>
      <w:r>
        <w:t>.</w:t>
      </w:r>
    </w:p>
    <w:p>
      <w:pPr>
        <w:pStyle w:val="ListBullet"/>
      </w:pPr>
      <w:r>
        <w:rPr>
          <w:b/>
        </w:rPr>
        <w:t>Testing</w:t>
      </w:r>
      <w:r>
        <w:t xml:space="preserve"> and </w:t>
      </w:r>
      <w:r>
        <w:rPr>
          <w:b/>
        </w:rPr>
        <w:t>Troubleshooting</w:t>
      </w:r>
      <w:r>
        <w:t xml:space="preserve"> guides with explicit pass/fail gates.</w:t>
      </w:r>
    </w:p>
    <w:p>
      <w:pPr>
        <w:pStyle w:val="Heading2"/>
      </w:pPr>
      <w:r>
        <w:t>What this delivers</w:t>
      </w:r>
    </w:p>
    <w:p>
      <w:r>
        <w:t>A packaging standard that makes the catalog consistent, auditable, and clean at scale: every app correctly named and version-stamped in three agreeing places, every detection rule provably correct and free of the patterns that silently corrupt reporting, every release peer-reviewed with retained evidence, every assignment hygienic, and the whole catalog audited on a cadence by the included scripts.</w:t>
      </w:r>
    </w:p>
    <w:p>
      <w:pPr>
        <w:pStyle w:val="Heading2"/>
      </w:pPr>
      <w:r>
        <w:t>The deployment model</w:t>
      </w:r>
    </w:p>
    <w:p>
      <w:r>
        <w:rPr>
          <w:b/>
        </w:rPr>
        <w:t>Assess → Configure → Pilot → Validate → Expand.</w:t>
      </w:r>
      <w:r>
        <w:t xml:space="preserve"> No package skips the acceptance checklist, and no package reaches broad release without a signed sign-off record.</w:t>
      </w:r>
    </w:p>
    <w:p>
      <w:pPr>
        <w:pStyle w:val="Heading2"/>
      </w:pPr>
      <w:r>
        <w:t>Outcome</w:t>
      </w:r>
    </w:p>
    <w:p>
      <w:r>
        <w:t>An app catalog that a new starter can pick up in days, an auditor can answer questions about in minutes, and a growing team can extend without it turning into a liability — because the standard, the templates, the quality gates, and the audit scripts are all in place from the first package onward.</w:t>
      </w:r>
    </w:p>
    <w:p>
      <w:pPr>
        <w:pStyle w:val="Heading1"/>
      </w:pPr>
      <w:r>
        <w:t>1. Solution Overview — Application Packaging &amp; Deployment Standards (Win32, MSIX &amp; Store)</w:t>
      </w:r>
    </w:p>
    <w:p>
      <w:pPr>
        <w:pStyle w:val="Heading2"/>
      </w:pPr>
      <w:r>
        <w:t>What this solution is</w:t>
      </w:r>
    </w:p>
    <w:p>
      <w:r>
        <w:t xml:space="preserve">This is the </w:t>
      </w:r>
      <w:r>
        <w:rPr>
          <w:b/>
        </w:rPr>
        <w:t>organisation-wide specification</w:t>
      </w:r>
      <w:r>
        <w:t xml:space="preserve"> that governs how every application in your tenant is packaged, named, detected, documented, reviewed, released, and audited. It is the layer </w:t>
      </w:r>
      <w:r>
        <w:rPr>
          <w:b/>
        </w:rPr>
        <w:t>above</w:t>
      </w:r>
      <w:r>
        <w:t xml:space="preserve"> the mechanics of packaging any single app.</w:t>
      </w:r>
    </w:p>
    <w:p>
      <w:r>
        <w:t xml:space="preserve">It does </w:t>
      </w:r>
      <w:r>
        <w:rPr>
          <w:b/>
        </w:rPr>
        <w:t>not</w:t>
      </w:r>
      <w:r>
        <w:t xml:space="preserve"> teach you how to run </w:t>
      </w:r>
      <w:r>
        <w:rPr>
          <w:rFonts w:ascii="Consolas" w:hAnsi="Consolas"/>
          <w:sz w:val="19"/>
        </w:rPr>
        <w:t>IntuneWinAppUtil.exe</w:t>
      </w:r>
      <w:r>
        <w:t xml:space="preserve">, how to type an </w:t>
      </w:r>
      <w:r>
        <w:rPr>
          <w:rFonts w:ascii="Consolas" w:hAnsi="Consolas"/>
          <w:sz w:val="19"/>
        </w:rPr>
        <w:t>msiexec</w:t>
      </w:r>
      <w:r>
        <w:t xml:space="preserve"> command, or how to click through the Win32 app wizard for one application — that is per-app packaging work. This solution answers the questions that only appear when </w:t>
      </w:r>
      <w:r>
        <w:rPr>
          <w:b/>
        </w:rPr>
        <w:t>many people package many apps over many years</w:t>
      </w:r>
      <w:r>
        <w:t>:</w:t>
      </w:r>
    </w:p>
    <w:p>
      <w:pPr>
        <w:pStyle w:val="ListBullet"/>
      </w:pPr>
      <w:r>
        <w:t xml:space="preserve">What must an app be </w:t>
      </w:r>
      <w:r>
        <w:rPr>
          <w:b/>
        </w:rPr>
        <w:t>named</w:t>
      </w:r>
      <w:r>
        <w:t>, and why does an inconsistent catalog become unmanageable?</w:t>
      </w:r>
    </w:p>
    <w:p>
      <w:pPr>
        <w:pStyle w:val="ListBullet"/>
      </w:pPr>
      <w:r>
        <w:t xml:space="preserve">Which </w:t>
      </w:r>
      <w:r>
        <w:rPr>
          <w:b/>
        </w:rPr>
        <w:t>format</w:t>
      </w:r>
      <w:r>
        <w:t xml:space="preserve"> — Win32, MSIX, Microsoft Store (new), or LOB/MSI — is correct for a given app, and</w:t>
      </w:r>
    </w:p>
    <w:p>
      <w:r>
        <w:t xml:space="preserve">  who decides?</w:t>
      </w:r>
    </w:p>
    <w:p>
      <w:pPr>
        <w:pStyle w:val="ListBullet"/>
      </w:pPr>
      <w:r>
        <w:t xml:space="preserve">What makes a detection rule </w:t>
      </w:r>
      <w:r>
        <w:rPr>
          <w:b/>
        </w:rPr>
        <w:t>acceptable and auditable</w:t>
      </w:r>
      <w:r>
        <w:t xml:space="preserve">, and which patterns are </w:t>
      </w:r>
      <w:r>
        <w:rPr>
          <w:b/>
        </w:rPr>
        <w:t>banned outright</w:t>
      </w:r>
      <w:r>
        <w:t>?</w:t>
      </w:r>
    </w:p>
    <w:p>
      <w:pPr>
        <w:pStyle w:val="ListBullet"/>
      </w:pPr>
      <w:r>
        <w:t xml:space="preserve">What must be true before a package is allowed to be </w:t>
      </w:r>
      <w:r>
        <w:rPr>
          <w:b/>
        </w:rPr>
        <w:t>released</w:t>
      </w:r>
      <w:r>
        <w:t xml:space="preserve"> to real users?</w:t>
      </w:r>
    </w:p>
    <w:p>
      <w:pPr>
        <w:pStyle w:val="ListBullet"/>
      </w:pPr>
      <w:r>
        <w:t xml:space="preserve">Who </w:t>
      </w:r>
      <w:r>
        <w:rPr>
          <w:b/>
        </w:rPr>
        <w:t>reviews and signs off</w:t>
      </w:r>
      <w:r>
        <w:t xml:space="preserve"> a package, and what evidence is retained?</w:t>
      </w:r>
    </w:p>
    <w:p>
      <w:pPr>
        <w:pStyle w:val="ListBullet"/>
      </w:pPr>
      <w:r>
        <w:t>How do assignments stay clean as the catalog grows from 10 apps to 300?</w:t>
      </w:r>
    </w:p>
    <w:p>
      <w:pPr>
        <w:pStyle w:val="ListBullet"/>
      </w:pPr>
      <w:r>
        <w:t xml:space="preserve">How is the standard </w:t>
      </w:r>
      <w:r>
        <w:rPr>
          <w:b/>
        </w:rPr>
        <w:t>enforced and audited</w:t>
      </w:r>
      <w:r>
        <w:t xml:space="preserve"> so it does not decay into a document nobody follows?</w:t>
      </w:r>
    </w:p>
    <w:p>
      <w:pPr>
        <w:pStyle w:val="Heading2"/>
      </w:pPr>
      <w:r>
        <w:t>The problem it solves</w:t>
      </w:r>
    </w:p>
    <w:p>
      <w:r>
        <w:t xml:space="preserve">An app catalog decays predictably. The first ten apps are fine because one person built them all. By app forty there are three naming styles, two people who "know" the detection rules, apps assigned to groups nobody can explain, four apps with no owner, and a </w:t>
      </w:r>
      <w:r>
        <w:rPr>
          <w:rFonts w:ascii="Consolas" w:hAnsi="Consolas"/>
          <w:sz w:val="19"/>
        </w:rPr>
        <w:t>Test - do not use</w:t>
      </w:r>
      <w:r>
        <w:t xml:space="preserve"> app that has been assigned to All Devices for eight months. Nobody did anything wrong; there was simply no </w:t>
      </w:r>
      <w:r>
        <w:rPr>
          <w:b/>
        </w:rPr>
        <w:t>standard</w:t>
      </w:r>
      <w:r>
        <w:t>.</w:t>
      </w:r>
    </w:p>
    <w:p>
      <w:r>
        <w:t>The cost is real and measurable: failed installs nobody can triage, licence spend on apps still deployed to leavers, audit findings because there is no record of what was approved, and a "do not touch that app" culture where the safest action is to create a duplicate.</w:t>
      </w:r>
    </w:p>
    <w:p>
      <w:r>
        <w:t>A packaging standard is cheap to adopt and expensive to retrofit. This solution gives you the standard, the templates that operationalise it, the quality gates that enforce it, and the scripts that audit it.</w:t>
      </w:r>
    </w:p>
    <w:p>
      <w:pPr>
        <w:pStyle w:val="Heading2"/>
      </w:pPr>
      <w:r>
        <w:t>The four control points</w:t>
      </w:r>
    </w:p>
    <w:p>
      <w:r>
        <w:t>Everything in this specification hangs off four control points. Each is a place where a decision is made and where a rule can be enforced.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Control point</w:t>
            </w:r>
          </w:p>
        </w:tc>
        <w:tc>
          <w:tcPr>
            <w:tcW w:type="dxa" w:w="2880"/>
          </w:tcPr>
          <w:p>
            <w:r>
              <w:rPr>
                <w:b/>
              </w:rPr>
              <w:t>The question</w:t>
            </w:r>
          </w:p>
        </w:tc>
        <w:tc>
          <w:tcPr>
            <w:tcW w:type="dxa" w:w="2880"/>
          </w:tcPr>
          <w:p>
            <w:r>
              <w:rPr>
                <w:b/>
              </w:rPr>
              <w:t>Enforced by</w:t>
            </w:r>
          </w:p>
        </w:tc>
      </w:tr>
      <w:tr>
        <w:tc>
          <w:tcPr>
            <w:tcW w:type="dxa" w:w="2880"/>
          </w:tcPr>
          <w:p>
            <w:r>
              <w:rPr>
                <w:b/>
              </w:rPr>
              <w:t>1. Intake</w:t>
            </w:r>
          </w:p>
        </w:tc>
        <w:tc>
          <w:tcPr>
            <w:tcW w:type="dxa" w:w="2880"/>
          </w:tcPr>
          <w:p>
            <w:r>
              <w:t>Should we package this app at all, and in which format?</w:t>
            </w:r>
          </w:p>
        </w:tc>
        <w:tc>
          <w:tcPr>
            <w:tcW w:type="dxa" w:w="2880"/>
          </w:tcPr>
          <w:p>
            <w:r>
              <w:t>The Package Intake &amp; Specification Template + the format decision matrix</w:t>
            </w:r>
          </w:p>
        </w:tc>
      </w:tr>
      <w:tr>
        <w:tc>
          <w:tcPr>
            <w:tcW w:type="dxa" w:w="2880"/>
          </w:tcPr>
          <w:p>
            <w:r>
              <w:rPr>
                <w:b/>
              </w:rPr>
              <w:t>2. Build</w:t>
            </w:r>
          </w:p>
        </w:tc>
        <w:tc>
          <w:tcPr>
            <w:tcW w:type="dxa" w:w="2880"/>
          </w:tcPr>
          <w:p>
            <w:r>
              <w:t>Does the package meet the naming, metadata, detection, command, and return-code standards?</w:t>
            </w:r>
          </w:p>
        </w:tc>
        <w:tc>
          <w:tcPr>
            <w:tcW w:type="dxa" w:w="2880"/>
          </w:tcPr>
          <w:p>
            <w:r>
              <w:t>The packaging specification + the acceptance checklist</w:t>
            </w:r>
          </w:p>
        </w:tc>
      </w:tr>
      <w:tr>
        <w:tc>
          <w:tcPr>
            <w:tcW w:type="dxa" w:w="2880"/>
          </w:tcPr>
          <w:p>
            <w:r>
              <w:rPr>
                <w:b/>
              </w:rPr>
              <w:t>3. Release</w:t>
            </w:r>
          </w:p>
        </w:tc>
        <w:tc>
          <w:tcPr>
            <w:tcW w:type="dxa" w:w="2880"/>
          </w:tcPr>
          <w:p>
            <w:r>
              <w:t>Has a second person reviewed it, and is the evidence retained?</w:t>
            </w:r>
          </w:p>
        </w:tc>
        <w:tc>
          <w:tcPr>
            <w:tcW w:type="dxa" w:w="2880"/>
          </w:tcPr>
          <w:p>
            <w:r>
              <w:t>The peer review &amp; sign-off process</w:t>
            </w:r>
          </w:p>
        </w:tc>
      </w:tr>
      <w:tr>
        <w:tc>
          <w:tcPr>
            <w:tcW w:type="dxa" w:w="2880"/>
          </w:tcPr>
          <w:p>
            <w:r>
              <w:rPr>
                <w:b/>
              </w:rPr>
              <w:t>4. Operate</w:t>
            </w:r>
          </w:p>
        </w:tc>
        <w:tc>
          <w:tcPr>
            <w:tcW w:type="dxa" w:w="2880"/>
          </w:tcPr>
          <w:p>
            <w:r>
              <w:t>Are assignments still clean, and does the catalog still comply?</w:t>
            </w:r>
          </w:p>
        </w:tc>
        <w:tc>
          <w:tcPr>
            <w:tcW w:type="dxa" w:w="2880"/>
          </w:tcPr>
          <w:p>
            <w:r>
              <w:t>The ring/assignment standard + the quarterly audit scripts</w:t>
            </w:r>
          </w:p>
        </w:tc>
      </w:tr>
    </w:tbl>
    <w:p>
      <w:pPr>
        <w:pStyle w:val="Heading2"/>
      </w:pPr>
      <w:r>
        <w:t>The three app formats you will govern</w:t>
      </w:r>
    </w:p>
    <w:p>
      <w:r>
        <w:t xml:space="preserve">The specification covers three delivery formats plus one legacy format being retired. The </w:t>
      </w:r>
      <w:r>
        <w:rPr>
          <w:b/>
        </w:rPr>
        <w:t>format decision matrix</w:t>
      </w:r>
      <w:r>
        <w:t xml:space="preserve"> in the Implementation Guide (Step 3) is the authoritative decision tree; this is the orientation.</w:t>
      </w:r>
    </w:p>
    <w:p>
      <w:pPr>
        <w:pStyle w:val="ListBullet"/>
      </w:pPr>
      <w:r>
        <w:rPr>
          <w:b/>
        </w:rPr>
        <w:t>Win32</w:t>
      </w:r>
      <w:r>
        <w:t xml:space="preserve"> (</w:t>
      </w:r>
      <w:r>
        <w:rPr>
          <w:rFonts w:ascii="Consolas" w:hAnsi="Consolas"/>
          <w:sz w:val="19"/>
        </w:rPr>
        <w:t>.intunewin</w:t>
      </w:r>
      <w:r>
        <w:t>, installed by the Intune Management Extension) — the default. Wraps any</w:t>
      </w:r>
    </w:p>
    <w:p>
      <w:r>
        <w:t xml:space="preserve">  MSI, EXE, or script. Full control over install/uninstall commands, detection, requirements,   dependencies, supersedence, and return codes. Chosen unless another format is clearly better.</w:t>
      </w:r>
    </w:p>
    <w:p>
      <w:pPr>
        <w:pStyle w:val="ListBullet"/>
      </w:pPr>
      <w:r>
        <w:rPr>
          <w:b/>
        </w:rPr>
        <w:t>MSIX</w:t>
      </w:r>
      <w:r>
        <w:t xml:space="preserve"> (and </w:t>
      </w:r>
      <w:r>
        <w:rPr>
          <w:rFonts w:ascii="Consolas" w:hAnsi="Consolas"/>
          <w:sz w:val="19"/>
        </w:rPr>
        <w:t>.msixbundle</w:t>
      </w:r>
      <w:r>
        <w:t xml:space="preserve"> / </w:t>
      </w:r>
      <w:r>
        <w:rPr>
          <w:rFonts w:ascii="Consolas" w:hAnsi="Consolas"/>
          <w:sz w:val="19"/>
        </w:rPr>
        <w:t>.appx</w:t>
      </w:r>
      <w:r>
        <w:t>) — a modern, containerised Windows package format installed</w:t>
      </w:r>
    </w:p>
    <w:p>
      <w:r>
        <w:t xml:space="preserve">  by the OS rather than by a custom command line. No install command to get wrong, clean uninstall,   and per-user by design. Only usable when the vendor ships an MSIX or when your packaging team   converts one — and conversion is a project, not a step.</w:t>
      </w:r>
    </w:p>
    <w:p>
      <w:pPr>
        <w:pStyle w:val="ListBullet"/>
      </w:pPr>
      <w:r>
        <w:rPr>
          <w:b/>
        </w:rPr>
        <w:t>Microsoft Store (new)</w:t>
      </w:r>
      <w:r>
        <w:t xml:space="preserve"> — Intune's integration with the Microsoft Store, covering both UWP and,</w:t>
      </w:r>
    </w:p>
    <w:p>
      <w:r>
        <w:t xml:space="preserve">  since the "new" Store, packaged Win32 apps. Zero packaging effort and automatic vendor updates,   which is exactly why it should be preferred where it is available and where automatic updating is   acceptable to the business. </w:t>
      </w:r>
      <w:r>
        <w:rPr>
          <w:b/>
        </w:rPr>
        <w:t>Availability differs in US Government clouds — see Requirement 2.9.</w:t>
      </w:r>
    </w:p>
    <w:p>
      <w:pPr>
        <w:pStyle w:val="ListBullet"/>
      </w:pPr>
      <w:r>
        <w:rPr>
          <w:b/>
        </w:rPr>
        <w:t>Line-of-business (LOB) / MSI</w:t>
      </w:r>
      <w:r>
        <w:t xml:space="preserve"> — the legacy </w:t>
      </w:r>
      <w:r>
        <w:rPr>
          <w:rFonts w:ascii="Consolas" w:hAnsi="Consolas"/>
          <w:sz w:val="19"/>
        </w:rPr>
        <w:t>.msi</w:t>
      </w:r>
      <w:r>
        <w:t xml:space="preserve"> app type. It exists, it still works, and the</w:t>
      </w:r>
    </w:p>
    <w:p>
      <w:r>
        <w:t xml:space="preserve">  standard's position is that it is </w:t>
      </w:r>
      <w:r>
        <w:rPr>
          <w:b/>
        </w:rPr>
        <w:t>not used for new packages</w:t>
      </w:r>
      <w:r>
        <w:t>. It is listed in the matrix only so   that reviewers know to reject it and so that migration of existing LOB apps is a tracked item.</w:t>
      </w:r>
    </w:p>
    <w:p>
      <w:pPr>
        <w:pStyle w:val="Heading2"/>
      </w:pPr>
      <w:r>
        <w:t>What the standard actually produces</w:t>
      </w:r>
    </w:p>
    <w:p>
      <w:r>
        <w:t>When this specification is adopted, the following exist in your tenant and your document store, and they are the deliverables a reviewer or auditor will ask for:</w:t>
      </w:r>
    </w:p>
    <w:p>
      <w:pPr>
        <w:pStyle w:val="ListNumber"/>
      </w:pPr>
      <w:r>
        <w:t xml:space="preserve">A </w:t>
      </w:r>
      <w:r>
        <w:rPr>
          <w:b/>
        </w:rPr>
        <w:t>naming convention</w:t>
      </w:r>
      <w:r>
        <w:t xml:space="preserve"> applied to every app, every assignment group, and every scope tag —</w:t>
      </w:r>
    </w:p>
    <w:p>
      <w:r>
        <w:t xml:space="preserve">   </w:t>
      </w:r>
      <w:r>
        <w:rPr>
          <w:rFonts w:ascii="Consolas" w:hAnsi="Consolas"/>
          <w:sz w:val="19"/>
        </w:rPr>
        <w:t>&lt;Vendor&gt; &lt;Product&gt; – &lt;Format&gt; – v&lt;Version&gt;</w:t>
      </w:r>
      <w:r>
        <w:t xml:space="preserve"> for apps and </w:t>
      </w:r>
      <w:r>
        <w:rPr>
          <w:rFonts w:ascii="Consolas" w:hAnsi="Consolas"/>
          <w:sz w:val="19"/>
        </w:rPr>
        <w:t>APP – &lt;Purpose&gt; – &lt;Stage&gt;</w:t>
      </w:r>
      <w:r>
        <w:t xml:space="preserve"> for groups.</w:t>
      </w:r>
    </w:p>
    <w:p>
      <w:pPr>
        <w:pStyle w:val="ListNumber"/>
      </w:pPr>
      <w:r>
        <w:t xml:space="preserve">A completed </w:t>
      </w:r>
      <w:r>
        <w:rPr>
          <w:b/>
        </w:rPr>
        <w:t>Package Intake &amp; Specification form</w:t>
      </w:r>
      <w:r>
        <w:t xml:space="preserve"> per application, retained for its lifetime.</w:t>
      </w:r>
    </w:p>
    <w:p>
      <w:pPr>
        <w:pStyle w:val="ListNumber"/>
      </w:pPr>
      <w:r>
        <w:t xml:space="preserve">A </w:t>
      </w:r>
      <w:r>
        <w:rPr>
          <w:b/>
        </w:rPr>
        <w:t>detection rule</w:t>
      </w:r>
      <w:r>
        <w:t xml:space="preserve"> per app that satisfies the acceptability rules and matches no banned pattern.</w:t>
      </w:r>
    </w:p>
    <w:p>
      <w:pPr>
        <w:pStyle w:val="ListNumber"/>
      </w:pPr>
      <w:r>
        <w:t xml:space="preserve">A signed </w:t>
      </w:r>
      <w:r>
        <w:rPr>
          <w:b/>
        </w:rPr>
        <w:t>Package Acceptance Checklist</w:t>
      </w:r>
      <w:r>
        <w:t xml:space="preserve"> per release, with the reviewer's name and date.</w:t>
      </w:r>
    </w:p>
    <w:p>
      <w:pPr>
        <w:pStyle w:val="ListNumber"/>
      </w:pPr>
      <w:r>
        <w:t xml:space="preserve">A </w:t>
      </w:r>
      <w:r>
        <w:rPr>
          <w:b/>
        </w:rPr>
        <w:t>ring assignment</w:t>
      </w:r>
      <w:r>
        <w:t xml:space="preserve"> — Ring 0 packaging lab, Ring 1 pilot, Ring 2 broad — with an explicit,</w:t>
      </w:r>
    </w:p>
    <w:p>
      <w:r>
        <w:t xml:space="preserve">   named exclusion group.</w:t>
      </w:r>
    </w:p>
    <w:p>
      <w:pPr>
        <w:pStyle w:val="ListNumber"/>
      </w:pPr>
      <w:r>
        <w:t xml:space="preserve">A </w:t>
      </w:r>
      <w:r>
        <w:rPr>
          <w:b/>
        </w:rPr>
        <w:t>quarterly compliance report</w:t>
      </w:r>
      <w:r>
        <w:t xml:space="preserve"> produced by the audit scripts, with the exceptions register.</w:t>
      </w:r>
    </w:p>
    <w:p>
      <w:pPr>
        <w:pStyle w:val="Heading2"/>
      </w:pPr>
      <w:r>
        <w:t>Benefits</w:t>
      </w:r>
    </w:p>
    <w:p>
      <w:pPr>
        <w:pStyle w:val="ListBullet"/>
      </w:pPr>
      <w:r>
        <w:rPr>
          <w:b/>
        </w:rPr>
        <w:t>Anyone can pick up anyone else's package.</w:t>
      </w:r>
      <w:r>
        <w:t xml:space="preserve"> Consistent names, consistent metadata, and a</w:t>
      </w:r>
    </w:p>
    <w:p>
      <w:r>
        <w:t xml:space="preserve">  completed spec form mean the person who packaged an app is not a single point of failure.</w:t>
      </w:r>
    </w:p>
    <w:p>
      <w:pPr>
        <w:pStyle w:val="ListBullet"/>
      </w:pPr>
      <w:r>
        <w:rPr>
          <w:b/>
        </w:rPr>
        <w:t>Detection stops being the top failure cause.</w:t>
      </w:r>
      <w:r>
        <w:t xml:space="preserve"> A rule that must pass documented acceptability</w:t>
      </w:r>
    </w:p>
    <w:p>
      <w:r>
        <w:t xml:space="preserve">  tests is a rule that reports the truth.</w:t>
      </w:r>
    </w:p>
    <w:p>
      <w:pPr>
        <w:pStyle w:val="ListBullet"/>
      </w:pPr>
      <w:r>
        <w:rPr>
          <w:b/>
        </w:rPr>
        <w:t>Bad packages cannot reach production.</w:t>
      </w:r>
      <w:r>
        <w:t xml:space="preserve"> The acceptance checklist and peer sign-off are gates, not</w:t>
      </w:r>
    </w:p>
    <w:p>
      <w:r>
        <w:t xml:space="preserve">  suggestions, and Ring 1 is a real ring with real users.</w:t>
      </w:r>
    </w:p>
    <w:p>
      <w:pPr>
        <w:pStyle w:val="ListBullet"/>
      </w:pPr>
      <w:r>
        <w:rPr>
          <w:b/>
        </w:rPr>
        <w:t>The catalog stays clean at scale.</w:t>
      </w:r>
      <w:r>
        <w:t xml:space="preserve"> Assignment hygiene rules plus a scripted quarterly audit stop</w:t>
      </w:r>
    </w:p>
    <w:p>
      <w:r>
        <w:t xml:space="preserve">  orphan apps, duplicate assignments, and conflicting Required/Uninstall targeting accumulating.</w:t>
      </w:r>
    </w:p>
    <w:p>
      <w:pPr>
        <w:pStyle w:val="ListBullet"/>
      </w:pPr>
      <w:r>
        <w:rPr>
          <w:b/>
        </w:rPr>
        <w:t>Audit answers itself.</w:t>
      </w:r>
      <w:r>
        <w:t xml:space="preserve"> "Who approved this, when, against what test evidence?" has a filed answer</w:t>
      </w:r>
    </w:p>
    <w:p>
      <w:r>
        <w:t xml:space="preserve">  for every app.</w:t>
      </w:r>
    </w:p>
    <w:p>
      <w:pPr>
        <w:pStyle w:val="ListBullet"/>
      </w:pPr>
      <w:r>
        <w:rPr>
          <w:b/>
        </w:rPr>
        <w:t>New starters are productive in days.</w:t>
      </w:r>
      <w:r>
        <w:t xml:space="preserve"> The standard plus the intake template is the onboarding</w:t>
      </w:r>
    </w:p>
    <w:p>
      <w:r>
        <w:t xml:space="preserve">  material.</w:t>
      </w:r>
    </w:p>
    <w:p>
      <w:pPr>
        <w:pStyle w:val="Heading2"/>
      </w:pPr>
      <w:r>
        <w:t>Limitations (be honest)</w:t>
      </w:r>
    </w:p>
    <w:p>
      <w:pPr>
        <w:pStyle w:val="ListBullet"/>
      </w:pPr>
      <w:r>
        <w:rPr>
          <w:b/>
        </w:rPr>
        <w:t>A standard is a social artefact.</w:t>
      </w:r>
      <w:r>
        <w:t xml:space="preserve"> Scripts can detect violations; only management support makes</w:t>
      </w:r>
    </w:p>
    <w:p>
      <w:r>
        <w:t xml:space="preserve">  people fix them. The enforcement section (Implementation Step 10) is not optional garnish.</w:t>
      </w:r>
    </w:p>
    <w:p>
      <w:pPr>
        <w:pStyle w:val="ListBullet"/>
      </w:pPr>
      <w:r>
        <w:rPr>
          <w:b/>
        </w:rPr>
        <w:t>Retrofitting an existing catalog takes effort.</w:t>
      </w:r>
      <w:r>
        <w:t xml:space="preserve"> The remediation script normalises metadata, but</w:t>
      </w:r>
    </w:p>
    <w:p>
      <w:r>
        <w:t xml:space="preserve">  renaming apps and rebuilding non-compliant detection rules is manual work. Plan it as a project and   use the exceptions register for what you will not fix.</w:t>
      </w:r>
    </w:p>
    <w:p>
      <w:pPr>
        <w:pStyle w:val="ListBullet"/>
      </w:pPr>
      <w:r>
        <w:rPr>
          <w:b/>
        </w:rPr>
        <w:t>Microsoft Graph reflects what Intune stores, not what a human meant.</w:t>
      </w:r>
      <w:r>
        <w:t xml:space="preserve"> The audit scripts detect</w:t>
      </w:r>
    </w:p>
    <w:p>
      <w:r>
        <w:t xml:space="preserve">  structural violations (missing publisher, banned detection pattern, orphan assignment); they cannot   judge whether a description is *good*.</w:t>
      </w:r>
    </w:p>
    <w:p>
      <w:pPr>
        <w:pStyle w:val="ListBullet"/>
      </w:pPr>
      <w:r>
        <w:rPr>
          <w:b/>
        </w:rPr>
        <w:t>Format availability changes.</w:t>
      </w:r>
      <w:r>
        <w:t xml:space="preserve"> The Microsoft Store (new) app type in particular has different</w:t>
      </w:r>
    </w:p>
    <w:p>
      <w:r>
        <w:t xml:space="preserve">  availability across Commercial and US Government clouds — the matrix tells you to verify before   committing, and Requirement 2.9 covers the government position.</w:t>
      </w:r>
    </w:p>
    <w:p>
      <w:pPr>
        <w:pStyle w:val="ListBullet"/>
      </w:pPr>
      <w:r>
        <w:rPr>
          <w:b/>
        </w:rPr>
        <w:t>This standard governs deployment, not licensing.</w:t>
      </w:r>
      <w:r>
        <w:t xml:space="preserve"> Entitlement, licence counting, and app</w:t>
      </w:r>
    </w:p>
    <w:p>
      <w:r>
        <w:t xml:space="preserve">  contract management are adjacent disciplines and out of scope.</w:t>
      </w:r>
    </w:p>
    <w:p>
      <w:pPr>
        <w:pStyle w:val="Heading2"/>
      </w:pPr>
      <w:r>
        <w:t>The standard deployment model</w:t>
      </w:r>
    </w:p>
    <w:p>
      <w:pPr>
        <w:ind w:left="432"/>
      </w:pPr>
      <w:r>
        <w:rPr>
          <w:i/>
          <w:color w:val="2E86C1"/>
        </w:rPr>
        <w:t>Intake the app against the spec form → decide the format from the matrix → build to the packaging specification → pass the acceptance checklist → peer review and sign-off → release to Ring 1 pilot → validate → expand to Ring 2 broad → audit quarterly. This is the repeatable way: Assess → Configure → Pilot → Validate → Expand. No package skips the checklist, and no package reaches Ring 2 without a signed sign-off record.</w:t>
      </w:r>
    </w:p>
    <w:p>
      <w:pPr>
        <w:pStyle w:val="Heading1"/>
      </w:pPr>
      <w:r>
        <w:t>2. Requirements Guide — Application Packaging &amp; Deployment Standards</w:t>
      </w:r>
    </w:p>
    <w:p>
      <w:r>
        <w:t xml:space="preserve">Verify </w:t>
      </w:r>
      <w:r>
        <w:rPr>
          <w:b/>
        </w:rPr>
        <w:t>every</w:t>
      </w:r>
      <w:r>
        <w:t xml:space="preserve"> requirement before you publish the standard to your packaging team. Each entry: </w:t>
      </w:r>
      <w:r>
        <w:rPr>
          <w:b/>
        </w:rPr>
        <w:t>Description · Why required · How to verify · How to implement if missing.</w:t>
      </w:r>
      <w:r>
        <w:t xml:space="preserve"> Category-wide prerequisites are in </w:t>
      </w:r>
      <w:r>
        <w:rPr>
          <w:rFonts w:ascii="Consolas" w:hAnsi="Consolas"/>
          <w:sz w:val="19"/>
        </w:rPr>
        <w:t>global-requirements-intune-solutions.md</w:t>
      </w:r>
      <w:r>
        <w:t>.</w:t>
      </w:r>
    </w:p>
    <w:p>
      <w:r>
        <w:t xml:space="preserve">Throughout this solution we use a </w:t>
      </w:r>
      <w:r>
        <w:rPr>
          <w:b/>
        </w:rPr>
        <w:t>worked example application</w:t>
      </w:r>
      <w:r>
        <w:t xml:space="preserve"> so every rule is concrete:</w:t>
      </w:r>
    </w:p>
    <w:p>
      <w:pPr>
        <w:ind w:left="432"/>
      </w:pPr>
      <w:r>
        <w:rPr>
          <w:i/>
          <w:color w:val="2E86C1"/>
        </w:rPr>
        <w:t>Acme Invoice Client, version 7.3.1, from publisher Acme Software Ltd., shipped as an MSI (AcmeInvoiceClient.msi), business-owned by the Finance department, requested for the Finance and Accounts Payable teams.</w:t>
      </w:r>
    </w:p>
    <w:p>
      <w:r>
        <w:t xml:space="preserve">Replace the vendor, product, version, and owner with your own. The </w:t>
      </w:r>
      <w:r>
        <w:rPr>
          <w:b/>
        </w:rPr>
        <w:t>names</w:t>
      </w:r>
      <w:r>
        <w:t xml:space="preserve"> of the tenant objects you create (groups, scope tags, categories, roles) are part of the standard — use them </w:t>
      </w:r>
      <w:r>
        <w:rPr>
          <w:b/>
        </w:rPr>
        <w:t>verbatim</w:t>
      </w:r>
      <w:r>
        <w:t xml:space="preserve"> so that the scripts, the templates, and the audit all agree.</w:t>
      </w:r>
    </w:p>
    <w:p>
      <w:r>
        <w:t>__________________________________________________</w:t>
      </w:r>
    </w:p>
    <w:p>
      <w:pPr>
        <w:pStyle w:val="Heading2"/>
      </w:pPr>
      <w:r>
        <w:t>2.1 Intune licensing for every targeted user or device</w:t>
      </w:r>
    </w:p>
    <w:p>
      <w:r>
        <w:rPr>
          <w:b/>
        </w:rPr>
        <w:t>Description:</w:t>
      </w:r>
      <w:r>
        <w:t xml:space="preserve"> An Intune-bearing licence plan (Intune Plan 1, Microsoft 365 E3/E5, or Business Premium) assigned to every user or device that will receive a managed application. </w:t>
      </w:r>
      <w:r>
        <w:rPr>
          <w:b/>
        </w:rPr>
        <w:t>Why required:</w:t>
      </w:r>
      <w:r>
        <w:t xml:space="preserve"> App deployment, app assignment, and the Intune Management Extension are Intune capabilities. Unlicensed users silently fail to receive Required assignments, which looks like a packaging fault and wastes triage time. </w:t>
      </w:r>
      <w:r>
        <w:rPr>
          <w:b/>
        </w:rPr>
        <w:t>How to verify:</w:t>
      </w:r>
      <w:r>
        <w:t xml:space="preserve"> Microsoft 365 admin center (</w:t>
      </w:r>
      <w:r>
        <w:rPr>
          <w:rFonts w:ascii="Consolas" w:hAnsi="Consolas"/>
          <w:sz w:val="19"/>
        </w:rPr>
        <w:t>https://admin.microsoft.com</w:t>
      </w:r>
      <w:r>
        <w:t xml:space="preserve">) → </w:t>
      </w:r>
      <w:r>
        <w:rPr>
          <w:b/>
        </w:rPr>
        <w:t>Billing</w:t>
      </w:r>
      <w:r>
        <w:t xml:space="preserve"> → </w:t>
      </w:r>
      <w:r>
        <w:rPr>
          <w:b/>
        </w:rPr>
        <w:t>Licenses</w:t>
      </w:r>
      <w:r>
        <w:t xml:space="preserve"> → confirm an Intune-bearing SKU with available seats. Then Microsoft Intune admin center (</w:t>
      </w:r>
      <w:r>
        <w:rPr>
          <w:rFonts w:ascii="Consolas" w:hAnsi="Consolas"/>
          <w:sz w:val="19"/>
        </w:rPr>
        <w:t>https://intune.microsoft.com</w:t>
      </w:r>
      <w:r>
        <w:t xml:space="preserve">) → </w:t>
      </w:r>
      <w:r>
        <w:rPr>
          <w:b/>
        </w:rPr>
        <w:t>Tenant administration</w:t>
      </w:r>
      <w:r>
        <w:t xml:space="preserve"> → </w:t>
      </w:r>
      <w:r>
        <w:rPr>
          <w:b/>
        </w:rPr>
        <w:t>Tenant status</w:t>
      </w:r>
      <w:r>
        <w:t xml:space="preserve"> → confirm the tenant is active and note the </w:t>
      </w:r>
      <w:r>
        <w:rPr>
          <w:b/>
        </w:rPr>
        <w:t>Account status</w:t>
      </w:r>
      <w:r>
        <w:t xml:space="preserve">. </w:t>
      </w:r>
      <w:r>
        <w:rPr>
          <w:b/>
        </w:rPr>
        <w:t>How to implement if missing:</w:t>
      </w:r>
      <w:r>
        <w:t xml:space="preserve"> Purchase and assign Microsoft 365 E3/E5, Business Premium, or standalone Intune Plan 1 to the target users, then re-check </w:t>
      </w:r>
      <w:r>
        <w:rPr>
          <w:b/>
        </w:rPr>
        <w:t>Tenant status</w:t>
      </w:r>
      <w:r>
        <w:t>.</w:t>
      </w:r>
    </w:p>
    <w:p>
      <w:pPr>
        <w:pStyle w:val="Heading2"/>
      </w:pPr>
      <w:r>
        <w:t>2.2 A named owner for the packaging standard</w:t>
      </w:r>
    </w:p>
    <w:p>
      <w:r>
        <w:rPr>
          <w:b/>
        </w:rPr>
        <w:t>Description:</w:t>
      </w:r>
      <w:r>
        <w:t xml:space="preserve"> One accountable person (with a named deputy) who owns this specification: approves changes to it, arbitrates format decisions, and chairs the exceptions register. </w:t>
      </w:r>
      <w:r>
        <w:rPr>
          <w:b/>
        </w:rPr>
        <w:t>Why required:</w:t>
      </w:r>
      <w:r>
        <w:t xml:space="preserve"> A standard without an owner is a document. Every rule below has edge cases; someone must be able to say "yes, this exception is approved, here is why, review it in six months." Without this role the standard decays within two quarters. </w:t>
      </w:r>
      <w:r>
        <w:rPr>
          <w:b/>
        </w:rPr>
        <w:t>How to verify:</w:t>
      </w:r>
      <w:r>
        <w:t xml:space="preserve"> The owner and deputy are named on the front page of your published copy of this specification, and both appear as </w:t>
      </w:r>
      <w:r>
        <w:rPr>
          <w:b/>
        </w:rPr>
        <w:t>Owners</w:t>
      </w:r>
      <w:r>
        <w:t xml:space="preserve"> of the Entra group </w:t>
      </w:r>
      <w:r>
        <w:rPr>
          <w:rFonts w:ascii="Consolas" w:hAnsi="Consolas"/>
          <w:sz w:val="19"/>
        </w:rPr>
        <w:t>ROLE – Package Approvers</w:t>
      </w:r>
      <w:r>
        <w:t xml:space="preserve"> (created in Implementation Step 2). </w:t>
      </w:r>
      <w:r>
        <w:rPr>
          <w:b/>
        </w:rPr>
        <w:t>How to implement if missing:</w:t>
      </w:r>
      <w:r>
        <w:t xml:space="preserve"> Nominate the senior endpoint engineer as </w:t>
      </w:r>
      <w:r>
        <w:rPr>
          <w:b/>
        </w:rPr>
        <w:t>Packaging Standard Owner</w:t>
      </w:r>
      <w:r>
        <w:t xml:space="preserve"> and one peer as deputy. Record both names in your published copy of the standard and add them as Owners of </w:t>
      </w:r>
      <w:r>
        <w:rPr>
          <w:rFonts w:ascii="Consolas" w:hAnsi="Consolas"/>
          <w:sz w:val="19"/>
        </w:rPr>
        <w:t>ROLE – Package Approvers</w:t>
      </w:r>
      <w:r>
        <w:t>.</w:t>
      </w:r>
    </w:p>
    <w:p>
      <w:pPr>
        <w:pStyle w:val="Heading2"/>
      </w:pPr>
      <w:r>
        <w:t>2.3 At least two people who can package and review</w:t>
      </w:r>
    </w:p>
    <w:p>
      <w:r>
        <w:rPr>
          <w:b/>
        </w:rPr>
        <w:t>Description:</w:t>
      </w:r>
      <w:r>
        <w:t xml:space="preserve"> A minimum of two staff competent to build a package </w:t>
      </w:r>
      <w:r>
        <w:rPr>
          <w:b/>
        </w:rPr>
        <w:t>and</w:t>
      </w:r>
      <w:r>
        <w:t xml:space="preserve"> to review someone else's. </w:t>
      </w:r>
      <w:r>
        <w:rPr>
          <w:b/>
        </w:rPr>
        <w:t>Why required:</w:t>
      </w:r>
      <w:r>
        <w:t xml:space="preserve"> The peer review gate (Implementation Step 8) requires that the reviewer is </w:t>
      </w:r>
      <w:r>
        <w:rPr>
          <w:b/>
        </w:rPr>
        <w:t>not</w:t>
      </w:r>
      <w:r>
        <w:t xml:space="preserve"> the packager. With one person, sign-off is self-certification and the gate is theatre. Two is the minimum; three removes the single point of failure when one is on leave. </w:t>
      </w:r>
      <w:r>
        <w:rPr>
          <w:b/>
        </w:rPr>
        <w:t>How to verify:</w:t>
      </w:r>
      <w:r>
        <w:t xml:space="preserve"> Entra admin center (</w:t>
      </w:r>
      <w:r>
        <w:rPr>
          <w:rFonts w:ascii="Consolas" w:hAnsi="Consolas"/>
          <w:sz w:val="19"/>
        </w:rPr>
        <w:t>https://entra.microsoft.com</w:t>
      </w:r>
      <w:r>
        <w:t xml:space="preserve">) → </w:t>
      </w:r>
      <w:r>
        <w:rPr>
          <w:b/>
        </w:rPr>
        <w:t>Groups</w:t>
      </w:r>
      <w:r>
        <w:t xml:space="preserve"> → </w:t>
      </w:r>
      <w:r>
        <w:rPr>
          <w:b/>
        </w:rPr>
        <w:t>All groups</w:t>
      </w:r>
      <w:r>
        <w:t xml:space="preserve"> → open </w:t>
      </w:r>
      <w:r>
        <w:rPr>
          <w:rFonts w:ascii="Consolas" w:hAnsi="Consolas"/>
          <w:sz w:val="19"/>
        </w:rPr>
        <w:t>ROLE – Package Approvers</w:t>
      </w:r>
      <w:r>
        <w:t xml:space="preserve"> → </w:t>
      </w:r>
      <w:r>
        <w:rPr>
          <w:b/>
        </w:rPr>
        <w:t>Members</w:t>
      </w:r>
      <w:r>
        <w:t xml:space="preserve"> → confirm at least two members. </w:t>
      </w:r>
      <w:r>
        <w:rPr>
          <w:b/>
        </w:rPr>
        <w:t>How to implement if missing:</w:t>
      </w:r>
      <w:r>
        <w:t xml:space="preserve"> Train a second administrator on the per-app packaging mechanics (that is a separate discipline — see the companion Win32 packaging solution) and add them to </w:t>
      </w:r>
      <w:r>
        <w:rPr>
          <w:rFonts w:ascii="Consolas" w:hAnsi="Consolas"/>
          <w:sz w:val="19"/>
        </w:rPr>
        <w:t>ROLE – Package Approvers</w:t>
      </w:r>
      <w:r>
        <w:t>. Until you have two, record it as an open risk in the exceptions register and have a manager counter-sign releases.</w:t>
      </w:r>
    </w:p>
    <w:p>
      <w:pPr>
        <w:pStyle w:val="Heading2"/>
      </w:pPr>
      <w:r>
        <w:t>2.4 Microsoft Graph PowerShell SDK on the auditor's workstation</w:t>
      </w:r>
    </w:p>
    <w:p>
      <w:r>
        <w:rPr>
          <w:b/>
        </w:rPr>
        <w:t>Description:</w:t>
      </w:r>
      <w:r>
        <w:t xml:space="preserve"> The Microsoft Graph PowerShell SDK installed on the workstation that runs the five audit and remediation scripts in this package. </w:t>
      </w:r>
      <w:r>
        <w:rPr>
          <w:b/>
        </w:rPr>
        <w:t>Why required:</w:t>
      </w:r>
      <w:r>
        <w:t xml:space="preserve"> Every script in this solution reads (and, for the remediation script, writes) app objects, assignments, and detection rules through Microsoft Graph. There is no portal report that answers "which apps violate the naming standard". </w:t>
      </w:r>
      <w:r>
        <w:rPr>
          <w:b/>
        </w:rPr>
        <w:t>How to verify:</w:t>
      </w:r>
      <w:r>
        <w:t xml:space="preserve"> Open PowerShell and run:</w:t>
      </w:r>
    </w:p>
    <w:p>
      <w:r>
        <w:rPr>
          <w:rFonts w:ascii="Consolas" w:hAnsi="Consolas"/>
          <w:sz w:val="18"/>
        </w:rPr>
        <w:t>Get-Module -ListAvailable -Name Microsoft.Graph.Authentication</w:t>
      </w:r>
    </w:p>
    <w:p>
      <w:r>
        <w:t xml:space="preserve">A version is returned. Then run </w:t>
      </w:r>
      <w:r>
        <w:rPr>
          <w:rFonts w:ascii="Consolas" w:hAnsi="Consolas"/>
          <w:sz w:val="19"/>
        </w:rPr>
        <w:t>.\APPSTD-Invoke-PackageStandardAudit.ps1 -WhatIfOnlySummary</w:t>
      </w:r>
      <w:r>
        <w:t xml:space="preserve"> and confirm it connects without error. </w:t>
      </w:r>
      <w:r>
        <w:rPr>
          <w:b/>
        </w:rPr>
        <w:t>How to implement if missing:</w:t>
      </w:r>
    </w:p>
    <w:p>
      <w:r>
        <w:rPr>
          <w:rFonts w:ascii="Consolas" w:hAnsi="Consolas"/>
          <w:sz w:val="18"/>
        </w:rPr>
        <w:t>Install-Module Microsoft.Graph -Scope CurrentUser -Force -AllowClobber</w:t>
      </w:r>
    </w:p>
    <w:p>
      <w:r>
        <w:t>Use PowerShell 7.x where possible. All five scripts install the SDK automatically if it is absent, but pre-installing avoids a long first run.</w:t>
      </w:r>
    </w:p>
    <w:p>
      <w:pPr>
        <w:pStyle w:val="Heading2"/>
      </w:pPr>
      <w:r>
        <w:t>2.5 Graph permissions for the audit account</w:t>
      </w:r>
    </w:p>
    <w:p>
      <w:r>
        <w:rPr>
          <w:b/>
        </w:rPr>
        <w:t>Description:</w:t>
      </w:r>
      <w:r>
        <w:t xml:space="preserve"> The account running the scripts must consent to </w:t>
      </w:r>
      <w:r>
        <w:rPr>
          <w:rFonts w:ascii="Consolas" w:hAnsi="Consolas"/>
          <w:sz w:val="19"/>
        </w:rPr>
        <w:t>DeviceManagementApps.Read.All</w:t>
      </w:r>
      <w:r>
        <w:t xml:space="preserve"> (all five scripts) and additionally </w:t>
      </w:r>
      <w:r>
        <w:rPr>
          <w:rFonts w:ascii="Consolas" w:hAnsi="Consolas"/>
          <w:sz w:val="19"/>
        </w:rPr>
        <w:t>DeviceManagementApps.ReadWrite.All</w:t>
      </w:r>
      <w:r>
        <w:t xml:space="preserve"> for the metadata remediation script, plus </w:t>
      </w:r>
      <w:r>
        <w:rPr>
          <w:rFonts w:ascii="Consolas" w:hAnsi="Consolas"/>
          <w:sz w:val="19"/>
        </w:rPr>
        <w:t>Group.Read.All</w:t>
      </w:r>
      <w:r>
        <w:t xml:space="preserve"> for the assignment hygiene report. </w:t>
      </w:r>
      <w:r>
        <w:rPr>
          <w:b/>
        </w:rPr>
        <w:t>Why required:</w:t>
      </w:r>
      <w:r>
        <w:t xml:space="preserve"> Read scopes let the auditor enumerate apps, assignments, and detection rules. The write scope is needed </w:t>
      </w:r>
      <w:r>
        <w:rPr>
          <w:b/>
        </w:rPr>
        <w:t>only</w:t>
      </w:r>
      <w:r>
        <w:t xml:space="preserve"> by </w:t>
      </w:r>
      <w:r>
        <w:rPr>
          <w:rFonts w:ascii="Consolas" w:hAnsi="Consolas"/>
          <w:sz w:val="19"/>
        </w:rPr>
        <w:t>APPSTD-Set-AppMetadataStandard.ps1</w:t>
      </w:r>
      <w:r>
        <w:t xml:space="preserve">, which is </w:t>
      </w:r>
      <w:r>
        <w:rPr>
          <w:rFonts w:ascii="Consolas" w:hAnsi="Consolas"/>
          <w:sz w:val="19"/>
        </w:rPr>
        <w:t>-WhatIf</w:t>
      </w:r>
      <w:r>
        <w:t xml:space="preserve"> by default and changes nothing until you explicitly pass </w:t>
      </w:r>
      <w:r>
        <w:rPr>
          <w:rFonts w:ascii="Consolas" w:hAnsi="Consolas"/>
          <w:sz w:val="19"/>
        </w:rPr>
        <w:t>-Apply</w:t>
      </w:r>
      <w:r>
        <w:t xml:space="preserve">. </w:t>
      </w:r>
      <w:r>
        <w:rPr>
          <w:b/>
        </w:rPr>
        <w:t>How to verify:</w:t>
      </w:r>
      <w:r>
        <w:t xml:space="preserve"> Run any audit script; on first run PowerShell opens a consent prompt listing the scopes. If consent has already been granted, run:</w:t>
      </w:r>
    </w:p>
    <w:p>
      <w:r>
        <w:rPr>
          <w:rFonts w:ascii="Consolas" w:hAnsi="Consolas"/>
          <w:sz w:val="18"/>
        </w:rPr>
        <w:t>Connect-MgGraph -Scopes 'DeviceManagementApps.Read.All','Group.Read.All' -NoWelcome</w:t>
        <w:br/>
        <w:t>(Get-MgContext).Scopes</w:t>
      </w:r>
    </w:p>
    <w:p>
      <w:r>
        <w:t xml:space="preserve">and confirm the scopes are listed. </w:t>
      </w:r>
      <w:r>
        <w:rPr>
          <w:b/>
        </w:rPr>
        <w:t>How to implement if missing:</w:t>
      </w:r>
      <w:r>
        <w:t xml:space="preserve"> Sign in as a user holding the </w:t>
      </w:r>
      <w:r>
        <w:rPr>
          <w:b/>
        </w:rPr>
        <w:t>Intune Administrator</w:t>
      </w:r>
      <w:r>
        <w:t xml:space="preserve"> role and accept the consent prompt. If your tenant blocks user consent, have a Global Administrator grant admin consent for the Microsoft Graph PowerShell enterprise application for those scopes.</w:t>
      </w:r>
    </w:p>
    <w:p>
      <w:pPr>
        <w:pStyle w:val="Heading2"/>
      </w:pPr>
      <w:r>
        <w:t>2.6 Intune RBAC roles separating packagers from approvers</w:t>
      </w:r>
    </w:p>
    <w:p>
      <w:r>
        <w:rPr>
          <w:b/>
        </w:rPr>
        <w:t>Description:</w:t>
      </w:r>
      <w:r>
        <w:t xml:space="preserve"> Distinct Intune role assignments so that the people who build packages and the people who approve releases are visibly different sets, and neither group has more rights than the job needs. </w:t>
      </w:r>
      <w:r>
        <w:rPr>
          <w:b/>
        </w:rPr>
        <w:t>Why required:</w:t>
      </w:r>
      <w:r>
        <w:t xml:space="preserve"> The sign-off gate has integrity only if it is enforced by permissions as well as by process. It also limits blast radius: a packager should not be able to assign an app to All Devices. </w:t>
      </w:r>
      <w:r>
        <w:rPr>
          <w:b/>
        </w:rPr>
        <w:t>How to verify:</w:t>
      </w:r>
      <w:r>
        <w:t xml:space="preserve"> Intune admin center → </w:t>
      </w:r>
      <w:r>
        <w:rPr>
          <w:b/>
        </w:rPr>
        <w:t>Tenant administration</w:t>
      </w:r>
      <w:r>
        <w:t xml:space="preserve"> → </w:t>
      </w:r>
      <w:r>
        <w:rPr>
          <w:b/>
        </w:rPr>
        <w:t>Roles</w:t>
      </w:r>
      <w:r>
        <w:t xml:space="preserve"> → </w:t>
      </w:r>
      <w:r>
        <w:rPr>
          <w:b/>
        </w:rPr>
        <w:t>All roles</w:t>
      </w:r>
      <w:r>
        <w:t xml:space="preserve"> → confirm a custom role named </w:t>
      </w:r>
      <w:r>
        <w:rPr>
          <w:rFonts w:ascii="Consolas" w:hAnsi="Consolas"/>
          <w:sz w:val="19"/>
        </w:rPr>
        <w:t>Application Packager (Standard)</w:t>
      </w:r>
      <w:r>
        <w:t xml:space="preserve"> exists, and open </w:t>
      </w:r>
      <w:r>
        <w:rPr>
          <w:b/>
        </w:rPr>
        <w:t>Assignments</w:t>
      </w:r>
      <w:r>
        <w:t xml:space="preserve"> to confirm it is assigned to your packagers and scoped by the scope tag </w:t>
      </w:r>
      <w:r>
        <w:rPr>
          <w:rFonts w:ascii="Consolas" w:hAnsi="Consolas"/>
          <w:sz w:val="19"/>
        </w:rPr>
        <w:t>SCOPE – Application Packaging</w:t>
      </w:r>
      <w:r>
        <w:t xml:space="preserve">. </w:t>
      </w:r>
      <w:r>
        <w:rPr>
          <w:b/>
        </w:rPr>
        <w:t>How to implement if missing:</w:t>
      </w:r>
      <w:r>
        <w:t xml:space="preserve"> Create the role and scope tag in Implementation Step 2. If your organisation is too small to separate the duties, document that as an approved exception in the exceptions register and rely on the peer-review signature instead — but say so explicitly rather than leaving the gap undeclared.</w:t>
      </w:r>
    </w:p>
    <w:p>
      <w:pPr>
        <w:pStyle w:val="Heading2"/>
      </w:pPr>
      <w:r>
        <w:t>2.7 A document store for retained package evidence</w:t>
      </w:r>
    </w:p>
    <w:p>
      <w:r>
        <w:rPr>
          <w:b/>
        </w:rPr>
        <w:t>Description:</w:t>
      </w:r>
      <w:r>
        <w:t xml:space="preserve"> A durable, access-controlled location (a SharePoint document library, a Teams files tab, or a version-controlled repository) that holds one folder per application containing the intake form, the acceptance checklist, the sign-off record, and the test evidence. </w:t>
      </w:r>
      <w:r>
        <w:rPr>
          <w:b/>
        </w:rPr>
        <w:t>Why required:</w:t>
      </w:r>
      <w:r>
        <w:t xml:space="preserve"> The standard's audit answer — "who approved this, when, against what evidence" — depends on the evidence still existing in two years. Evidence in a packager's </w:t>
      </w:r>
      <w:r>
        <w:rPr>
          <w:rFonts w:ascii="Consolas" w:hAnsi="Consolas"/>
          <w:sz w:val="19"/>
        </w:rPr>
        <w:t>C:\Temp</w:t>
      </w:r>
      <w:r>
        <w:t xml:space="preserve"> is not evidence. </w:t>
      </w:r>
      <w:r>
        <w:rPr>
          <w:b/>
        </w:rPr>
        <w:t>How to verify:</w:t>
      </w:r>
      <w:r>
        <w:t xml:space="preserve"> The library exists, is named </w:t>
      </w:r>
      <w:r>
        <w:rPr>
          <w:rFonts w:ascii="Consolas" w:hAnsi="Consolas"/>
          <w:sz w:val="19"/>
        </w:rPr>
        <w:t>Application Package Records</w:t>
      </w:r>
      <w:r>
        <w:t xml:space="preserve">, is readable by </w:t>
      </w:r>
      <w:r>
        <w:rPr>
          <w:rFonts w:ascii="Consolas" w:hAnsi="Consolas"/>
          <w:sz w:val="19"/>
        </w:rPr>
        <w:t>ROLE – Package Approvers</w:t>
      </w:r>
      <w:r>
        <w:t xml:space="preserve"> and your audit function, and contains at least one folder using the convention </w:t>
      </w:r>
      <w:r>
        <w:rPr>
          <w:rFonts w:ascii="Consolas" w:hAnsi="Consolas"/>
          <w:sz w:val="19"/>
        </w:rPr>
        <w:t>&lt;Vendor&gt; &lt;Product&gt;\&lt;Version&gt;\</w:t>
      </w:r>
      <w:r>
        <w:t xml:space="preserve"> (for the worked example, </w:t>
      </w:r>
      <w:r>
        <w:rPr>
          <w:rFonts w:ascii="Consolas" w:hAnsi="Consolas"/>
          <w:sz w:val="19"/>
        </w:rPr>
        <w:t>Acme Software Ltd Acme Invoice Client\7.3.1\</w:t>
      </w:r>
      <w:r>
        <w:t xml:space="preserve">). </w:t>
      </w:r>
      <w:r>
        <w:rPr>
          <w:b/>
        </w:rPr>
        <w:t>How to implement if missing:</w:t>
      </w:r>
      <w:r>
        <w:t xml:space="preserve"> Create a SharePoint document library named </w:t>
      </w:r>
      <w:r>
        <w:rPr>
          <w:rFonts w:ascii="Consolas" w:hAnsi="Consolas"/>
          <w:sz w:val="19"/>
        </w:rPr>
        <w:t>Application Package Records</w:t>
      </w:r>
      <w:r>
        <w:t xml:space="preserve">. Turn on </w:t>
      </w:r>
      <w:r>
        <w:rPr>
          <w:b/>
        </w:rPr>
        <w:t>version history</w:t>
      </w:r>
      <w:r>
        <w:t xml:space="preserve">. Grant </w:t>
      </w:r>
      <w:r>
        <w:rPr>
          <w:b/>
        </w:rPr>
        <w:t>Contribute</w:t>
      </w:r>
      <w:r>
        <w:t xml:space="preserve"> to your packaging team and </w:t>
      </w:r>
      <w:r>
        <w:rPr>
          <w:b/>
        </w:rPr>
        <w:t>Read</w:t>
      </w:r>
      <w:r>
        <w:t xml:space="preserve"> to audit/compliance. Do not allow deletion by contributors.</w:t>
      </w:r>
    </w:p>
    <w:p>
      <w:pPr>
        <w:pStyle w:val="Heading2"/>
      </w:pPr>
      <w:r>
        <w:t>2.8 A defined pilot population that is real</w:t>
      </w:r>
    </w:p>
    <w:p>
      <w:r>
        <w:rPr>
          <w:b/>
        </w:rPr>
        <w:t>Description:</w:t>
      </w:r>
      <w:r>
        <w:t xml:space="preserve"> A pilot ring of genuine, representative end users — not only the IT team — who receive every package before broad release. Aim for 3–5% of the fleet, minimum 10 devices, spanning your main hardware models and at least two business units. </w:t>
      </w:r>
      <w:r>
        <w:rPr>
          <w:b/>
        </w:rPr>
        <w:t>Why required:</w:t>
      </w:r>
      <w:r>
        <w:t xml:space="preserve"> A pilot made of engineers proves only that the package installs for engineers. Real users find the conflicts: the app that clashes with a line-of-business plug-in, the machine with 4 GB of free disk, the profile that lacks a mapped drive. </w:t>
      </w:r>
      <w:r>
        <w:rPr>
          <w:b/>
        </w:rPr>
        <w:t>How to verify:</w:t>
      </w:r>
      <w:r>
        <w:t xml:space="preserve"> Entra → </w:t>
      </w:r>
      <w:r>
        <w:rPr>
          <w:b/>
        </w:rPr>
        <w:t>Groups</w:t>
      </w:r>
      <w:r>
        <w:t xml:space="preserve"> → </w:t>
      </w:r>
      <w:r>
        <w:rPr>
          <w:rFonts w:ascii="Consolas" w:hAnsi="Consolas"/>
          <w:sz w:val="19"/>
        </w:rPr>
        <w:t>APP – Ring 1 Pilot Devices</w:t>
      </w:r>
      <w:r>
        <w:t xml:space="preserve"> exists, has ≥ 10 members, and its membership spans more than one department and more than one hardware model. </w:t>
      </w:r>
      <w:r>
        <w:rPr>
          <w:b/>
        </w:rPr>
        <w:t>How to implement if missing:</w:t>
      </w:r>
      <w:r>
        <w:t xml:space="preserve"> Recruit pilot users with their managers' agreement — a named group who understand they receive software first and report problems. Create the group in Implementation Step 2 and populate it before the first release runs through the process.</w:t>
      </w:r>
    </w:p>
    <w:p>
      <w:pPr>
        <w:pStyle w:val="Heading2"/>
      </w:pPr>
      <w:r>
        <w:t>2.9 A confirmed position on Microsoft Store (new) availability in your cloud</w:t>
      </w:r>
    </w:p>
    <w:p>
      <w:r>
        <w:rPr>
          <w:b/>
        </w:rPr>
        <w:t>Description:</w:t>
      </w:r>
      <w:r>
        <w:t xml:space="preserve"> A written, verified statement of whether the </w:t>
      </w:r>
      <w:r>
        <w:rPr>
          <w:b/>
        </w:rPr>
        <w:t>Microsoft Store (new)</w:t>
      </w:r>
      <w:r>
        <w:t xml:space="preserve"> app type is available in the Microsoft cloud environment your tenant runs in — Commercial, GCC, GCC High, or DoD — because the format decision matrix branches on the answer. </w:t>
      </w:r>
      <w:r>
        <w:rPr>
          <w:b/>
        </w:rPr>
        <w:t>Why required:</w:t>
      </w:r>
      <w:r>
        <w:t xml:space="preserve"> The matrix prefers the Microsoft Store (new) app type where it is available, since it removes packaging effort entirely. </w:t>
      </w:r>
      <w:r>
        <w:rPr>
          <w:b/>
        </w:rPr>
        <w:t>Microsoft Store app availability and feature parity differ between the Commercial cloud and the US Government clouds</w:t>
      </w:r>
      <w:r>
        <w:t xml:space="preserve">, and Government tenants have historically had reduced or absent Store integration alongside delayed feature rollout. If your tenant cannot use the Store type, that branch of the matrix must be struck out and those apps fall through to Win32 — which materially changes your packaging workload. Getting this wrong means a decision tree that recommends an option your admins cannot select. </w:t>
      </w:r>
      <w:r>
        <w:rPr>
          <w:b/>
        </w:rPr>
        <w:t>How to verify:</w:t>
      </w:r>
      <w:r>
        <w:t xml:space="preserve"> Sign in to your Intune admin center — </w:t>
      </w:r>
      <w:r>
        <w:rPr>
          <w:rFonts w:ascii="Consolas" w:hAnsi="Consolas"/>
          <w:sz w:val="19"/>
        </w:rPr>
        <w:t>https://intune.microsoft.com</w:t>
      </w:r>
      <w:r>
        <w:t xml:space="preserve"> for Commercial, </w:t>
      </w:r>
      <w:r>
        <w:rPr>
          <w:rFonts w:ascii="Consolas" w:hAnsi="Consolas"/>
          <w:sz w:val="19"/>
        </w:rPr>
        <w:t>https://intune.microsoft.us</w:t>
      </w:r>
      <w:r>
        <w:t xml:space="preserve"> for GCC High/DoD (portal URLs differ across US Government clouds; </w:t>
      </w:r>
      <w:r>
        <w:rPr>
          <w:b/>
        </w:rPr>
        <w:t>verify the exact URL for your cloud</w:t>
      </w:r>
      <w:r>
        <w:t xml:space="preserve"> in Microsoft's US-sovereign-cloud documentation) — then go to </w:t>
      </w:r>
      <w:r>
        <w:rPr>
          <w:b/>
        </w:rPr>
        <w:t>Apps</w:t>
      </w:r>
      <w:r>
        <w:t xml:space="preserve"> → </w:t>
      </w:r>
      <w:r>
        <w:rPr>
          <w:b/>
        </w:rPr>
        <w:t>All apps</w:t>
      </w:r>
      <w:r>
        <w:t xml:space="preserve"> → </w:t>
      </w:r>
      <w:r>
        <w:rPr>
          <w:b/>
        </w:rPr>
        <w:t>Add</w:t>
      </w:r>
      <w:r>
        <w:t xml:space="preserve"> and inspect the </w:t>
      </w:r>
      <w:r>
        <w:rPr>
          <w:b/>
        </w:rPr>
        <w:t>App type</w:t>
      </w:r>
      <w:r>
        <w:t xml:space="preserve"> dropdown. Confirm whether </w:t>
      </w:r>
      <w:r>
        <w:rPr>
          <w:b/>
        </w:rPr>
        <w:t>Microsoft Store app (new)</w:t>
      </w:r>
      <w:r>
        <w:t xml:space="preserve"> appears and, if it does, whether a search returns results. Cross-check against Microsoft's current service-description and Government feature-parity documentation for your cloud before writing the answer down. </w:t>
      </w:r>
      <w:r>
        <w:rPr>
          <w:b/>
        </w:rPr>
        <w:t>How to implement if missing / if the Store type is unavailable:</w:t>
      </w:r>
      <w:r>
        <w:t xml:space="preserve"> Record the finding in your published copy of the standard as *"Microsoft Store (new): NOT AVAILABLE in this cloud — verified &lt;date&gt; by &lt;name&gt;"*, strike the Store branch from your local copy of the format decision matrix, and default those applications to </w:t>
      </w:r>
      <w:r>
        <w:rPr>
          <w:b/>
        </w:rPr>
        <w:t>Win32</w:t>
      </w:r>
      <w:r>
        <w:t xml:space="preserve">. Do not assume a parity gap is permanent; re-verify at each annual review of the standard. </w:t>
      </w:r>
      <w:r>
        <w:rPr>
          <w:b/>
        </w:rPr>
        <w:t>Do not assume the Commercial answer applies to a Government tenant, and do not invent Government specifics — verify for GCC High against Microsoft's documentation.</w:t>
      </w:r>
    </w:p>
    <w:p>
      <w:pPr>
        <w:pStyle w:val="Heading2"/>
      </w:pPr>
      <w:r>
        <w:t>2.10 An agreed application catalog taxonomy</w:t>
      </w:r>
    </w:p>
    <w:p>
      <w:r>
        <w:rPr>
          <w:b/>
        </w:rPr>
        <w:t>Description:</w:t>
      </w:r>
      <w:r>
        <w:t xml:space="preserve"> The finite list of </w:t>
      </w:r>
      <w:r>
        <w:rPr>
          <w:b/>
        </w:rPr>
        <w:t>Intune app categories</w:t>
      </w:r>
      <w:r>
        <w:t xml:space="preserve"> you will allow, agreed before packaging starts, so that Company Portal is browsable and reporting groups sensibly. </w:t>
      </w:r>
      <w:r>
        <w:rPr>
          <w:b/>
        </w:rPr>
        <w:t>Why required:</w:t>
      </w:r>
      <w:r>
        <w:t xml:space="preserve"> App categories are free text in practice. Without an agreed list you get </w:t>
      </w:r>
      <w:r>
        <w:rPr>
          <w:rFonts w:ascii="Consolas" w:hAnsi="Consolas"/>
          <w:sz w:val="19"/>
        </w:rPr>
        <w:t>Finance</w:t>
      </w:r>
      <w:r>
        <w:t xml:space="preserve">, </w:t>
      </w:r>
      <w:r>
        <w:rPr>
          <w:rFonts w:ascii="Consolas" w:hAnsi="Consolas"/>
          <w:sz w:val="19"/>
        </w:rPr>
        <w:t>finance</w:t>
      </w:r>
      <w:r>
        <w:t xml:space="preserve">, </w:t>
      </w:r>
      <w:r>
        <w:rPr>
          <w:rFonts w:ascii="Consolas" w:hAnsi="Consolas"/>
          <w:sz w:val="19"/>
        </w:rPr>
        <w:t>Fin Apps</w:t>
      </w:r>
      <w:r>
        <w:t xml:space="preserve">, and </w:t>
      </w:r>
      <w:r>
        <w:rPr>
          <w:rFonts w:ascii="Consolas" w:hAnsi="Consolas"/>
          <w:sz w:val="19"/>
        </w:rPr>
        <w:t>Accounting</w:t>
      </w:r>
      <w:r>
        <w:t xml:space="preserve"> as four separate categories within a year, and Company Portal becomes unusable. </w:t>
      </w:r>
      <w:r>
        <w:rPr>
          <w:b/>
        </w:rPr>
        <w:t>How to verify:</w:t>
      </w:r>
      <w:r>
        <w:t xml:space="preserve"> Intune admin center → </w:t>
      </w:r>
      <w:r>
        <w:rPr>
          <w:b/>
        </w:rPr>
        <w:t>Apps</w:t>
      </w:r>
      <w:r>
        <w:t xml:space="preserve"> → </w:t>
      </w:r>
      <w:r>
        <w:rPr>
          <w:b/>
        </w:rPr>
        <w:t>Categories</w:t>
      </w:r>
      <w:r>
        <w:t xml:space="preserve"> (under </w:t>
      </w:r>
      <w:r>
        <w:rPr>
          <w:b/>
        </w:rPr>
        <w:t>Monitor</w:t>
      </w:r>
      <w:r>
        <w:t xml:space="preserve"> and setup) → the list matches your agreed taxonomy exactly and contains no near-duplicates. </w:t>
      </w:r>
      <w:r>
        <w:rPr>
          <w:b/>
        </w:rPr>
        <w:t>How to implement if missing:</w:t>
      </w:r>
      <w:r>
        <w:t xml:space="preserve"> Agree a short list — this specification ships with a default of six: </w:t>
      </w:r>
      <w:r>
        <w:rPr>
          <w:rFonts w:ascii="Consolas" w:hAnsi="Consolas"/>
          <w:sz w:val="19"/>
        </w:rPr>
        <w:t>Business – Finance</w:t>
      </w:r>
      <w:r>
        <w:t xml:space="preserve">, </w:t>
      </w:r>
      <w:r>
        <w:rPr>
          <w:rFonts w:ascii="Consolas" w:hAnsi="Consolas"/>
          <w:sz w:val="19"/>
        </w:rPr>
        <w:t>Business – Operations</w:t>
      </w:r>
      <w:r>
        <w:t xml:space="preserve">, </w:t>
      </w:r>
      <w:r>
        <w:rPr>
          <w:rFonts w:ascii="Consolas" w:hAnsi="Consolas"/>
          <w:sz w:val="19"/>
        </w:rPr>
        <w:t>Productivity</w:t>
      </w:r>
      <w:r>
        <w:t xml:space="preserve">, </w:t>
      </w:r>
      <w:r>
        <w:rPr>
          <w:rFonts w:ascii="Consolas" w:hAnsi="Consolas"/>
          <w:sz w:val="19"/>
        </w:rPr>
        <w:t>Engineering &amp; Technical</w:t>
      </w:r>
      <w:r>
        <w:t xml:space="preserve">, </w:t>
      </w:r>
      <w:r>
        <w:rPr>
          <w:rFonts w:ascii="Consolas" w:hAnsi="Consolas"/>
          <w:sz w:val="19"/>
        </w:rPr>
        <w:t>Security &amp; Compliance</w:t>
      </w:r>
      <w:r>
        <w:t xml:space="preserve">, </w:t>
      </w:r>
      <w:r>
        <w:rPr>
          <w:rFonts w:ascii="Consolas" w:hAnsi="Consolas"/>
          <w:sz w:val="19"/>
        </w:rPr>
        <w:t>Utilities &amp; Runtimes</w:t>
      </w:r>
      <w:r>
        <w:t xml:space="preserve"> — and create them in Implementation Step 2. Fewer is better; you can add a category later, but merging two is manual.</w:t>
      </w:r>
    </w:p>
    <w:p>
      <w:pPr>
        <w:pStyle w:val="Heading2"/>
      </w:pPr>
      <w:r>
        <w:t>2.11 A record of which existing apps are in scope for retrofit</w:t>
      </w:r>
    </w:p>
    <w:p>
      <w:r>
        <w:rPr>
          <w:b/>
        </w:rPr>
        <w:t>Description:</w:t>
      </w:r>
      <w:r>
        <w:t xml:space="preserve"> A baseline inventory of the apps already in your tenant, with their current compliance state against this standard, produced </w:t>
      </w:r>
      <w:r>
        <w:rPr>
          <w:b/>
        </w:rPr>
        <w:t>before</w:t>
      </w:r>
      <w:r>
        <w:t xml:space="preserve"> you announce the standard. </w:t>
      </w:r>
      <w:r>
        <w:rPr>
          <w:b/>
        </w:rPr>
        <w:t>Why required:</w:t>
      </w:r>
      <w:r>
        <w:t xml:space="preserve"> You cannot mandate a standard without knowing the size of the existing gap. The baseline also becomes the "before" number that proves the standard is working. </w:t>
      </w:r>
      <w:r>
        <w:rPr>
          <w:b/>
        </w:rPr>
        <w:t>How to verify:</w:t>
      </w:r>
      <w:r>
        <w:t xml:space="preserve"> Run </w:t>
      </w:r>
      <w:r>
        <w:rPr>
          <w:rFonts w:ascii="Consolas" w:hAnsi="Consolas"/>
          <w:sz w:val="19"/>
        </w:rPr>
        <w:t>.\APPSTD-Invoke-PackageStandardAudit.ps1 -CsvPath C:\Temp\baseline.csv</w:t>
      </w:r>
      <w:r>
        <w:t xml:space="preserve"> and confirm the CSV lists every app with a per-rule pass/fail. Keep this file — it is your baseline. </w:t>
      </w:r>
      <w:r>
        <w:rPr>
          <w:b/>
        </w:rPr>
        <w:t>How to implement if missing:</w:t>
      </w:r>
      <w:r>
        <w:t xml:space="preserve"> Run the audit script before Implementation Step 10 (enforcement) and file the CSV in </w:t>
      </w:r>
      <w:r>
        <w:rPr>
          <w:rFonts w:ascii="Consolas" w:hAnsi="Consolas"/>
          <w:sz w:val="19"/>
        </w:rPr>
        <w:t>Application Package Records\_Standard\Baseline\</w:t>
      </w:r>
      <w:r>
        <w:t xml:space="preserve">. Decide, per non-compliant app, whether it is </w:t>
      </w:r>
      <w:r>
        <w:rPr>
          <w:b/>
        </w:rPr>
        <w:t>remediate</w:t>
      </w:r>
      <w:r>
        <w:t xml:space="preserve">, </w:t>
      </w:r>
      <w:r>
        <w:rPr>
          <w:b/>
        </w:rPr>
        <w:t>rebuild at next version</w:t>
      </w:r>
      <w:r>
        <w:t xml:space="preserve">, or </w:t>
      </w:r>
      <w:r>
        <w:rPr>
          <w:b/>
        </w:rPr>
        <w:t>accepted exception</w:t>
      </w:r>
      <w:r>
        <w:t>.</w:t>
      </w:r>
    </w:p>
    <w:p>
      <w:r>
        <w:t>__________________________________________________</w:t>
      </w:r>
    </w:p>
    <w:p>
      <w:pPr>
        <w:pStyle w:val="Heading2"/>
      </w:pPr>
      <w:r>
        <w:t>Checklist</w:t>
      </w:r>
    </w:p>
    <w:p>
      <w:pPr>
        <w:pStyle w:val="ListBullet"/>
      </w:pPr>
      <w:r>
        <w:t>Intune licensing assigned to all targeted users/devices (2.1)</w:t>
      </w:r>
    </w:p>
    <w:p>
      <w:pPr>
        <w:pStyle w:val="ListBullet"/>
      </w:pPr>
      <w:r>
        <w:t>Packaging Standard Owner and deputy named (2.2)</w:t>
      </w:r>
    </w:p>
    <w:p>
      <w:pPr>
        <w:pStyle w:val="ListBullet"/>
      </w:pPr>
      <w:r>
        <w:t xml:space="preserve">At least two people can package </w:t>
      </w:r>
      <w:r>
        <w:rPr>
          <w:b/>
        </w:rPr>
        <w:t>and</w:t>
      </w:r>
      <w:r>
        <w:t xml:space="preserve"> review (2.3)</w:t>
      </w:r>
    </w:p>
    <w:p>
      <w:pPr>
        <w:pStyle w:val="ListBullet"/>
      </w:pPr>
      <w:r>
        <w:t>Microsoft Graph PowerShell SDK installed on the auditor's workstation (2.4)</w:t>
      </w:r>
    </w:p>
    <w:p>
      <w:pPr>
        <w:pStyle w:val="ListBullet"/>
      </w:pPr>
      <w:r>
        <w:t>Graph scopes consented for the audit account (2.5)</w:t>
      </w:r>
    </w:p>
    <w:p>
      <w:pPr>
        <w:pStyle w:val="ListBullet"/>
      </w:pPr>
      <w:r>
        <w:rPr>
          <w:rFonts w:ascii="Consolas" w:hAnsi="Consolas"/>
          <w:sz w:val="19"/>
        </w:rPr>
        <w:t>Application Packager (Standard)</w:t>
      </w:r>
      <w:r>
        <w:t xml:space="preserve"> role + </w:t>
      </w:r>
      <w:r>
        <w:rPr>
          <w:rFonts w:ascii="Consolas" w:hAnsi="Consolas"/>
          <w:sz w:val="19"/>
        </w:rPr>
        <w:t>SCOPE – Application Packaging</w:t>
      </w:r>
      <w:r>
        <w:t xml:space="preserve"> scope tag exist (2.6)</w:t>
      </w:r>
    </w:p>
    <w:p>
      <w:pPr>
        <w:pStyle w:val="ListBullet"/>
      </w:pPr>
      <w:r>
        <w:rPr>
          <w:rFonts w:ascii="Consolas" w:hAnsi="Consolas"/>
          <w:sz w:val="19"/>
        </w:rPr>
        <w:t>Application Package Records</w:t>
      </w:r>
      <w:r>
        <w:t xml:space="preserve"> document store created with version history (2.7)</w:t>
      </w:r>
    </w:p>
    <w:p>
      <w:pPr>
        <w:pStyle w:val="ListBullet"/>
      </w:pPr>
      <w:r>
        <w:rPr>
          <w:rFonts w:ascii="Consolas" w:hAnsi="Consolas"/>
          <w:sz w:val="19"/>
        </w:rPr>
        <w:t>APP – Ring 1 Pilot Devices</w:t>
      </w:r>
      <w:r>
        <w:t xml:space="preserve"> populated with ≥ 10 real, representative users (2.8)</w:t>
      </w:r>
    </w:p>
    <w:p>
      <w:pPr>
        <w:pStyle w:val="ListBullet"/>
      </w:pPr>
      <w:r>
        <w:t xml:space="preserve">Microsoft Store (new) availability </w:t>
      </w:r>
      <w:r>
        <w:rPr>
          <w:b/>
        </w:rPr>
        <w:t>verified in writing</w:t>
      </w:r>
      <w:r>
        <w:t xml:space="preserve"> for your cloud (2.9)</w:t>
      </w:r>
    </w:p>
    <w:p>
      <w:pPr>
        <w:pStyle w:val="ListBullet"/>
      </w:pPr>
      <w:r>
        <w:t>App category taxonomy agreed and created (2.10)</w:t>
      </w:r>
    </w:p>
    <w:p>
      <w:pPr>
        <w:pStyle w:val="ListBullet"/>
      </w:pPr>
      <w:r>
        <w:t xml:space="preserve">Baseline audit CSV produced and filed (2.11) — </w:t>
      </w:r>
      <w:r>
        <w:rPr>
          <w:rFonts w:ascii="Consolas" w:hAnsi="Consolas"/>
          <w:sz w:val="19"/>
        </w:rPr>
        <w:t>APPSTD-Invoke-PackageStandardAudit.ps1</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Application Packaging &amp; Deployment Standards</w:t>
      </w:r>
    </w:p>
    <w:p>
      <w:r>
        <w:t xml:space="preserve">Follow these steps </w:t>
      </w:r>
      <w:r>
        <w:rPr>
          <w:b/>
        </w:rPr>
        <w:t>in order</w:t>
      </w:r>
      <w:r>
        <w:t>. Steps 1–2 create the tenant objects the standard depends on. Steps 3–7 are the specification itself — the rules your packagers follow for every application. Steps 8–10 are the process that makes the rules stick: review, release, and audit.</w:t>
      </w:r>
    </w:p>
    <w:p>
      <w:r>
        <w:t xml:space="preserve">Unless stated otherwise, every navigation path starts in the </w:t>
      </w:r>
      <w:r>
        <w:rPr>
          <w:b/>
        </w:rPr>
        <w:t>Microsoft Intune admin center</w:t>
      </w:r>
      <w:r>
        <w:t xml:space="preserve"> at </w:t>
      </w:r>
      <w:r>
        <w:rPr>
          <w:rFonts w:ascii="Consolas" w:hAnsi="Consolas"/>
          <w:sz w:val="19"/>
        </w:rPr>
        <w:t>https://intune.microsoft.com</w:t>
      </w:r>
      <w:r>
        <w:t>. Government-cloud tenants use a different portal host — see Requirement 2.9 and the note at the end of Step 3.</w:t>
      </w:r>
    </w:p>
    <w:p>
      <w:pPr>
        <w:ind w:left="432"/>
      </w:pPr>
      <w:r>
        <w:rPr>
          <w:i/>
          <w:color w:val="2E86C1"/>
        </w:rPr>
        <w:t>Model: Intake against the spec form → decide the format from the matrix → build to the packaging specification → pass the acceptance checklist → peer review and sign-off → release to Ring 1 pilot → validate → expand to Ring 2 broad → audit quarterly. Assess → Configure → Pilot → Validate → Expand.</w:t>
      </w:r>
    </w:p>
    <w:p>
      <w:r>
        <w:t>__________________________________________________</w:t>
      </w:r>
    </w:p>
    <w:p>
      <w:pPr>
        <w:pStyle w:val="Heading2"/>
      </w:pPr>
      <w:r>
        <w:t>Named objects (reuse these names verbatim everywhere)</w:t>
      </w:r>
    </w:p>
    <w:p>
      <w:r>
        <w:t>Every object below is created in Step 1 or Step 2 and is referenced by name in the later steps, in the Testing Guide, in the Troubleshooting Guide, and by the five PowerShell scripts. Do not improvise names — the scripts match on these patterns.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Exact name to create</w:t>
            </w:r>
          </w:p>
        </w:tc>
        <w:tc>
          <w:tcPr>
            <w:tcW w:type="dxa" w:w="2880"/>
          </w:tcPr>
          <w:p>
            <w:r>
              <w:rPr>
                <w:b/>
              </w:rPr>
              <w:t>Where</w:t>
            </w:r>
          </w:p>
        </w:tc>
      </w:tr>
      <w:tr>
        <w:tc>
          <w:tcPr>
            <w:tcW w:type="dxa" w:w="2880"/>
          </w:tcPr>
          <w:p>
            <w:r>
              <w:t>Packaging lab ring group</w:t>
            </w:r>
          </w:p>
        </w:tc>
        <w:tc>
          <w:tcPr>
            <w:tcW w:type="dxa" w:w="2880"/>
          </w:tcPr>
          <w:p>
            <w:r>
              <w:rPr>
                <w:rFonts w:ascii="Consolas" w:hAnsi="Consolas"/>
                <w:sz w:val="19"/>
              </w:rPr>
              <w:t>APP – Ring 0 Packaging Lab</w:t>
            </w:r>
          </w:p>
        </w:tc>
        <w:tc>
          <w:tcPr>
            <w:tcW w:type="dxa" w:w="2880"/>
          </w:tcPr>
          <w:p>
            <w:r>
              <w:t>Entra security group (Assigned, devices)</w:t>
            </w:r>
          </w:p>
        </w:tc>
      </w:tr>
      <w:tr>
        <w:tc>
          <w:tcPr>
            <w:tcW w:type="dxa" w:w="2880"/>
          </w:tcPr>
          <w:p>
            <w:r>
              <w:t>Pilot ring group</w:t>
            </w:r>
          </w:p>
        </w:tc>
        <w:tc>
          <w:tcPr>
            <w:tcW w:type="dxa" w:w="2880"/>
          </w:tcPr>
          <w:p>
            <w:r>
              <w:rPr>
                <w:rFonts w:ascii="Consolas" w:hAnsi="Consolas"/>
                <w:sz w:val="19"/>
              </w:rPr>
              <w:t>APP – Ring 1 Pilot Devices</w:t>
            </w:r>
          </w:p>
        </w:tc>
        <w:tc>
          <w:tcPr>
            <w:tcW w:type="dxa" w:w="2880"/>
          </w:tcPr>
          <w:p>
            <w:r>
              <w:t>Entra security group (Assigned, devices)</w:t>
            </w:r>
          </w:p>
        </w:tc>
      </w:tr>
      <w:tr>
        <w:tc>
          <w:tcPr>
            <w:tcW w:type="dxa" w:w="2880"/>
          </w:tcPr>
          <w:p>
            <w:r>
              <w:t>Broad ring group</w:t>
            </w:r>
          </w:p>
        </w:tc>
        <w:tc>
          <w:tcPr>
            <w:tcW w:type="dxa" w:w="2880"/>
          </w:tcPr>
          <w:p>
            <w:r>
              <w:rPr>
                <w:rFonts w:ascii="Consolas" w:hAnsi="Consolas"/>
                <w:sz w:val="19"/>
              </w:rPr>
              <w:t>APP – Ring 2 Broad Devices</w:t>
            </w:r>
          </w:p>
        </w:tc>
        <w:tc>
          <w:tcPr>
            <w:tcW w:type="dxa" w:w="2880"/>
          </w:tcPr>
          <w:p>
            <w:r>
              <w:t>Entra security group (Dynamic, devices)</w:t>
            </w:r>
          </w:p>
        </w:tc>
      </w:tr>
      <w:tr>
        <w:tc>
          <w:tcPr>
            <w:tcW w:type="dxa" w:w="2880"/>
          </w:tcPr>
          <w:p>
            <w:r>
              <w:t>Global exclusion group</w:t>
            </w:r>
          </w:p>
        </w:tc>
        <w:tc>
          <w:tcPr>
            <w:tcW w:type="dxa" w:w="2880"/>
          </w:tcPr>
          <w:p>
            <w:r>
              <w:rPr>
                <w:rFonts w:ascii="Consolas" w:hAnsi="Consolas"/>
                <w:sz w:val="19"/>
              </w:rPr>
              <w:t>APP – Exclusions – Do Not Deploy</w:t>
            </w:r>
          </w:p>
        </w:tc>
        <w:tc>
          <w:tcPr>
            <w:tcW w:type="dxa" w:w="2880"/>
          </w:tcPr>
          <w:p>
            <w:r>
              <w:t>Entra security group (Assigned, devices)</w:t>
            </w:r>
          </w:p>
        </w:tc>
      </w:tr>
      <w:tr>
        <w:tc>
          <w:tcPr>
            <w:tcW w:type="dxa" w:w="2880"/>
          </w:tcPr>
          <w:p>
            <w:r>
              <w:t>Approvers group</w:t>
            </w:r>
          </w:p>
        </w:tc>
        <w:tc>
          <w:tcPr>
            <w:tcW w:type="dxa" w:w="2880"/>
          </w:tcPr>
          <w:p>
            <w:r>
              <w:rPr>
                <w:rFonts w:ascii="Consolas" w:hAnsi="Consolas"/>
                <w:sz w:val="19"/>
              </w:rPr>
              <w:t>ROLE – Package Approvers</w:t>
            </w:r>
          </w:p>
        </w:tc>
        <w:tc>
          <w:tcPr>
            <w:tcW w:type="dxa" w:w="2880"/>
          </w:tcPr>
          <w:p>
            <w:r>
              <w:t>Entra security group (Assigned, users)</w:t>
            </w:r>
          </w:p>
        </w:tc>
      </w:tr>
      <w:tr>
        <w:tc>
          <w:tcPr>
            <w:tcW w:type="dxa" w:w="2880"/>
          </w:tcPr>
          <w:p>
            <w:r>
              <w:t>Packagers group</w:t>
            </w:r>
          </w:p>
        </w:tc>
        <w:tc>
          <w:tcPr>
            <w:tcW w:type="dxa" w:w="2880"/>
          </w:tcPr>
          <w:p>
            <w:r>
              <w:rPr>
                <w:rFonts w:ascii="Consolas" w:hAnsi="Consolas"/>
                <w:sz w:val="19"/>
              </w:rPr>
              <w:t>ROLE – Application Packagers</w:t>
            </w:r>
          </w:p>
        </w:tc>
        <w:tc>
          <w:tcPr>
            <w:tcW w:type="dxa" w:w="2880"/>
          </w:tcPr>
          <w:p>
            <w:r>
              <w:t>Entra security group (Assigned, users)</w:t>
            </w:r>
          </w:p>
        </w:tc>
      </w:tr>
      <w:tr>
        <w:tc>
          <w:tcPr>
            <w:tcW w:type="dxa" w:w="2880"/>
          </w:tcPr>
          <w:p>
            <w:r>
              <w:t>Intune scope tag</w:t>
            </w:r>
          </w:p>
        </w:tc>
        <w:tc>
          <w:tcPr>
            <w:tcW w:type="dxa" w:w="2880"/>
          </w:tcPr>
          <w:p>
            <w:r>
              <w:rPr>
                <w:rFonts w:ascii="Consolas" w:hAnsi="Consolas"/>
                <w:sz w:val="19"/>
              </w:rPr>
              <w:t>SCOPE – Application Packaging</w:t>
            </w:r>
          </w:p>
        </w:tc>
        <w:tc>
          <w:tcPr>
            <w:tcW w:type="dxa" w:w="2880"/>
          </w:tcPr>
          <w:p>
            <w:r>
              <w:t>Intune scope tag</w:t>
            </w:r>
          </w:p>
        </w:tc>
      </w:tr>
      <w:tr>
        <w:tc>
          <w:tcPr>
            <w:tcW w:type="dxa" w:w="2880"/>
          </w:tcPr>
          <w:p>
            <w:r>
              <w:t>Intune custom role</w:t>
            </w:r>
          </w:p>
        </w:tc>
        <w:tc>
          <w:tcPr>
            <w:tcW w:type="dxa" w:w="2880"/>
          </w:tcPr>
          <w:p>
            <w:r>
              <w:rPr>
                <w:rFonts w:ascii="Consolas" w:hAnsi="Consolas"/>
                <w:sz w:val="19"/>
              </w:rPr>
              <w:t>Application Packager (Standard)</w:t>
            </w:r>
          </w:p>
        </w:tc>
        <w:tc>
          <w:tcPr>
            <w:tcW w:type="dxa" w:w="2880"/>
          </w:tcPr>
          <w:p>
            <w:r>
              <w:t>Intune custom RBAC role</w:t>
            </w:r>
          </w:p>
        </w:tc>
      </w:tr>
      <w:tr>
        <w:tc>
          <w:tcPr>
            <w:tcW w:type="dxa" w:w="2880"/>
          </w:tcPr>
          <w:p>
            <w:r>
              <w:t>App categories (6)</w:t>
            </w:r>
          </w:p>
        </w:tc>
        <w:tc>
          <w:tcPr>
            <w:tcW w:type="dxa" w:w="2880"/>
          </w:tcPr>
          <w:p>
            <w:r>
              <w:rPr>
                <w:rFonts w:ascii="Consolas" w:hAnsi="Consolas"/>
                <w:sz w:val="19"/>
              </w:rPr>
              <w:t>Business – Finance</w:t>
            </w:r>
            <w:r>
              <w:t xml:space="preserve">, </w:t>
            </w:r>
            <w:r>
              <w:rPr>
                <w:rFonts w:ascii="Consolas" w:hAnsi="Consolas"/>
                <w:sz w:val="19"/>
              </w:rPr>
              <w:t>Business – Operations</w:t>
            </w:r>
            <w:r>
              <w:t xml:space="preserve">, </w:t>
            </w:r>
            <w:r>
              <w:rPr>
                <w:rFonts w:ascii="Consolas" w:hAnsi="Consolas"/>
                <w:sz w:val="19"/>
              </w:rPr>
              <w:t>Productivity</w:t>
            </w:r>
            <w:r>
              <w:t xml:space="preserve">, </w:t>
            </w:r>
            <w:r>
              <w:rPr>
                <w:rFonts w:ascii="Consolas" w:hAnsi="Consolas"/>
                <w:sz w:val="19"/>
              </w:rPr>
              <w:t>Engineering &amp; Technical</w:t>
            </w:r>
            <w:r>
              <w:t xml:space="preserve">, </w:t>
            </w:r>
            <w:r>
              <w:rPr>
                <w:rFonts w:ascii="Consolas" w:hAnsi="Consolas"/>
                <w:sz w:val="19"/>
              </w:rPr>
              <w:t>Security &amp; Compliance</w:t>
            </w:r>
            <w:r>
              <w:t xml:space="preserve">, </w:t>
            </w:r>
            <w:r>
              <w:rPr>
                <w:rFonts w:ascii="Consolas" w:hAnsi="Consolas"/>
                <w:sz w:val="19"/>
              </w:rPr>
              <w:t>Utilities &amp; Runtimes</w:t>
            </w:r>
          </w:p>
        </w:tc>
        <w:tc>
          <w:tcPr>
            <w:tcW w:type="dxa" w:w="2880"/>
          </w:tcPr>
          <w:p>
            <w:r>
              <w:t>Intune app categories</w:t>
            </w:r>
          </w:p>
        </w:tc>
      </w:tr>
      <w:tr>
        <w:tc>
          <w:tcPr>
            <w:tcW w:type="dxa" w:w="2880"/>
          </w:tcPr>
          <w:p>
            <w:r>
              <w:t>Evidence library</w:t>
            </w:r>
          </w:p>
        </w:tc>
        <w:tc>
          <w:tcPr>
            <w:tcW w:type="dxa" w:w="2880"/>
          </w:tcPr>
          <w:p>
            <w:r>
              <w:rPr>
                <w:rFonts w:ascii="Consolas" w:hAnsi="Consolas"/>
                <w:sz w:val="19"/>
              </w:rPr>
              <w:t>Application Package Records</w:t>
            </w:r>
          </w:p>
        </w:tc>
        <w:tc>
          <w:tcPr>
            <w:tcW w:type="dxa" w:w="2880"/>
          </w:tcPr>
          <w:p>
            <w:r>
              <w:t>SharePoint document library</w:t>
            </w:r>
          </w:p>
        </w:tc>
      </w:tr>
      <w:tr>
        <w:tc>
          <w:tcPr>
            <w:tcW w:type="dxa" w:w="2880"/>
          </w:tcPr>
          <w:p>
            <w:r>
              <w:t>Worked-example app</w:t>
            </w:r>
          </w:p>
        </w:tc>
        <w:tc>
          <w:tcPr>
            <w:tcW w:type="dxa" w:w="2880"/>
          </w:tcPr>
          <w:p>
            <w:r>
              <w:rPr>
                <w:rFonts w:ascii="Consolas" w:hAnsi="Consolas"/>
                <w:sz w:val="19"/>
              </w:rPr>
              <w:t>Acme Software Ltd. Acme Invoice Client – Win32 – v7.3.1</w:t>
            </w:r>
          </w:p>
        </w:tc>
        <w:tc>
          <w:tcPr>
            <w:tcW w:type="dxa" w:w="2880"/>
          </w:tcPr>
          <w:p>
            <w:r>
              <w:t>Intune Win32 app</w:t>
            </w:r>
          </w:p>
        </w:tc>
      </w:tr>
    </w:tbl>
    <w:p>
      <w:r>
        <w:t>__________________________________________________</w:t>
      </w:r>
    </w:p>
    <w:p>
      <w:pPr>
        <w:pStyle w:val="Heading2"/>
      </w:pPr>
      <w:r>
        <w:t>Step 1 — Create the evidence store</w:t>
      </w:r>
    </w:p>
    <w:p>
      <w:r>
        <w:t>The standard's outputs must land somewhere permanent before you create anything in Intune.</w:t>
      </w:r>
    </w:p>
    <w:p>
      <w:pPr>
        <w:pStyle w:val="ListNumber"/>
      </w:pPr>
      <w:r>
        <w:t>Open SharePoint (</w:t>
      </w:r>
      <w:r>
        <w:rPr>
          <w:rFonts w:ascii="Consolas" w:hAnsi="Consolas"/>
          <w:sz w:val="19"/>
        </w:rPr>
        <w:t>https://&lt;yourtenant&gt;.sharepoint.com</w:t>
      </w:r>
      <w:r>
        <w:t>) and navigate to your IT team site.</w:t>
      </w:r>
    </w:p>
    <w:p>
      <w:pPr>
        <w:pStyle w:val="ListNumber"/>
      </w:pPr>
      <w:r>
        <w:t xml:space="preserve">Click </w:t>
      </w:r>
      <w:r>
        <w:rPr>
          <w:b/>
        </w:rPr>
        <w:t>+ New</w:t>
      </w:r>
      <w:r>
        <w:t xml:space="preserve"> → </w:t>
      </w:r>
      <w:r>
        <w:rPr>
          <w:b/>
        </w:rPr>
        <w:t>Document library</w:t>
      </w:r>
      <w:r>
        <w:t xml:space="preserve">. Name it exactly </w:t>
      </w:r>
      <w:r>
        <w:rPr>
          <w:rFonts w:ascii="Consolas" w:hAnsi="Consolas"/>
          <w:sz w:val="19"/>
        </w:rPr>
        <w:t>Application Package Records</w:t>
      </w:r>
      <w:r>
        <w:t>. Click</w:t>
      </w:r>
    </w:p>
    <w:p>
      <w:r>
        <w:t xml:space="preserve">   </w:t>
      </w:r>
      <w:r>
        <w:rPr>
          <w:b/>
        </w:rPr>
        <w:t>Create</w:t>
      </w:r>
      <w:r>
        <w:t>.</w:t>
      </w:r>
    </w:p>
    <w:p>
      <w:pPr>
        <w:pStyle w:val="ListNumber"/>
      </w:pPr>
      <w:r>
        <w:t xml:space="preserve">Open the library → </w:t>
      </w:r>
      <w:r>
        <w:rPr>
          <w:b/>
        </w:rPr>
        <w:t>Settings</w:t>
      </w:r>
      <w:r>
        <w:t xml:space="preserve"> (gear icon) → </w:t>
      </w:r>
      <w:r>
        <w:rPr>
          <w:b/>
        </w:rPr>
        <w:t>Library settings</w:t>
      </w:r>
      <w:r>
        <w:t xml:space="preserve"> → </w:t>
      </w:r>
      <w:r>
        <w:rPr>
          <w:b/>
        </w:rPr>
        <w:t>Versioning settings</w:t>
      </w:r>
      <w:r>
        <w:t xml:space="preserve"> →</w:t>
      </w:r>
    </w:p>
    <w:p>
      <w:r>
        <w:t xml:space="preserve">   set </w:t>
      </w:r>
      <w:r>
        <w:rPr>
          <w:b/>
        </w:rPr>
        <w:t>Create a version each time you edit a file in this document library</w:t>
      </w:r>
      <w:r>
        <w:t xml:space="preserve"> to </w:t>
      </w:r>
      <w:r>
        <w:rPr>
          <w:b/>
        </w:rPr>
        <w:t>Yes</w:t>
      </w:r>
      <w:r>
        <w:t xml:space="preserve">. Click    </w:t>
      </w:r>
      <w:r>
        <w:rPr>
          <w:b/>
        </w:rPr>
        <w:t>OK</w:t>
      </w:r>
      <w:r>
        <w:t>.</w:t>
      </w:r>
    </w:p>
    <w:p>
      <w:pPr>
        <w:pStyle w:val="ListNumber"/>
      </w:pPr>
      <w:r>
        <w:t xml:space="preserve">In the library, click </w:t>
      </w:r>
      <w:r>
        <w:rPr>
          <w:b/>
        </w:rPr>
        <w:t>+ New</w:t>
      </w:r>
      <w:r>
        <w:t xml:space="preserve"> → </w:t>
      </w:r>
      <w:r>
        <w:rPr>
          <w:b/>
        </w:rPr>
        <w:t>Folder</w:t>
      </w:r>
      <w:r>
        <w:t xml:space="preserve"> and create </w:t>
      </w:r>
      <w:r>
        <w:rPr>
          <w:rFonts w:ascii="Consolas" w:hAnsi="Consolas"/>
          <w:sz w:val="19"/>
        </w:rPr>
        <w:t>_Standard</w:t>
      </w:r>
      <w:r>
        <w:t xml:space="preserve">. Inside </w:t>
      </w:r>
      <w:r>
        <w:rPr>
          <w:rFonts w:ascii="Consolas" w:hAnsi="Consolas"/>
          <w:sz w:val="19"/>
        </w:rPr>
        <w:t>_Standard</w:t>
      </w:r>
      <w:r>
        <w:t>, create</w:t>
      </w:r>
    </w:p>
    <w:p>
      <w:r>
        <w:t xml:space="preserve">   three folders: </w:t>
      </w:r>
      <w:r>
        <w:rPr>
          <w:rFonts w:ascii="Consolas" w:hAnsi="Consolas"/>
          <w:sz w:val="19"/>
        </w:rPr>
        <w:t>Baseline</w:t>
      </w:r>
      <w:r>
        <w:t xml:space="preserve">, </w:t>
      </w:r>
      <w:r>
        <w:rPr>
          <w:rFonts w:ascii="Consolas" w:hAnsi="Consolas"/>
          <w:sz w:val="19"/>
        </w:rPr>
        <w:t>Exceptions</w:t>
      </w:r>
      <w:r>
        <w:t xml:space="preserve">, and </w:t>
      </w:r>
      <w:r>
        <w:rPr>
          <w:rFonts w:ascii="Consolas" w:hAnsi="Consolas"/>
          <w:sz w:val="19"/>
        </w:rPr>
        <w:t>Audit Reports</w:t>
      </w:r>
      <w:r>
        <w:t>.</w:t>
      </w:r>
    </w:p>
    <w:p>
      <w:pPr>
        <w:pStyle w:val="ListNumber"/>
      </w:pPr>
      <w:r>
        <w:t xml:space="preserve">Click </w:t>
      </w:r>
      <w:r>
        <w:rPr>
          <w:b/>
        </w:rPr>
        <w:t>Settings</w:t>
      </w:r>
      <w:r>
        <w:t xml:space="preserve"> → </w:t>
      </w:r>
      <w:r>
        <w:rPr>
          <w:b/>
        </w:rPr>
        <w:t>Library settings</w:t>
      </w:r>
      <w:r>
        <w:t xml:space="preserve"> → </w:t>
      </w:r>
      <w:r>
        <w:rPr>
          <w:b/>
        </w:rPr>
        <w:t>Permissions for this document library</w:t>
      </w:r>
      <w:r>
        <w:t xml:space="preserve"> → **Stop</w:t>
      </w:r>
    </w:p>
    <w:p>
      <w:r>
        <w:t xml:space="preserve">   Inheriting Permissions</w:t>
      </w:r>
      <w:r>
        <w:rPr>
          <w:b/>
        </w:rPr>
        <w:t xml:space="preserve">. Grant </w:t>
      </w:r>
      <w:r>
        <w:t>Contribute</w:t>
      </w:r>
      <w:r>
        <w:rPr>
          <w:b/>
        </w:rPr>
        <w:t xml:space="preserve"> to `ROLE – Application Packagers`, </w:t>
      </w:r>
      <w:r>
        <w:t>Contribute</w:t>
      </w:r>
      <w:r>
        <w:rPr>
          <w:b/>
        </w:rPr>
        <w:t xml:space="preserve">    to `ROLE – Package Approvers`, and </w:t>
      </w:r>
      <w:r>
        <w:t>Read** to your audit/compliance group. Remove broad    Everyone/Members access.</w:t>
      </w:r>
    </w:p>
    <w:p>
      <w:pPr>
        <w:pStyle w:val="ListNumber"/>
      </w:pPr>
      <w:r>
        <w:t xml:space="preserve">Upload your published copy of this specification to </w:t>
      </w:r>
      <w:r>
        <w:rPr>
          <w:rFonts w:ascii="Consolas" w:hAnsi="Consolas"/>
          <w:sz w:val="19"/>
        </w:rPr>
        <w:t>_Standard\</w:t>
      </w:r>
      <w:r>
        <w:t xml:space="preserve"> so the rules and the evidence</w:t>
      </w:r>
    </w:p>
    <w:p>
      <w:r>
        <w:t xml:space="preserve">   live together.</w:t>
      </w:r>
    </w:p>
    <w:p>
      <w:r>
        <w:t xml:space="preserve">Per-application evidence goes in a folder named </w:t>
      </w:r>
      <w:r>
        <w:rPr>
          <w:rFonts w:ascii="Consolas" w:hAnsi="Consolas"/>
          <w:sz w:val="19"/>
        </w:rPr>
        <w:t>&lt;Vendor&gt; &lt;Product&gt;\&lt;Version&gt;\</w:t>
      </w:r>
      <w:r>
        <w:t xml:space="preserve"> — for the worked example, </w:t>
      </w:r>
      <w:r>
        <w:rPr>
          <w:rFonts w:ascii="Consolas" w:hAnsi="Consolas"/>
          <w:sz w:val="19"/>
        </w:rPr>
        <w:t>Acme Software Ltd Acme Invoice Client\7.3.1\</w:t>
      </w:r>
      <w:r>
        <w:t>.</w:t>
      </w:r>
    </w:p>
    <w:p>
      <w:pPr>
        <w:pStyle w:val="Heading2"/>
      </w:pPr>
      <w:r>
        <w:t>Step 2 — Create the tenant objects the standard depends on</w:t>
      </w:r>
    </w:p>
    <w:p>
      <w:pPr>
        <w:pStyle w:val="Heading3"/>
      </w:pPr>
      <w:r>
        <w:t>2a. The four ring and exclusion groups</w:t>
      </w:r>
    </w:p>
    <w:p>
      <w:pPr>
        <w:pStyle w:val="ListNumber"/>
      </w:pPr>
      <w:r>
        <w:t>Go to the Microsoft Entra admin center (</w:t>
      </w:r>
      <w:r>
        <w:rPr>
          <w:rFonts w:ascii="Consolas" w:hAnsi="Consolas"/>
          <w:sz w:val="19"/>
        </w:rPr>
        <w:t>https://entra.microsoft.com</w:t>
      </w:r>
      <w:r>
        <w:t xml:space="preserve">) → </w:t>
      </w:r>
      <w:r>
        <w:rPr>
          <w:b/>
        </w:rPr>
        <w:t>Identity</w:t>
      </w:r>
      <w:r>
        <w:t xml:space="preserve"> → </w:t>
      </w:r>
      <w:r>
        <w:rPr>
          <w:b/>
        </w:rPr>
        <w:t>Groups</w:t>
      </w:r>
    </w:p>
    <w:p>
      <w:r>
        <w:t xml:space="preserve">   → </w:t>
      </w:r>
      <w:r>
        <w:rPr>
          <w:b/>
        </w:rPr>
        <w:t>All groups</w:t>
      </w:r>
      <w:r>
        <w:t xml:space="preserve"> → </w:t>
      </w:r>
      <w:r>
        <w:rPr>
          <w:b/>
        </w:rPr>
        <w:t>+ New group</w:t>
      </w:r>
      <w:r>
        <w:t>.</w:t>
      </w:r>
    </w:p>
    <w:p>
      <w:pPr>
        <w:pStyle w:val="ListNumber"/>
      </w:pPr>
      <w:r>
        <w:rPr>
          <w:b/>
        </w:rPr>
        <w:t>Group type:</w:t>
      </w:r>
      <w:r>
        <w:t xml:space="preserve"> </w:t>
      </w:r>
      <w:r>
        <w:rPr>
          <w:b/>
        </w:rPr>
        <w:t>Security</w:t>
      </w:r>
      <w:r>
        <w:t xml:space="preserve">. </w:t>
      </w:r>
      <w:r>
        <w:rPr>
          <w:b/>
        </w:rPr>
        <w:t>Group name:</w:t>
      </w:r>
      <w:r>
        <w:t xml:space="preserve"> </w:t>
      </w:r>
      <w:r>
        <w:rPr>
          <w:rFonts w:ascii="Consolas" w:hAnsi="Consolas"/>
          <w:sz w:val="19"/>
        </w:rPr>
        <w:t>APP – Ring 0 Packaging Lab</w:t>
      </w:r>
      <w:r>
        <w:t xml:space="preserve">. </w:t>
      </w:r>
      <w:r>
        <w:rPr>
          <w:b/>
        </w:rPr>
        <w:t>Group description:</w:t>
      </w:r>
    </w:p>
    <w:p>
      <w:r>
        <w:t xml:space="preserve">   "Packaging lab devices. First install target for every new package. Never real users."    </w:t>
      </w:r>
      <w:r>
        <w:rPr>
          <w:b/>
        </w:rPr>
        <w:t>Membership type:</w:t>
      </w:r>
      <w:r>
        <w:t xml:space="preserve"> </w:t>
      </w:r>
      <w:r>
        <w:rPr>
          <w:b/>
        </w:rPr>
        <w:t>Assigned</w:t>
      </w:r>
      <w:r>
        <w:t xml:space="preserve">. Add your packaging VMs/test devices as members. Click    </w:t>
      </w:r>
      <w:r>
        <w:rPr>
          <w:b/>
        </w:rPr>
        <w:t>Create</w:t>
      </w:r>
      <w:r>
        <w:t>.</w:t>
      </w:r>
    </w:p>
    <w:p>
      <w:pPr>
        <w:pStyle w:val="ListNumber"/>
      </w:pPr>
      <w:r>
        <w:t xml:space="preserve">Repeat for </w:t>
      </w:r>
      <w:r>
        <w:rPr>
          <w:rFonts w:ascii="Consolas" w:hAnsi="Consolas"/>
          <w:sz w:val="19"/>
        </w:rPr>
        <w:t>APP – Ring 1 Pilot Devices</w:t>
      </w:r>
      <w:r>
        <w:t xml:space="preserve"> — description "Representative pilot devices. Every package</w:t>
      </w:r>
    </w:p>
    <w:p>
      <w:r>
        <w:t xml:space="preserve">   installs here and passes the Testing Guide before Ring 2." </w:t>
      </w:r>
      <w:r>
        <w:rPr>
          <w:b/>
        </w:rPr>
        <w:t>Membership type: Assigned.</w:t>
      </w:r>
      <w:r>
        <w:t xml:space="preserve"> Add the    real pilot devices identified in Requirement 2.8.</w:t>
      </w:r>
    </w:p>
    <w:p>
      <w:pPr>
        <w:pStyle w:val="ListNumber"/>
      </w:pPr>
      <w:r>
        <w:t xml:space="preserve">Repeat for </w:t>
      </w:r>
      <w:r>
        <w:rPr>
          <w:rFonts w:ascii="Consolas" w:hAnsi="Consolas"/>
          <w:sz w:val="19"/>
        </w:rPr>
        <w:t>APP – Ring 2 Broad Devices</w:t>
      </w:r>
      <w:r>
        <w:t xml:space="preserve"> — description "The remainder of the managed Windows fleet."</w:t>
      </w:r>
    </w:p>
    <w:p>
      <w:r>
        <w:t xml:space="preserve">   Set </w:t>
      </w:r>
      <w:r>
        <w:rPr>
          <w:b/>
        </w:rPr>
        <w:t>Membership type:</w:t>
      </w:r>
      <w:r>
        <w:t xml:space="preserve"> </w:t>
      </w:r>
      <w:r>
        <w:rPr>
          <w:b/>
        </w:rPr>
        <w:t>Dynamic Device</w:t>
      </w:r>
      <w:r>
        <w:t xml:space="preserve">, then click </w:t>
      </w:r>
      <w:r>
        <w:rPr>
          <w:b/>
        </w:rPr>
        <w:t>Add dynamic query</w:t>
      </w:r>
      <w:r>
        <w:t xml:space="preserve"> and enter this rule    in the </w:t>
      </w:r>
      <w:r>
        <w:rPr>
          <w:b/>
        </w:rPr>
        <w:t>Rule syntax</w:t>
      </w:r>
      <w:r>
        <w:t xml:space="preserve"> box:</w:t>
      </w:r>
    </w:p>
    <w:p>
      <w:r>
        <w:rPr>
          <w:rFonts w:ascii="Consolas" w:hAnsi="Consolas"/>
          <w:sz w:val="18"/>
        </w:rPr>
        <w:t xml:space="preserve">   (device.deviceOSType -eq "Windows") and (device.deviceTrustType -eq "AzureAD")</w:t>
      </w:r>
    </w:p>
    <w:p>
      <w:r>
        <w:t xml:space="preserve">   Click </w:t>
      </w:r>
      <w:r>
        <w:rPr>
          <w:b/>
        </w:rPr>
        <w:t>Save</w:t>
      </w:r>
      <w:r>
        <w:t xml:space="preserve">, then </w:t>
      </w:r>
      <w:r>
        <w:rPr>
          <w:b/>
        </w:rPr>
        <w:t>Create</w:t>
      </w:r>
      <w:r>
        <w:t>. Adjust the rule to your own trust type if you are hybrid-joined.</w:t>
      </w:r>
    </w:p>
    <w:p>
      <w:pPr>
        <w:pStyle w:val="ListNumber"/>
      </w:pPr>
      <w:r>
        <w:t xml:space="preserve">Repeat for </w:t>
      </w:r>
      <w:r>
        <w:rPr>
          <w:rFonts w:ascii="Consolas" w:hAnsi="Consolas"/>
          <w:sz w:val="19"/>
        </w:rPr>
        <w:t>APP – Exclusions – Do Not Deploy</w:t>
      </w:r>
      <w:r>
        <w:t xml:space="preserve"> — description "Devices excluded from all standard app</w:t>
      </w:r>
    </w:p>
    <w:p>
      <w:r>
        <w:t xml:space="preserve">   assignments. Kiosks, lab rigs, and executive-approved exclusions only." </w:t>
      </w:r>
      <w:r>
        <w:rPr>
          <w:b/>
        </w:rPr>
        <w:t>Membership type:    Assigned.</w:t>
      </w:r>
      <w:r>
        <w:t xml:space="preserve"> Leave it empty for now; it is populated as exclusions are approved.</w:t>
      </w:r>
    </w:p>
    <w:p>
      <w:pPr>
        <w:pStyle w:val="Heading3"/>
      </w:pPr>
      <w:r>
        <w:t>2b. The two role groups</w:t>
      </w:r>
    </w:p>
    <w:p>
      <w:pPr>
        <w:pStyle w:val="ListNumber"/>
      </w:pPr>
      <w:r>
        <w:t xml:space="preserve">Still in </w:t>
      </w:r>
      <w:r>
        <w:rPr>
          <w:b/>
        </w:rPr>
        <w:t>Entra</w:t>
      </w:r>
      <w:r>
        <w:t xml:space="preserve"> → </w:t>
      </w:r>
      <w:r>
        <w:rPr>
          <w:b/>
        </w:rPr>
        <w:t>Groups</w:t>
      </w:r>
      <w:r>
        <w:t xml:space="preserve"> → </w:t>
      </w:r>
      <w:r>
        <w:rPr>
          <w:b/>
        </w:rPr>
        <w:t>All groups</w:t>
      </w:r>
      <w:r>
        <w:t xml:space="preserve"> → </w:t>
      </w:r>
      <w:r>
        <w:rPr>
          <w:b/>
        </w:rPr>
        <w:t>+ New group</w:t>
      </w:r>
      <w:r>
        <w:t xml:space="preserve">. </w:t>
      </w:r>
      <w:r>
        <w:rPr>
          <w:b/>
        </w:rPr>
        <w:t>Security</w:t>
      </w:r>
      <w:r>
        <w:t>, name</w:t>
      </w:r>
    </w:p>
    <w:p>
      <w:r>
        <w:t xml:space="preserve">   </w:t>
      </w:r>
      <w:r>
        <w:rPr>
          <w:rFonts w:ascii="Consolas" w:hAnsi="Consolas"/>
          <w:sz w:val="19"/>
        </w:rPr>
        <w:t>ROLE – Application Packagers</w:t>
      </w:r>
      <w:r>
        <w:t xml:space="preserve">, </w:t>
      </w:r>
      <w:r>
        <w:rPr>
          <w:b/>
        </w:rPr>
        <w:t>Assigned</w:t>
      </w:r>
      <w:r>
        <w:t xml:space="preserve">, members = the staff who build packages. </w:t>
      </w:r>
      <w:r>
        <w:rPr>
          <w:b/>
        </w:rPr>
        <w:t>Create</w:t>
      </w:r>
      <w:r>
        <w:t>.</w:t>
      </w:r>
    </w:p>
    <w:p>
      <w:pPr>
        <w:pStyle w:val="ListNumber"/>
      </w:pPr>
      <w:r>
        <w:t xml:space="preserve">Create </w:t>
      </w:r>
      <w:r>
        <w:rPr>
          <w:rFonts w:ascii="Consolas" w:hAnsi="Consolas"/>
          <w:sz w:val="19"/>
        </w:rPr>
        <w:t>ROLE – Package Approvers</w:t>
      </w:r>
      <w:r>
        <w:t xml:space="preserve">, </w:t>
      </w:r>
      <w:r>
        <w:rPr>
          <w:b/>
        </w:rPr>
        <w:t>Security</w:t>
      </w:r>
      <w:r>
        <w:t xml:space="preserve">, </w:t>
      </w:r>
      <w:r>
        <w:rPr>
          <w:b/>
        </w:rPr>
        <w:t>Assigned</w:t>
      </w:r>
      <w:r>
        <w:t>, members = the staff permitted to</w:t>
      </w:r>
    </w:p>
    <w:p>
      <w:r>
        <w:t xml:space="preserve">   sign off a release (Requirement 2.3). Open the group → </w:t>
      </w:r>
      <w:r>
        <w:rPr>
          <w:b/>
        </w:rPr>
        <w:t>Owners</w:t>
      </w:r>
      <w:r>
        <w:t xml:space="preserve"> → </w:t>
      </w:r>
      <w:r>
        <w:rPr>
          <w:b/>
        </w:rPr>
        <w:t>+ Add owners</w:t>
      </w:r>
      <w:r>
        <w:t xml:space="preserve"> → add the    Packaging Standard Owner and deputy (Requirement 2.2). </w:t>
      </w:r>
      <w:r>
        <w:rPr>
          <w:b/>
        </w:rPr>
        <w:t>Create</w:t>
      </w:r>
      <w:r>
        <w:t>.</w:t>
      </w:r>
    </w:p>
    <w:p>
      <w:pPr>
        <w:pStyle w:val="Heading3"/>
      </w:pPr>
      <w:r>
        <w:t>2c. The scope tag</w:t>
      </w:r>
    </w:p>
    <w:p>
      <w:pPr>
        <w:pStyle w:val="ListNumber"/>
      </w:pPr>
      <w:r>
        <w:t xml:space="preserve">Intune admin center → </w:t>
      </w:r>
      <w:r>
        <w:rPr>
          <w:b/>
        </w:rPr>
        <w:t>Tenant administration</w:t>
      </w:r>
      <w:r>
        <w:t xml:space="preserve"> → </w:t>
      </w:r>
      <w:r>
        <w:rPr>
          <w:b/>
        </w:rPr>
        <w:t>Roles</w:t>
      </w:r>
      <w:r>
        <w:t xml:space="preserve"> → </w:t>
      </w:r>
      <w:r>
        <w:rPr>
          <w:b/>
        </w:rPr>
        <w:t>Scope (Tags)</w:t>
      </w:r>
      <w:r>
        <w:t xml:space="preserve"> → </w:t>
      </w:r>
      <w:r>
        <w:rPr>
          <w:b/>
        </w:rPr>
        <w:t>+ Create</w:t>
      </w:r>
      <w:r>
        <w:t>.</w:t>
      </w:r>
    </w:p>
    <w:p>
      <w:pPr>
        <w:pStyle w:val="ListNumber"/>
      </w:pPr>
      <w:r>
        <w:rPr>
          <w:b/>
        </w:rPr>
        <w:t>Name:</w:t>
      </w:r>
      <w:r>
        <w:t xml:space="preserve"> </w:t>
      </w:r>
      <w:r>
        <w:rPr>
          <w:rFonts w:ascii="Consolas" w:hAnsi="Consolas"/>
          <w:sz w:val="19"/>
        </w:rPr>
        <w:t>SCOPE – Application Packaging</w:t>
      </w:r>
      <w:r>
        <w:t xml:space="preserve">. </w:t>
      </w:r>
      <w:r>
        <w:rPr>
          <w:b/>
        </w:rPr>
        <w:t>Description:</w:t>
      </w:r>
      <w:r>
        <w:t xml:space="preserve"> "Objects owned by the application</w:t>
      </w:r>
    </w:p>
    <w:p>
      <w:r>
        <w:t xml:space="preserve">   packaging function." Click </w:t>
      </w:r>
      <w:r>
        <w:rPr>
          <w:b/>
        </w:rPr>
        <w:t>Next</w:t>
      </w:r>
      <w:r>
        <w:t>.</w:t>
      </w:r>
    </w:p>
    <w:p>
      <w:pPr>
        <w:pStyle w:val="ListNumber"/>
      </w:pPr>
      <w:r>
        <w:t xml:space="preserve">On </w:t>
      </w:r>
      <w:r>
        <w:rPr>
          <w:b/>
        </w:rPr>
        <w:t>Assignments</w:t>
      </w:r>
      <w:r>
        <w:t xml:space="preserve">, click </w:t>
      </w:r>
      <w:r>
        <w:rPr>
          <w:b/>
        </w:rPr>
        <w:t>+ Select groups to include</w:t>
      </w:r>
      <w:r>
        <w:t xml:space="preserve"> → select </w:t>
      </w:r>
      <w:r>
        <w:rPr>
          <w:rFonts w:ascii="Consolas" w:hAnsi="Consolas"/>
          <w:sz w:val="19"/>
        </w:rPr>
        <w:t>ROLE – Application Packagers</w:t>
      </w:r>
    </w:p>
    <w:p>
      <w:r>
        <w:t xml:space="preserve">   and </w:t>
      </w:r>
      <w:r>
        <w:rPr>
          <w:rFonts w:ascii="Consolas" w:hAnsi="Consolas"/>
          <w:sz w:val="19"/>
        </w:rPr>
        <w:t>ROLE – Package Approvers</w:t>
      </w:r>
      <w:r>
        <w:t xml:space="preserve">. Click </w:t>
      </w:r>
      <w:r>
        <w:rPr>
          <w:b/>
        </w:rPr>
        <w:t>Next</w:t>
      </w:r>
      <w:r>
        <w:t xml:space="preserve"> → </w:t>
      </w:r>
      <w:r>
        <w:rPr>
          <w:b/>
        </w:rPr>
        <w:t>Create</w:t>
      </w:r>
      <w:r>
        <w:t>.</w:t>
      </w:r>
    </w:p>
    <w:p>
      <w:pPr>
        <w:pStyle w:val="Heading3"/>
      </w:pPr>
      <w:r>
        <w:t>2d. The custom packaging role</w:t>
      </w:r>
    </w:p>
    <w:p>
      <w:pPr>
        <w:pStyle w:val="ListNumber"/>
      </w:pPr>
      <w:r>
        <w:t xml:space="preserve">Intune admin center → </w:t>
      </w:r>
      <w:r>
        <w:rPr>
          <w:b/>
        </w:rPr>
        <w:t>Tenant administration</w:t>
      </w:r>
      <w:r>
        <w:t xml:space="preserve"> → </w:t>
      </w:r>
      <w:r>
        <w:rPr>
          <w:b/>
        </w:rPr>
        <w:t>Roles</w:t>
      </w:r>
      <w:r>
        <w:t xml:space="preserve"> → </w:t>
      </w:r>
      <w:r>
        <w:rPr>
          <w:b/>
        </w:rPr>
        <w:t>All roles</w:t>
      </w:r>
      <w:r>
        <w:t xml:space="preserve"> → </w:t>
      </w:r>
      <w:r>
        <w:rPr>
          <w:b/>
        </w:rPr>
        <w:t>+ Create</w:t>
      </w:r>
      <w:r>
        <w:t xml:space="preserve"> →</w:t>
      </w:r>
    </w:p>
    <w:p>
      <w:r>
        <w:t xml:space="preserve">   </w:t>
      </w:r>
      <w:r>
        <w:rPr>
          <w:b/>
        </w:rPr>
        <w:t>Windows 10 and later</w:t>
      </w:r>
      <w:r>
        <w:t xml:space="preserve"> is not what you want here; choose </w:t>
      </w:r>
      <w:r>
        <w:rPr>
          <w:b/>
        </w:rPr>
        <w:t>+ Create</w:t>
      </w:r>
      <w:r>
        <w:t xml:space="preserve"> → </w:t>
      </w:r>
      <w:r>
        <w:rPr>
          <w:b/>
        </w:rPr>
        <w:t>Custom role</w:t>
      </w:r>
      <w:r>
        <w:t>.</w:t>
      </w:r>
    </w:p>
    <w:p>
      <w:pPr>
        <w:pStyle w:val="ListNumber"/>
      </w:pPr>
      <w:r>
        <w:rPr>
          <w:b/>
        </w:rPr>
        <w:t>Name:</w:t>
      </w:r>
      <w:r>
        <w:t xml:space="preserve"> </w:t>
      </w:r>
      <w:r>
        <w:rPr>
          <w:rFonts w:ascii="Consolas" w:hAnsi="Consolas"/>
          <w:sz w:val="19"/>
        </w:rPr>
        <w:t>Application Packager (Standard)</w:t>
      </w:r>
      <w:r>
        <w:t xml:space="preserve">. </w:t>
      </w:r>
      <w:r>
        <w:rPr>
          <w:b/>
        </w:rPr>
        <w:t>Description:</w:t>
      </w:r>
      <w:r>
        <w:t xml:space="preserve"> "Build and edit applications; cannot</w:t>
      </w:r>
    </w:p>
    <w:p>
      <w:r>
        <w:t xml:space="preserve">   assign to Ring 2 Broad." Click </w:t>
      </w:r>
      <w:r>
        <w:rPr>
          <w:b/>
        </w:rPr>
        <w:t>Next</w:t>
      </w:r>
      <w:r>
        <w:t>.</w:t>
      </w:r>
    </w:p>
    <w:p>
      <w:pPr>
        <w:pStyle w:val="ListNumber"/>
      </w:pPr>
      <w:r>
        <w:t xml:space="preserve">On </w:t>
      </w:r>
      <w:r>
        <w:rPr>
          <w:b/>
        </w:rPr>
        <w:t>Permissions</w:t>
      </w:r>
      <w:r>
        <w:t xml:space="preserve">, expand </w:t>
      </w:r>
      <w:r>
        <w:rPr>
          <w:b/>
        </w:rPr>
        <w:t>Mobile apps</w:t>
      </w:r>
      <w:r>
        <w:t xml:space="preserve"> and set </w:t>
      </w:r>
      <w:r>
        <w:rPr>
          <w:b/>
        </w:rPr>
        <w:t>Create</w:t>
      </w:r>
      <w:r>
        <w:t xml:space="preserve">, </w:t>
      </w:r>
      <w:r>
        <w:rPr>
          <w:b/>
        </w:rPr>
        <w:t>Read</w:t>
      </w:r>
      <w:r>
        <w:t xml:space="preserve">, </w:t>
      </w:r>
      <w:r>
        <w:rPr>
          <w:b/>
        </w:rPr>
        <w:t>Update</w:t>
      </w:r>
      <w:r>
        <w:t xml:space="preserve">, and </w:t>
      </w:r>
      <w:r>
        <w:rPr>
          <w:b/>
        </w:rPr>
        <w:t>Delete</w:t>
      </w:r>
    </w:p>
    <w:p>
      <w:r>
        <w:t xml:space="preserve">   to </w:t>
      </w:r>
      <w:r>
        <w:rPr>
          <w:b/>
        </w:rPr>
        <w:t>Yes</w:t>
      </w:r>
      <w:r>
        <w:t xml:space="preserve">. Set </w:t>
      </w:r>
      <w:r>
        <w:rPr>
          <w:b/>
        </w:rPr>
        <w:t>Assign</w:t>
      </w:r>
      <w:r>
        <w:t xml:space="preserve"> to </w:t>
      </w:r>
      <w:r>
        <w:rPr>
          <w:b/>
        </w:rPr>
        <w:t>Yes</w:t>
      </w:r>
      <w:r>
        <w:t xml:space="preserve">. Expand </w:t>
      </w:r>
      <w:r>
        <w:rPr>
          <w:b/>
        </w:rPr>
        <w:t>Organization</w:t>
      </w:r>
      <w:r>
        <w:t xml:space="preserve"> and set </w:t>
      </w:r>
      <w:r>
        <w:rPr>
          <w:b/>
        </w:rPr>
        <w:t>Read</w:t>
      </w:r>
      <w:r>
        <w:t xml:space="preserve"> to </w:t>
      </w:r>
      <w:r>
        <w:rPr>
          <w:b/>
        </w:rPr>
        <w:t>Yes</w:t>
      </w:r>
      <w:r>
        <w:t xml:space="preserve">. Leave    everything else </w:t>
      </w:r>
      <w:r>
        <w:rPr>
          <w:b/>
        </w:rPr>
        <w:t>No</w:t>
      </w:r>
      <w:r>
        <w:t xml:space="preserve">. Click </w:t>
      </w:r>
      <w:r>
        <w:rPr>
          <w:b/>
        </w:rPr>
        <w:t>Next</w:t>
      </w:r>
      <w:r>
        <w:t>.</w:t>
      </w:r>
    </w:p>
    <w:p>
      <w:pPr>
        <w:pStyle w:val="ListNumber"/>
      </w:pPr>
      <w:r>
        <w:t xml:space="preserve">On </w:t>
      </w:r>
      <w:r>
        <w:rPr>
          <w:b/>
        </w:rPr>
        <w:t>Scope tags</w:t>
      </w:r>
      <w:r>
        <w:t xml:space="preserve">, select </w:t>
      </w:r>
      <w:r>
        <w:rPr>
          <w:rFonts w:ascii="Consolas" w:hAnsi="Consolas"/>
          <w:sz w:val="19"/>
        </w:rPr>
        <w:t>SCOPE – Application Packaging</w:t>
      </w:r>
      <w:r>
        <w:t xml:space="preserve">. Click </w:t>
      </w:r>
      <w:r>
        <w:rPr>
          <w:b/>
        </w:rPr>
        <w:t>Next</w:t>
      </w:r>
      <w:r>
        <w:t xml:space="preserve"> → </w:t>
      </w:r>
      <w:r>
        <w:rPr>
          <w:b/>
        </w:rPr>
        <w:t>Create</w:t>
      </w:r>
      <w:r>
        <w:t>.</w:t>
      </w:r>
    </w:p>
    <w:p>
      <w:pPr>
        <w:pStyle w:val="ListNumber"/>
      </w:pPr>
      <w:r>
        <w:t xml:space="preserve">Open the new role → </w:t>
      </w:r>
      <w:r>
        <w:rPr>
          <w:b/>
        </w:rPr>
        <w:t>Assignments</w:t>
      </w:r>
      <w:r>
        <w:t xml:space="preserve"> → </w:t>
      </w:r>
      <w:r>
        <w:rPr>
          <w:b/>
        </w:rPr>
        <w:t>+ Assign</w:t>
      </w:r>
      <w:r>
        <w:t xml:space="preserve">. </w:t>
      </w:r>
      <w:r>
        <w:rPr>
          <w:b/>
        </w:rPr>
        <w:t>Assignment name:</w:t>
      </w:r>
      <w:r>
        <w:t xml:space="preserve"> </w:t>
      </w:r>
      <w:r>
        <w:rPr>
          <w:rFonts w:ascii="Consolas" w:hAnsi="Consolas"/>
          <w:sz w:val="19"/>
        </w:rPr>
        <w:t>Packagers – Standard</w:t>
      </w:r>
      <w:r>
        <w:t>.</w:t>
      </w:r>
    </w:p>
    <w:p>
      <w:r>
        <w:t xml:space="preserve">   </w:t>
      </w:r>
      <w:r>
        <w:rPr>
          <w:b/>
        </w:rPr>
        <w:t>Members (groups):</w:t>
      </w:r>
      <w:r>
        <w:t xml:space="preserve"> </w:t>
      </w:r>
      <w:r>
        <w:rPr>
          <w:rFonts w:ascii="Consolas" w:hAnsi="Consolas"/>
          <w:sz w:val="19"/>
        </w:rPr>
        <w:t>ROLE – Application Packagers</w:t>
      </w:r>
      <w:r>
        <w:t xml:space="preserve">. </w:t>
      </w:r>
      <w:r>
        <w:rPr>
          <w:b/>
        </w:rPr>
        <w:t>Scope (Groups):</w:t>
      </w:r>
      <w:r>
        <w:t xml:space="preserve"> select    </w:t>
      </w:r>
      <w:r>
        <w:rPr>
          <w:rFonts w:ascii="Consolas" w:hAnsi="Consolas"/>
          <w:sz w:val="19"/>
        </w:rPr>
        <w:t>APP – Ring 0 Packaging Lab</w:t>
      </w:r>
      <w:r>
        <w:t xml:space="preserve"> and </w:t>
      </w:r>
      <w:r>
        <w:rPr>
          <w:rFonts w:ascii="Consolas" w:hAnsi="Consolas"/>
          <w:sz w:val="19"/>
        </w:rPr>
        <w:t>APP – Ring 1 Pilot Devices</w:t>
      </w:r>
      <w:r>
        <w:t xml:space="preserve"> </w:t>
      </w:r>
      <w:r>
        <w:rPr>
          <w:b/>
        </w:rPr>
        <w:t>only</w:t>
      </w:r>
      <w:r>
        <w:t xml:space="preserve"> — this is what prevents a    packager from self-releasing to the whole fleet. </w:t>
      </w:r>
      <w:r>
        <w:rPr>
          <w:b/>
        </w:rPr>
        <w:t>Scope (Tags):</w:t>
      </w:r>
      <w:r>
        <w:t xml:space="preserve">    </w:t>
      </w:r>
      <w:r>
        <w:rPr>
          <w:rFonts w:ascii="Consolas" w:hAnsi="Consolas"/>
          <w:sz w:val="19"/>
        </w:rPr>
        <w:t>SCOPE – Application Packaging</w:t>
      </w:r>
      <w:r>
        <w:t xml:space="preserve">. Click </w:t>
      </w:r>
      <w:r>
        <w:rPr>
          <w:b/>
        </w:rPr>
        <w:t>Create</w:t>
      </w:r>
      <w:r>
        <w:t>.</w:t>
      </w:r>
    </w:p>
    <w:p>
      <w:pPr>
        <w:pStyle w:val="Heading3"/>
      </w:pPr>
      <w:r>
        <w:t>2e. The app categories</w:t>
      </w:r>
    </w:p>
    <w:p>
      <w:pPr>
        <w:pStyle w:val="ListNumber"/>
      </w:pPr>
      <w:r>
        <w:t xml:space="preserve">Intune admin center → </w:t>
      </w:r>
      <w:r>
        <w:rPr>
          <w:b/>
        </w:rPr>
        <w:t>Apps</w:t>
      </w:r>
      <w:r>
        <w:t xml:space="preserve"> → </w:t>
      </w:r>
      <w:r>
        <w:rPr>
          <w:b/>
        </w:rPr>
        <w:t>Categories</w:t>
      </w:r>
      <w:r>
        <w:t xml:space="preserve"> → </w:t>
      </w:r>
      <w:r>
        <w:rPr>
          <w:b/>
        </w:rPr>
        <w:t>+ Create</w:t>
      </w:r>
      <w:r>
        <w:t>.</w:t>
      </w:r>
    </w:p>
    <w:p>
      <w:pPr>
        <w:pStyle w:val="ListNumber"/>
      </w:pPr>
      <w:r>
        <w:t xml:space="preserve">Enter </w:t>
      </w:r>
      <w:r>
        <w:rPr>
          <w:rFonts w:ascii="Consolas" w:hAnsi="Consolas"/>
          <w:sz w:val="19"/>
        </w:rPr>
        <w:t>Business – Finance</w:t>
      </w:r>
      <w:r>
        <w:t xml:space="preserve"> and click </w:t>
      </w:r>
      <w:r>
        <w:rPr>
          <w:b/>
        </w:rPr>
        <w:t>Create</w:t>
      </w:r>
      <w:r>
        <w:t>.</w:t>
      </w:r>
    </w:p>
    <w:p>
      <w:pPr>
        <w:pStyle w:val="ListNumber"/>
      </w:pPr>
      <w:r>
        <w:t xml:space="preserve">Repeat for exactly these five more: </w:t>
      </w:r>
      <w:r>
        <w:rPr>
          <w:rFonts w:ascii="Consolas" w:hAnsi="Consolas"/>
          <w:sz w:val="19"/>
        </w:rPr>
        <w:t>Business – Operations</w:t>
      </w:r>
      <w:r>
        <w:t xml:space="preserve">, </w:t>
      </w:r>
      <w:r>
        <w:rPr>
          <w:rFonts w:ascii="Consolas" w:hAnsi="Consolas"/>
          <w:sz w:val="19"/>
        </w:rPr>
        <w:t>Productivity</w:t>
      </w:r>
      <w:r>
        <w:t>,</w:t>
      </w:r>
    </w:p>
    <w:p>
      <w:r>
        <w:t xml:space="preserve">   </w:t>
      </w:r>
      <w:r>
        <w:rPr>
          <w:rFonts w:ascii="Consolas" w:hAnsi="Consolas"/>
          <w:sz w:val="19"/>
        </w:rPr>
        <w:t>Engineering &amp; Technical</w:t>
      </w:r>
      <w:r>
        <w:t xml:space="preserve">, </w:t>
      </w:r>
      <w:r>
        <w:rPr>
          <w:rFonts w:ascii="Consolas" w:hAnsi="Consolas"/>
          <w:sz w:val="19"/>
        </w:rPr>
        <w:t>Security &amp; Compliance</w:t>
      </w:r>
      <w:r>
        <w:t xml:space="preserve">, </w:t>
      </w:r>
      <w:r>
        <w:rPr>
          <w:rFonts w:ascii="Consolas" w:hAnsi="Consolas"/>
          <w:sz w:val="19"/>
        </w:rPr>
        <w:t>Utilities &amp; Runtimes</w:t>
      </w:r>
      <w:r>
        <w:t>.</w:t>
      </w:r>
    </w:p>
    <w:p>
      <w:pPr>
        <w:pStyle w:val="ListNumber"/>
      </w:pPr>
      <w:r>
        <w:t>Review the existing list and delete or merge any near-duplicates left over from before the</w:t>
      </w:r>
    </w:p>
    <w:p>
      <w:r>
        <w:t xml:space="preserve">   standard (Requirement 2.10). Deleting a category does not delete the apps; you must re-categorise    them.</w:t>
      </w:r>
    </w:p>
    <w:p>
      <w:r>
        <w:t>__________________________________________________</w:t>
      </w:r>
    </w:p>
    <w:p>
      <w:pPr>
        <w:pStyle w:val="Heading2"/>
      </w:pPr>
      <w:r>
        <w:t>Step 3 — The format decision matrix (THE decision tree)</w:t>
      </w:r>
    </w:p>
    <w:p>
      <w:r>
        <w:rPr>
          <w:b/>
        </w:rPr>
        <w:t>Rule:</w:t>
      </w:r>
      <w:r>
        <w:t xml:space="preserve"> every application entering the catalog is assigned exactly one format at intake, by working the decision tree top to bottom and stopping at the first match. The decision and the reason are recorded on the intake form (Step 6). A packager may not change format after sign-off without a new intake.</w:t>
      </w:r>
    </w:p>
    <w:p>
      <w:pPr>
        <w:pStyle w:val="Heading3"/>
      </w:pPr>
      <w:r>
        <w:t>The decision tree — work it in order</w:t>
      </w:r>
    </w:p>
    <w:p>
      <w:r>
        <w:rPr>
          <w:b/>
        </w:rPr>
        <w:t>Question 1 — Is the app published in the Microsoft Store and is automatic vendor updating acceptable to the business owner?</w:t>
      </w:r>
      <w:r>
        <w:t xml:space="preserve"> → </w:t>
      </w:r>
      <w:r>
        <w:rPr>
          <w:b/>
        </w:rPr>
        <w:t>YES:</w:t>
      </w:r>
      <w:r>
        <w:t xml:space="preserve"> use </w:t>
      </w:r>
      <w:r>
        <w:rPr>
          <w:b/>
        </w:rPr>
        <w:t>Microsoft Store app (new)</w:t>
      </w:r>
      <w:r>
        <w:t xml:space="preserve">. Stop. → </w:t>
      </w:r>
      <w:r>
        <w:rPr>
          <w:b/>
        </w:rPr>
        <w:t>NO or Store unavailable in your cloud (Requirement 2.9):</w:t>
      </w:r>
      <w:r>
        <w:t xml:space="preserve"> continue.</w:t>
      </w:r>
    </w:p>
    <w:p>
      <w:r>
        <w:rPr>
          <w:b/>
        </w:rPr>
        <w:t>Question 2 — Does the vendor ship a supported MSIX/`.msixbundle`, and does the app need no system-context install, no custom install logic, and no legacy driver/service?</w:t>
      </w:r>
      <w:r>
        <w:t xml:space="preserve"> → </w:t>
      </w:r>
      <w:r>
        <w:rPr>
          <w:b/>
        </w:rPr>
        <w:t>YES:</w:t>
      </w:r>
      <w:r>
        <w:t xml:space="preserve"> use </w:t>
      </w:r>
      <w:r>
        <w:rPr>
          <w:b/>
        </w:rPr>
        <w:t>MSIX</w:t>
      </w:r>
      <w:r>
        <w:t xml:space="preserve">. Stop. → </w:t>
      </w:r>
      <w:r>
        <w:rPr>
          <w:b/>
        </w:rPr>
        <w:t>NO:</w:t>
      </w:r>
      <w:r>
        <w:t xml:space="preserve"> continue.</w:t>
      </w:r>
    </w:p>
    <w:p>
      <w:r>
        <w:rPr>
          <w:b/>
        </w:rPr>
        <w:t>Question 3 — Does the app require a system-context install, custom pre/post logic, a specific install sequence, dependencies, supersedence of a prior version, or a vendor EXE installer?</w:t>
      </w:r>
      <w:r>
        <w:t xml:space="preserve"> → </w:t>
      </w:r>
      <w:r>
        <w:rPr>
          <w:b/>
        </w:rPr>
        <w:t>YES:</w:t>
      </w:r>
      <w:r>
        <w:t xml:space="preserve"> use </w:t>
      </w:r>
      <w:r>
        <w:rPr>
          <w:b/>
        </w:rPr>
        <w:t>Win32</w:t>
      </w:r>
      <w:r>
        <w:t>. Stop.</w:t>
      </w:r>
    </w:p>
    <w:p>
      <w:r>
        <w:rPr>
          <w:b/>
        </w:rPr>
        <w:t>Question 4 — Anything remaining.</w:t>
      </w:r>
      <w:r>
        <w:t xml:space="preserve"> → Use </w:t>
      </w:r>
      <w:r>
        <w:rPr>
          <w:b/>
        </w:rPr>
        <w:t>Win32</w:t>
      </w:r>
      <w:r>
        <w:t>. Win32 is the default; there is no fall-through case that lands on LOB/MSI.</w:t>
      </w:r>
    </w:p>
    <w:p>
      <w:r>
        <w:rPr>
          <w:b/>
        </w:rPr>
        <w:t>Banned:</w:t>
      </w:r>
      <w:r>
        <w:t xml:space="preserve"> the </w:t>
      </w:r>
      <w:r>
        <w:rPr>
          <w:b/>
        </w:rPr>
        <w:t>Line-of-business app (`.msi`)</w:t>
      </w:r>
      <w:r>
        <w:t xml:space="preserve"> type is </w:t>
      </w:r>
      <w:r>
        <w:rPr>
          <w:b/>
        </w:rPr>
        <w:t>not permitted for new packages</w:t>
      </w:r>
      <w:r>
        <w:t>. It offers no control over the install command, no requirement rules, no dependencies, and no supersedence. Existing LOB apps are tracked for migration to Win32 at their next version.</w:t>
      </w:r>
    </w:p>
    <w:p>
      <w:pPr>
        <w:pStyle w:val="Heading3"/>
      </w:pPr>
      <w:r>
        <w:t>The matrix in full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Criterion</w:t>
            </w:r>
          </w:p>
        </w:tc>
        <w:tc>
          <w:tcPr>
            <w:tcW w:type="dxa" w:w="1728"/>
          </w:tcPr>
          <w:p>
            <w:r>
              <w:rPr>
                <w:b/>
              </w:rPr>
              <w:t>Microsoft Store (new)</w:t>
            </w:r>
          </w:p>
        </w:tc>
        <w:tc>
          <w:tcPr>
            <w:tcW w:type="dxa" w:w="1728"/>
          </w:tcPr>
          <w:p>
            <w:r>
              <w:rPr>
                <w:b/>
              </w:rPr>
              <w:t>MSIX</w:t>
            </w:r>
          </w:p>
        </w:tc>
        <w:tc>
          <w:tcPr>
            <w:tcW w:type="dxa" w:w="1728"/>
          </w:tcPr>
          <w:p>
            <w:r>
              <w:rPr>
                <w:b/>
              </w:rPr>
              <w:t>Win32 (</w:t>
            </w:r>
            <w:r>
              <w:rPr>
                <w:rFonts w:ascii="Consolas" w:hAnsi="Consolas"/>
                <w:b/>
                <w:sz w:val="19"/>
              </w:rPr>
              <w:t>.intunewin</w:t>
            </w:r>
            <w:r>
              <w:rPr>
                <w:b/>
              </w:rPr>
              <w:t>)</w:t>
            </w:r>
          </w:p>
        </w:tc>
        <w:tc>
          <w:tcPr>
            <w:tcW w:type="dxa" w:w="1728"/>
          </w:tcPr>
          <w:p>
            <w:r>
              <w:rPr>
                <w:b/>
              </w:rPr>
              <w:t>LOB / MSI (legacy)</w:t>
            </w:r>
          </w:p>
        </w:tc>
      </w:tr>
      <w:tr>
        <w:tc>
          <w:tcPr>
            <w:tcW w:type="dxa" w:w="1728"/>
          </w:tcPr>
          <w:p>
            <w:r>
              <w:t>Packaging effort</w:t>
            </w:r>
          </w:p>
        </w:tc>
        <w:tc>
          <w:tcPr>
            <w:tcW w:type="dxa" w:w="1728"/>
          </w:tcPr>
          <w:p>
            <w:r>
              <w:t>None</w:t>
            </w:r>
          </w:p>
        </w:tc>
        <w:tc>
          <w:tcPr>
            <w:tcW w:type="dxa" w:w="1728"/>
          </w:tcPr>
          <w:p>
            <w:r>
              <w:t>Low (if vendor ships MSIX)</w:t>
            </w:r>
          </w:p>
        </w:tc>
        <w:tc>
          <w:tcPr>
            <w:tcW w:type="dxa" w:w="1728"/>
          </w:tcPr>
          <w:p>
            <w:r>
              <w:t>Moderate — wrap + author rules</w:t>
            </w:r>
          </w:p>
        </w:tc>
        <w:tc>
          <w:tcPr>
            <w:tcW w:type="dxa" w:w="1728"/>
          </w:tcPr>
          <w:p>
            <w:r>
              <w:t>Low</w:t>
            </w:r>
          </w:p>
        </w:tc>
      </w:tr>
      <w:tr>
        <w:tc>
          <w:tcPr>
            <w:tcW w:type="dxa" w:w="1728"/>
          </w:tcPr>
          <w:p>
            <w:r>
              <w:t>Who installs it</w:t>
            </w:r>
          </w:p>
        </w:tc>
        <w:tc>
          <w:tcPr>
            <w:tcW w:type="dxa" w:w="1728"/>
          </w:tcPr>
          <w:p>
            <w:r>
              <w:t>Store/OS</w:t>
            </w:r>
          </w:p>
        </w:tc>
        <w:tc>
          <w:tcPr>
            <w:tcW w:type="dxa" w:w="1728"/>
          </w:tcPr>
          <w:p>
            <w:r>
              <w:t>OS</w:t>
            </w:r>
          </w:p>
        </w:tc>
        <w:tc>
          <w:tcPr>
            <w:tcW w:type="dxa" w:w="1728"/>
          </w:tcPr>
          <w:p>
            <w:r>
              <w:t>Intune Management Extension</w:t>
            </w:r>
          </w:p>
        </w:tc>
        <w:tc>
          <w:tcPr>
            <w:tcW w:type="dxa" w:w="1728"/>
          </w:tcPr>
          <w:p>
            <w:r>
              <w:t>MDM client</w:t>
            </w:r>
          </w:p>
        </w:tc>
      </w:tr>
      <w:tr>
        <w:tc>
          <w:tcPr>
            <w:tcW w:type="dxa" w:w="1728"/>
          </w:tcPr>
          <w:p>
            <w:r>
              <w:t>Custom install command</w:t>
            </w:r>
          </w:p>
        </w:tc>
        <w:tc>
          <w:tcPr>
            <w:tcW w:type="dxa" w:w="1728"/>
          </w:tcPr>
          <w:p>
            <w:r>
              <w:t>No</w:t>
            </w:r>
          </w:p>
        </w:tc>
        <w:tc>
          <w:tcPr>
            <w:tcW w:type="dxa" w:w="1728"/>
          </w:tcPr>
          <w:p>
            <w:r>
              <w:t>No</w:t>
            </w:r>
          </w:p>
        </w:tc>
        <w:tc>
          <w:tcPr>
            <w:tcW w:type="dxa" w:w="1728"/>
          </w:tcPr>
          <w:p>
            <w:r>
              <w:rPr>
                <w:b/>
              </w:rPr>
              <w:t>Yes</w:t>
            </w:r>
          </w:p>
        </w:tc>
        <w:tc>
          <w:tcPr>
            <w:tcW w:type="dxa" w:w="1728"/>
          </w:tcPr>
          <w:p>
            <w:r>
              <w:t>No</w:t>
            </w:r>
          </w:p>
        </w:tc>
      </w:tr>
      <w:tr>
        <w:tc>
          <w:tcPr>
            <w:tcW w:type="dxa" w:w="1728"/>
          </w:tcPr>
          <w:p>
            <w:r>
              <w:t>Custom uninstall command</w:t>
            </w:r>
          </w:p>
        </w:tc>
        <w:tc>
          <w:tcPr>
            <w:tcW w:type="dxa" w:w="1728"/>
          </w:tcPr>
          <w:p>
            <w:r>
              <w:t>No</w:t>
            </w:r>
          </w:p>
        </w:tc>
        <w:tc>
          <w:tcPr>
            <w:tcW w:type="dxa" w:w="1728"/>
          </w:tcPr>
          <w:p>
            <w:r>
              <w:t>No</w:t>
            </w:r>
          </w:p>
        </w:tc>
        <w:tc>
          <w:tcPr>
            <w:tcW w:type="dxa" w:w="1728"/>
          </w:tcPr>
          <w:p>
            <w:r>
              <w:rPr>
                <w:b/>
              </w:rPr>
              <w:t>Yes</w:t>
            </w:r>
          </w:p>
        </w:tc>
        <w:tc>
          <w:tcPr>
            <w:tcW w:type="dxa" w:w="1728"/>
          </w:tcPr>
          <w:p>
            <w:r>
              <w:t>No</w:t>
            </w:r>
          </w:p>
        </w:tc>
      </w:tr>
      <w:tr>
        <w:tc>
          <w:tcPr>
            <w:tcW w:type="dxa" w:w="1728"/>
          </w:tcPr>
          <w:p>
            <w:r>
              <w:t>Detection rules you author</w:t>
            </w:r>
          </w:p>
        </w:tc>
        <w:tc>
          <w:tcPr>
            <w:tcW w:type="dxa" w:w="1728"/>
          </w:tcPr>
          <w:p>
            <w:r>
              <w:t>No (managed)</w:t>
            </w:r>
          </w:p>
        </w:tc>
        <w:tc>
          <w:tcPr>
            <w:tcW w:type="dxa" w:w="1728"/>
          </w:tcPr>
          <w:p>
            <w:r>
              <w:t>No (managed)</w:t>
            </w:r>
          </w:p>
        </w:tc>
        <w:tc>
          <w:tcPr>
            <w:tcW w:type="dxa" w:w="1728"/>
          </w:tcPr>
          <w:p>
            <w:r>
              <w:rPr>
                <w:b/>
              </w:rPr>
              <w:t>Yes — required</w:t>
            </w:r>
          </w:p>
        </w:tc>
        <w:tc>
          <w:tcPr>
            <w:tcW w:type="dxa" w:w="1728"/>
          </w:tcPr>
          <w:p>
            <w:r>
              <w:t>No</w:t>
            </w:r>
          </w:p>
        </w:tc>
      </w:tr>
      <w:tr>
        <w:tc>
          <w:tcPr>
            <w:tcW w:type="dxa" w:w="1728"/>
          </w:tcPr>
          <w:p>
            <w:r>
              <w:t>Requirement rules</w:t>
            </w:r>
          </w:p>
        </w:tc>
        <w:tc>
          <w:tcPr>
            <w:tcW w:type="dxa" w:w="1728"/>
          </w:tcPr>
          <w:p>
            <w:r>
              <w:t>Limited</w:t>
            </w:r>
          </w:p>
        </w:tc>
        <w:tc>
          <w:tcPr>
            <w:tcW w:type="dxa" w:w="1728"/>
          </w:tcPr>
          <w:p>
            <w:r>
              <w:t>Limited</w:t>
            </w:r>
          </w:p>
        </w:tc>
        <w:tc>
          <w:tcPr>
            <w:tcW w:type="dxa" w:w="1728"/>
          </w:tcPr>
          <w:p>
            <w:r>
              <w:rPr>
                <w:b/>
              </w:rPr>
              <w:t>Yes</w:t>
            </w:r>
          </w:p>
        </w:tc>
        <w:tc>
          <w:tcPr>
            <w:tcW w:type="dxa" w:w="1728"/>
          </w:tcPr>
          <w:p>
            <w:r>
              <w:t>No</w:t>
            </w:r>
          </w:p>
        </w:tc>
      </w:tr>
      <w:tr>
        <w:tc>
          <w:tcPr>
            <w:tcW w:type="dxa" w:w="1728"/>
          </w:tcPr>
          <w:p>
            <w:r>
              <w:t>Dependencies</w:t>
            </w:r>
          </w:p>
        </w:tc>
        <w:tc>
          <w:tcPr>
            <w:tcW w:type="dxa" w:w="1728"/>
          </w:tcPr>
          <w:p>
            <w:r>
              <w:t>No</w:t>
            </w:r>
          </w:p>
        </w:tc>
        <w:tc>
          <w:tcPr>
            <w:tcW w:type="dxa" w:w="1728"/>
          </w:tcPr>
          <w:p>
            <w:r>
              <w:t>No</w:t>
            </w:r>
          </w:p>
        </w:tc>
        <w:tc>
          <w:tcPr>
            <w:tcW w:type="dxa" w:w="1728"/>
          </w:tcPr>
          <w:p>
            <w:r>
              <w:rPr>
                <w:b/>
              </w:rPr>
              <w:t>Yes</w:t>
            </w:r>
          </w:p>
        </w:tc>
        <w:tc>
          <w:tcPr>
            <w:tcW w:type="dxa" w:w="1728"/>
          </w:tcPr>
          <w:p>
            <w:r>
              <w:t>No</w:t>
            </w:r>
          </w:p>
        </w:tc>
      </w:tr>
      <w:tr>
        <w:tc>
          <w:tcPr>
            <w:tcW w:type="dxa" w:w="1728"/>
          </w:tcPr>
          <w:p>
            <w:r>
              <w:t>Supersedence</w:t>
            </w:r>
          </w:p>
        </w:tc>
        <w:tc>
          <w:tcPr>
            <w:tcW w:type="dxa" w:w="1728"/>
          </w:tcPr>
          <w:p>
            <w:r>
              <w:t>No</w:t>
            </w:r>
          </w:p>
        </w:tc>
        <w:tc>
          <w:tcPr>
            <w:tcW w:type="dxa" w:w="1728"/>
          </w:tcPr>
          <w:p>
            <w:r>
              <w:t>No</w:t>
            </w:r>
          </w:p>
        </w:tc>
        <w:tc>
          <w:tcPr>
            <w:tcW w:type="dxa" w:w="1728"/>
          </w:tcPr>
          <w:p>
            <w:r>
              <w:rPr>
                <w:b/>
              </w:rPr>
              <w:t>Yes</w:t>
            </w:r>
          </w:p>
        </w:tc>
        <w:tc>
          <w:tcPr>
            <w:tcW w:type="dxa" w:w="1728"/>
          </w:tcPr>
          <w:p>
            <w:r>
              <w:t>No</w:t>
            </w:r>
          </w:p>
        </w:tc>
      </w:tr>
      <w:tr>
        <w:tc>
          <w:tcPr>
            <w:tcW w:type="dxa" w:w="1728"/>
          </w:tcPr>
          <w:p>
            <w:r>
              <w:t>System-context install</w:t>
            </w:r>
          </w:p>
        </w:tc>
        <w:tc>
          <w:tcPr>
            <w:tcW w:type="dxa" w:w="1728"/>
          </w:tcPr>
          <w:p>
            <w:r>
              <w:t>Varies</w:t>
            </w:r>
          </w:p>
        </w:tc>
        <w:tc>
          <w:tcPr>
            <w:tcW w:type="dxa" w:w="1728"/>
          </w:tcPr>
          <w:p>
            <w:r>
              <w:t>Limited</w:t>
            </w:r>
          </w:p>
        </w:tc>
        <w:tc>
          <w:tcPr>
            <w:tcW w:type="dxa" w:w="1728"/>
          </w:tcPr>
          <w:p>
            <w:r>
              <w:rPr>
                <w:b/>
              </w:rPr>
              <w:t>Yes</w:t>
            </w:r>
          </w:p>
        </w:tc>
        <w:tc>
          <w:tcPr>
            <w:tcW w:type="dxa" w:w="1728"/>
          </w:tcPr>
          <w:p>
            <w:r>
              <w:t>Yes</w:t>
            </w:r>
          </w:p>
        </w:tc>
      </w:tr>
      <w:tr>
        <w:tc>
          <w:tcPr>
            <w:tcW w:type="dxa" w:w="1728"/>
          </w:tcPr>
          <w:p>
            <w:r>
              <w:t>Automatic vendor updates</w:t>
            </w:r>
          </w:p>
        </w:tc>
        <w:tc>
          <w:tcPr>
            <w:tcW w:type="dxa" w:w="1728"/>
          </w:tcPr>
          <w:p>
            <w:r>
              <w:rPr>
                <w:b/>
              </w:rPr>
              <w:t>Yes</w:t>
            </w:r>
          </w:p>
        </w:tc>
        <w:tc>
          <w:tcPr>
            <w:tcW w:type="dxa" w:w="1728"/>
          </w:tcPr>
          <w:p>
            <w:r>
              <w:t>Vendor-dependent</w:t>
            </w:r>
          </w:p>
        </w:tc>
        <w:tc>
          <w:tcPr>
            <w:tcW w:type="dxa" w:w="1728"/>
          </w:tcPr>
          <w:p>
            <w:r>
              <w:t>No — you republish</w:t>
            </w:r>
          </w:p>
        </w:tc>
        <w:tc>
          <w:tcPr>
            <w:tcW w:type="dxa" w:w="1728"/>
          </w:tcPr>
          <w:p>
            <w:r>
              <w:t>No</w:t>
            </w:r>
          </w:p>
        </w:tc>
      </w:tr>
      <w:tr>
        <w:tc>
          <w:tcPr>
            <w:tcW w:type="dxa" w:w="1728"/>
          </w:tcPr>
          <w:p>
            <w:r>
              <w:t>Clean uninstall guaranteed</w:t>
            </w:r>
          </w:p>
        </w:tc>
        <w:tc>
          <w:tcPr>
            <w:tcW w:type="dxa" w:w="1728"/>
          </w:tcPr>
          <w:p>
            <w:r>
              <w:t>Yes</w:t>
            </w:r>
          </w:p>
        </w:tc>
        <w:tc>
          <w:tcPr>
            <w:tcW w:type="dxa" w:w="1728"/>
          </w:tcPr>
          <w:p>
            <w:r>
              <w:rPr>
                <w:b/>
              </w:rPr>
              <w:t>Yes</w:t>
            </w:r>
            <w:r>
              <w:t xml:space="preserve"> (containerised)</w:t>
            </w:r>
          </w:p>
        </w:tc>
        <w:tc>
          <w:tcPr>
            <w:tcW w:type="dxa" w:w="1728"/>
          </w:tcPr>
          <w:p>
            <w:r>
              <w:t>Depends on your command</w:t>
            </w:r>
          </w:p>
        </w:tc>
        <w:tc>
          <w:tcPr>
            <w:tcW w:type="dxa" w:w="1728"/>
          </w:tcPr>
          <w:p>
            <w:r>
              <w:t>Usually</w:t>
            </w:r>
          </w:p>
        </w:tc>
      </w:tr>
      <w:tr>
        <w:tc>
          <w:tcPr>
            <w:tcW w:type="dxa" w:w="1728"/>
          </w:tcPr>
          <w:p>
            <w:r>
              <w:t>Permitted for new packages</w:t>
            </w:r>
          </w:p>
        </w:tc>
        <w:tc>
          <w:tcPr>
            <w:tcW w:type="dxa" w:w="1728"/>
          </w:tcPr>
          <w:p>
            <w:r>
              <w:rPr>
                <w:b/>
              </w:rPr>
              <w:t>Yes (preferred where available)</w:t>
            </w:r>
          </w:p>
        </w:tc>
        <w:tc>
          <w:tcPr>
            <w:tcW w:type="dxa" w:w="1728"/>
          </w:tcPr>
          <w:p>
            <w:r>
              <w:rPr>
                <w:b/>
              </w:rPr>
              <w:t>Yes</w:t>
            </w:r>
          </w:p>
        </w:tc>
        <w:tc>
          <w:tcPr>
            <w:tcW w:type="dxa" w:w="1728"/>
          </w:tcPr>
          <w:p>
            <w:r>
              <w:rPr>
                <w:b/>
              </w:rPr>
              <w:t>Yes (default)</w:t>
            </w:r>
          </w:p>
        </w:tc>
        <w:tc>
          <w:tcPr>
            <w:tcW w:type="dxa" w:w="1728"/>
          </w:tcPr>
          <w:p>
            <w:r>
              <w:rPr>
                <w:b/>
              </w:rPr>
              <w:t>No</w:t>
            </w:r>
          </w:p>
        </w:tc>
      </w:tr>
    </w:tbl>
    <w:p>
      <w:pPr>
        <w:pStyle w:val="Heading3"/>
      </w:pPr>
      <w:r>
        <w:t>How to record the decision</w:t>
      </w:r>
    </w:p>
    <w:p>
      <w:r>
        <w:t xml:space="preserve">On the intake form (Step 6), field </w:t>
      </w:r>
      <w:r>
        <w:rPr>
          <w:b/>
        </w:rPr>
        <w:t>Format decision</w:t>
      </w:r>
      <w:r>
        <w:t xml:space="preserve"> must read as a sentence naming the question that decided it, e.g.:</w:t>
      </w:r>
    </w:p>
    <w:p>
      <w:pPr>
        <w:ind w:left="432"/>
      </w:pPr>
      <w:r>
        <w:rPr>
          <w:i/>
          <w:color w:val="2E86C1"/>
        </w:rPr>
        <w:t>*Format: Win32. Decision tree Q3 — vendor ships an EXE bootstrapper, requires system-context install and a VC++ runtime dependency. Not in Microsoft Store; no vendor MSIX available. Decided by J. Okafor, 2026-07-20.*</w:t>
      </w:r>
    </w:p>
    <w:p>
      <w:pPr>
        <w:pStyle w:val="Heading3"/>
      </w:pPr>
      <w:r>
        <w:t>Government-cloud note</w:t>
      </w:r>
    </w:p>
    <w:p>
      <w:r>
        <w:t xml:space="preserve">The decision tree's </w:t>
      </w:r>
      <w:r>
        <w:rPr>
          <w:b/>
        </w:rPr>
        <w:t>Question 1</w:t>
      </w:r>
      <w:r>
        <w:t xml:space="preserve"> assumes the </w:t>
      </w:r>
      <w:r>
        <w:rPr>
          <w:b/>
        </w:rPr>
        <w:t>Microsoft Store app (new)</w:t>
      </w:r>
      <w:r>
        <w:t xml:space="preserve"> type is selectable in your tenant. Microsoft Store integration and broader app-feature parity </w:t>
      </w:r>
      <w:r>
        <w:rPr>
          <w:b/>
        </w:rPr>
        <w:t>differ between the Commercial cloud and the US Government clouds (GCC, GCC High, DoD)</w:t>
      </w:r>
      <w:r>
        <w:t xml:space="preserve">, and Government portal hosts differ as well — Government tenants use hosts such as </w:t>
      </w:r>
      <w:r>
        <w:rPr>
          <w:rFonts w:ascii="Consolas" w:hAnsi="Consolas"/>
          <w:sz w:val="19"/>
        </w:rPr>
        <w:t>intune.microsoft.us</w:t>
      </w:r>
      <w:r>
        <w:t xml:space="preserve"> / </w:t>
      </w:r>
      <w:r>
        <w:rPr>
          <w:rFonts w:ascii="Consolas" w:hAnsi="Consolas"/>
          <w:sz w:val="19"/>
        </w:rPr>
        <w:t>portal.azure.us</w:t>
      </w:r>
      <w:r>
        <w:t xml:space="preserve"> rather than </w:t>
      </w:r>
      <w:r>
        <w:rPr>
          <w:rFonts w:ascii="Consolas" w:hAnsi="Consolas"/>
          <w:sz w:val="19"/>
        </w:rPr>
        <w:t>intune.microsoft.com</w:t>
      </w:r>
      <w:r>
        <w:t xml:space="preserve"> (</w:t>
      </w:r>
      <w:r>
        <w:rPr>
          <w:b/>
        </w:rPr>
        <w:t>verify the exact host for your cloud</w:t>
      </w:r>
      <w:r>
        <w:t xml:space="preserve"> against Microsoft's US-sovereign-cloud documentation). If Requirement 2.9 established that the Store type is unavailable in your cloud, </w:t>
      </w:r>
      <w:r>
        <w:rPr>
          <w:b/>
        </w:rPr>
        <w:t>strike Question 1 from your local copy of this tree</w:t>
      </w:r>
      <w:r>
        <w:t xml:space="preserve">; those applications fall through to Question 2 and then to </w:t>
      </w:r>
      <w:r>
        <w:rPr>
          <w:b/>
        </w:rPr>
        <w:t>Win32</w:t>
      </w:r>
      <w:r>
        <w:t xml:space="preserve">, which increases packaging workload and should be reflected in your team's capacity planning. Do not assume the Commercial answer applies — </w:t>
      </w:r>
      <w:r>
        <w:rPr>
          <w:b/>
        </w:rPr>
        <w:t>verify for GCC High</w:t>
      </w:r>
      <w:r>
        <w:t xml:space="preserve"> before publishing your local matrix.</w:t>
      </w:r>
    </w:p>
    <w:p>
      <w:r>
        <w:t>__________________________________________________</w:t>
      </w:r>
    </w:p>
    <w:p>
      <w:pPr>
        <w:pStyle w:val="Heading2"/>
      </w:pPr>
      <w:r>
        <w:t>Step 4 — The packaging specification (naming, versioning, metadata, documentation)</w:t>
      </w:r>
    </w:p>
    <w:p>
      <w:r>
        <w:t>This is the specification proper. Every package must satisfy all four sub-sections.</w:t>
      </w:r>
    </w:p>
    <w:p>
      <w:pPr>
        <w:pStyle w:val="Heading3"/>
      </w:pPr>
      <w:r>
        <w:t>4a. Naming convention — applications</w:t>
      </w:r>
    </w:p>
    <w:p>
      <w:r>
        <w:rPr>
          <w:b/>
        </w:rPr>
        <w:t>Format:</w:t>
      </w:r>
      <w:r>
        <w:t xml:space="preserve"> </w:t>
      </w:r>
      <w:r>
        <w:rPr>
          <w:rFonts w:ascii="Consolas" w:hAnsi="Consolas"/>
          <w:sz w:val="19"/>
        </w:rPr>
        <w:t>&lt;Publisher&gt; &lt;Product&gt; – &lt;Format&gt; – v&lt;Version&gt;</w:t>
      </w:r>
    </w:p>
    <w:p>
      <w:pPr>
        <w:pStyle w:val="ListBullet"/>
      </w:pPr>
      <w:r>
        <w:rPr>
          <w:rFonts w:ascii="Consolas" w:hAnsi="Consolas"/>
          <w:sz w:val="19"/>
        </w:rPr>
        <w:t>&lt;Publisher&gt;</w:t>
      </w:r>
      <w:r>
        <w:t xml:space="preserve"> — the legal vendor name as the vendor writes it, e.g. </w:t>
      </w:r>
      <w:r>
        <w:rPr>
          <w:rFonts w:ascii="Consolas" w:hAnsi="Consolas"/>
          <w:sz w:val="19"/>
        </w:rPr>
        <w:t>Acme Software Ltd.</w:t>
      </w:r>
    </w:p>
    <w:p>
      <w:pPr>
        <w:pStyle w:val="ListBullet"/>
      </w:pPr>
      <w:r>
        <w:rPr>
          <w:rFonts w:ascii="Consolas" w:hAnsi="Consolas"/>
          <w:sz w:val="19"/>
        </w:rPr>
        <w:t>&lt;Product&gt;</w:t>
      </w:r>
      <w:r>
        <w:t xml:space="preserve"> — the product name without marketing suffixes, e.g. </w:t>
      </w:r>
      <w:r>
        <w:rPr>
          <w:rFonts w:ascii="Consolas" w:hAnsi="Consolas"/>
          <w:sz w:val="19"/>
        </w:rPr>
        <w:t>Acme Invoice Client</w:t>
      </w:r>
    </w:p>
    <w:p>
      <w:pPr>
        <w:pStyle w:val="ListBullet"/>
      </w:pPr>
      <w:r>
        <w:rPr>
          <w:rFonts w:ascii="Consolas" w:hAnsi="Consolas"/>
          <w:sz w:val="19"/>
        </w:rPr>
        <w:t>&lt;Format&gt;</w:t>
      </w:r>
      <w:r>
        <w:t xml:space="preserve"> — exactly one of </w:t>
      </w:r>
      <w:r>
        <w:rPr>
          <w:rFonts w:ascii="Consolas" w:hAnsi="Consolas"/>
          <w:sz w:val="19"/>
        </w:rPr>
        <w:t>Win32</w:t>
      </w:r>
      <w:r>
        <w:t xml:space="preserve">, </w:t>
      </w:r>
      <w:r>
        <w:rPr>
          <w:rFonts w:ascii="Consolas" w:hAnsi="Consolas"/>
          <w:sz w:val="19"/>
        </w:rPr>
        <w:t>MSIX</w:t>
      </w:r>
      <w:r>
        <w:t xml:space="preserve">, </w:t>
      </w:r>
      <w:r>
        <w:rPr>
          <w:rFonts w:ascii="Consolas" w:hAnsi="Consolas"/>
          <w:sz w:val="19"/>
        </w:rPr>
        <w:t>Store</w:t>
      </w:r>
    </w:p>
    <w:p>
      <w:pPr>
        <w:pStyle w:val="ListBullet"/>
      </w:pPr>
      <w:r>
        <w:rPr>
          <w:rFonts w:ascii="Consolas" w:hAnsi="Consolas"/>
          <w:sz w:val="19"/>
        </w:rPr>
        <w:t>v&lt;Version&gt;</w:t>
      </w:r>
      <w:r>
        <w:t xml:space="preserve"> — the vendor's own version string, prefixed </w:t>
      </w:r>
      <w:r>
        <w:rPr>
          <w:rFonts w:ascii="Consolas" w:hAnsi="Consolas"/>
          <w:sz w:val="19"/>
        </w:rPr>
        <w:t>v</w:t>
      </w:r>
      <w:r>
        <w:t xml:space="preserve">, e.g. </w:t>
      </w:r>
      <w:r>
        <w:rPr>
          <w:rFonts w:ascii="Consolas" w:hAnsi="Consolas"/>
          <w:sz w:val="19"/>
        </w:rPr>
        <w:t>v7.3.1</w:t>
      </w:r>
    </w:p>
    <w:p>
      <w:r>
        <w:rPr>
          <w:b/>
        </w:rPr>
        <w:t>Worked example:</w:t>
      </w:r>
      <w:r>
        <w:t xml:space="preserve"> </w:t>
      </w:r>
      <w:r>
        <w:rPr>
          <w:rFonts w:ascii="Consolas" w:hAnsi="Consolas"/>
          <w:sz w:val="19"/>
        </w:rPr>
        <w:t>Acme Software Ltd. Acme Invoice Client – Win32 – v7.3.1</w:t>
      </w:r>
    </w:p>
    <w:p>
      <w:r>
        <w:t>Rules:</w:t>
      </w:r>
    </w:p>
    <w:p>
      <w:pPr>
        <w:pStyle w:val="ListBullet"/>
      </w:pPr>
      <w:r>
        <w:t xml:space="preserve">Use an </w:t>
      </w:r>
      <w:r>
        <w:rPr>
          <w:b/>
        </w:rPr>
        <w:t>en dash surrounded by single spaces</w:t>
      </w:r>
      <w:r>
        <w:t xml:space="preserve"> (</w:t>
      </w:r>
      <w:r>
        <w:rPr>
          <w:rFonts w:ascii="Consolas" w:hAnsi="Consolas"/>
          <w:sz w:val="19"/>
        </w:rPr>
        <w:t xml:space="preserve"> – </w:t>
      </w:r>
      <w:r>
        <w:t>) as the separator, consistently. The audit</w:t>
      </w:r>
    </w:p>
    <w:p>
      <w:r>
        <w:t xml:space="preserve">  script matches on this.</w:t>
      </w:r>
    </w:p>
    <w:p>
      <w:pPr>
        <w:pStyle w:val="ListBullet"/>
      </w:pPr>
      <w:r>
        <w:rPr>
          <w:b/>
        </w:rPr>
        <w:t>No</w:t>
      </w:r>
      <w:r>
        <w:t xml:space="preserve"> dates, ticket numbers, initials, or the words </w:t>
      </w:r>
      <w:r>
        <w:rPr>
          <w:rFonts w:ascii="Consolas" w:hAnsi="Consolas"/>
          <w:sz w:val="19"/>
        </w:rPr>
        <w:t>Test</w:t>
      </w:r>
      <w:r>
        <w:t xml:space="preserve">, </w:t>
      </w:r>
      <w:r>
        <w:rPr>
          <w:rFonts w:ascii="Consolas" w:hAnsi="Consolas"/>
          <w:sz w:val="19"/>
        </w:rPr>
        <w:t>New</w:t>
      </w:r>
      <w:r>
        <w:t xml:space="preserve">, </w:t>
      </w:r>
      <w:r>
        <w:rPr>
          <w:rFonts w:ascii="Consolas" w:hAnsi="Consolas"/>
          <w:sz w:val="19"/>
        </w:rPr>
        <w:t>Copy</w:t>
      </w:r>
      <w:r>
        <w:t xml:space="preserve">, </w:t>
      </w:r>
      <w:r>
        <w:rPr>
          <w:rFonts w:ascii="Consolas" w:hAnsi="Consolas"/>
          <w:sz w:val="19"/>
        </w:rPr>
        <w:t>Final</w:t>
      </w:r>
      <w:r>
        <w:t xml:space="preserve">, </w:t>
      </w:r>
      <w:r>
        <w:rPr>
          <w:rFonts w:ascii="Consolas" w:hAnsi="Consolas"/>
          <w:sz w:val="19"/>
        </w:rPr>
        <w:t>DO NOT USE</w:t>
      </w:r>
      <w:r>
        <w:t>,</w:t>
      </w:r>
    </w:p>
    <w:p>
      <w:r>
        <w:t xml:space="preserve">  </w:t>
      </w:r>
      <w:r>
        <w:rPr>
          <w:rFonts w:ascii="Consolas" w:hAnsi="Consolas"/>
          <w:sz w:val="19"/>
        </w:rPr>
        <w:t>TEMP</w:t>
      </w:r>
      <w:r>
        <w:t xml:space="preserve">, or </w:t>
      </w:r>
      <w:r>
        <w:rPr>
          <w:rFonts w:ascii="Consolas" w:hAnsi="Consolas"/>
          <w:sz w:val="19"/>
        </w:rPr>
        <w:t>v2 (real)</w:t>
      </w:r>
      <w:r>
        <w:t xml:space="preserve"> in a production app name. If a package is a trial, it lives in Ring 0 only   and is deleted, not renamed.</w:t>
      </w:r>
    </w:p>
    <w:p>
      <w:pPr>
        <w:pStyle w:val="ListBullet"/>
      </w:pPr>
      <w:r>
        <w:t xml:space="preserve">Never reuse an app object for a new version. A new version is a </w:t>
      </w:r>
      <w:r>
        <w:rPr>
          <w:b/>
        </w:rPr>
        <w:t>new app object</w:t>
      </w:r>
      <w:r>
        <w:t xml:space="preserve"> with a new</w:t>
      </w:r>
    </w:p>
    <w:p>
      <w:r>
        <w:t xml:space="preserve">  version in the name, superseding the old one.</w:t>
      </w:r>
    </w:p>
    <w:p>
      <w:pPr>
        <w:pStyle w:val="Heading3"/>
      </w:pPr>
      <w:r>
        <w:t>4b. Naming convention — assignment groups and scope tags</w:t>
      </w:r>
    </w:p>
    <w:p>
      <w:r>
        <w:rPr>
          <w:b/>
        </w:rPr>
        <w:t>Format:</w:t>
      </w:r>
      <w:r>
        <w:t xml:space="preserve"> </w:t>
      </w:r>
      <w:r>
        <w:rPr>
          <w:rFonts w:ascii="Consolas" w:hAnsi="Consolas"/>
          <w:sz w:val="19"/>
        </w:rPr>
        <w:t>APP – &lt;Purpose&gt; – &lt;Stage&gt;</w:t>
      </w:r>
      <w:r>
        <w:t xml:space="preserve"> for rings and app-specific groups; </w:t>
      </w:r>
      <w:r>
        <w:rPr>
          <w:rFonts w:ascii="Consolas" w:hAnsi="Consolas"/>
          <w:sz w:val="19"/>
        </w:rPr>
        <w:t>ROLE – &lt;Function&gt;</w:t>
      </w:r>
      <w:r>
        <w:t xml:space="preserve"> for people; </w:t>
      </w:r>
      <w:r>
        <w:rPr>
          <w:rFonts w:ascii="Consolas" w:hAnsi="Consolas"/>
          <w:sz w:val="19"/>
        </w:rPr>
        <w:t>SCOPE – &lt;Function&gt;</w:t>
      </w:r>
      <w:r>
        <w:t xml:space="preserve"> for scope tags.</w:t>
      </w:r>
    </w:p>
    <w:p>
      <w:pPr>
        <w:pStyle w:val="ListBullet"/>
      </w:pPr>
      <w:r>
        <w:t xml:space="preserve">Ring groups: </w:t>
      </w:r>
      <w:r>
        <w:rPr>
          <w:rFonts w:ascii="Consolas" w:hAnsi="Consolas"/>
          <w:sz w:val="19"/>
        </w:rPr>
        <w:t>APP – Ring 0 Packaging Lab</w:t>
      </w:r>
      <w:r>
        <w:t xml:space="preserve">, </w:t>
      </w:r>
      <w:r>
        <w:rPr>
          <w:rFonts w:ascii="Consolas" w:hAnsi="Consolas"/>
          <w:sz w:val="19"/>
        </w:rPr>
        <w:t>APP – Ring 1 Pilot Devices</w:t>
      </w:r>
      <w:r>
        <w:t xml:space="preserve">, </w:t>
      </w:r>
      <w:r>
        <w:rPr>
          <w:rFonts w:ascii="Consolas" w:hAnsi="Consolas"/>
          <w:sz w:val="19"/>
        </w:rPr>
        <w:t>APP – Ring 2 Broad Devices</w:t>
      </w:r>
    </w:p>
    <w:p>
      <w:pPr>
        <w:pStyle w:val="ListBullet"/>
      </w:pPr>
      <w:r>
        <w:t xml:space="preserve">Exclusions: </w:t>
      </w:r>
      <w:r>
        <w:rPr>
          <w:rFonts w:ascii="Consolas" w:hAnsi="Consolas"/>
          <w:sz w:val="19"/>
        </w:rPr>
        <w:t>APP – Exclusions – Do Not Deploy</w:t>
      </w:r>
    </w:p>
    <w:p>
      <w:pPr>
        <w:pStyle w:val="ListBullet"/>
      </w:pPr>
      <w:r>
        <w:t>App-specific targeting group (when an app is not fleet-wide):</w:t>
      </w:r>
    </w:p>
    <w:p>
      <w:r>
        <w:t xml:space="preserve">  </w:t>
      </w:r>
      <w:r>
        <w:rPr>
          <w:rFonts w:ascii="Consolas" w:hAnsi="Consolas"/>
          <w:sz w:val="19"/>
        </w:rPr>
        <w:t>APP – &lt;Product&gt; – Licensed Users</w:t>
      </w:r>
      <w:r>
        <w:t xml:space="preserve"> — worked example: </w:t>
      </w:r>
      <w:r>
        <w:rPr>
          <w:rFonts w:ascii="Consolas" w:hAnsi="Consolas"/>
          <w:sz w:val="19"/>
        </w:rPr>
        <w:t>APP – Acme Invoice Client – Licensed Users</w:t>
      </w:r>
    </w:p>
    <w:p>
      <w:pPr>
        <w:pStyle w:val="ListBullet"/>
      </w:pPr>
      <w:r>
        <w:t xml:space="preserve">Never target an app at a group whose name does not begin </w:t>
      </w:r>
      <w:r>
        <w:rPr>
          <w:rFonts w:ascii="Consolas" w:hAnsi="Consolas"/>
          <w:sz w:val="19"/>
        </w:rPr>
        <w:t xml:space="preserve">APP – </w:t>
      </w:r>
      <w:r>
        <w:t>. If you find yourself assigning</w:t>
      </w:r>
    </w:p>
    <w:p>
      <w:r>
        <w:t xml:space="preserve">  to </w:t>
      </w:r>
      <w:r>
        <w:rPr>
          <w:rFonts w:ascii="Consolas" w:hAnsi="Consolas"/>
          <w:sz w:val="19"/>
        </w:rPr>
        <w:t>Finance Team (old)</w:t>
      </w:r>
      <w:r>
        <w:t xml:space="preserve">, create a purpose-named </w:t>
      </w:r>
      <w:r>
        <w:rPr>
          <w:rFonts w:ascii="Consolas" w:hAnsi="Consolas"/>
          <w:sz w:val="19"/>
        </w:rPr>
        <w:t xml:space="preserve">APP – </w:t>
      </w:r>
      <w:r>
        <w:t xml:space="preserve"> group instead.</w:t>
      </w:r>
    </w:p>
    <w:p>
      <w:pPr>
        <w:pStyle w:val="Heading3"/>
      </w:pPr>
      <w:r>
        <w:t>4c. Version stamping</w:t>
      </w:r>
    </w:p>
    <w:p>
      <w:r>
        <w:t xml:space="preserve">Every package carries its version in </w:t>
      </w:r>
      <w:r>
        <w:rPr>
          <w:b/>
        </w:rPr>
        <w:t>three</w:t>
      </w:r>
      <w:r>
        <w:t xml:space="preserve"> places, and all three must agree:</w:t>
      </w:r>
    </w:p>
    <w:p>
      <w:pPr>
        <w:pStyle w:val="ListNumber"/>
      </w:pPr>
      <w:r>
        <w:t xml:space="preserve">The </w:t>
      </w:r>
      <w:r>
        <w:rPr>
          <w:b/>
        </w:rPr>
        <w:t>app name</w:t>
      </w:r>
      <w:r>
        <w:t xml:space="preserve"> — </w:t>
      </w:r>
      <w:r>
        <w:rPr>
          <w:rFonts w:ascii="Consolas" w:hAnsi="Consolas"/>
          <w:sz w:val="19"/>
        </w:rPr>
        <w:t>… – v7.3.1</w:t>
      </w:r>
      <w:r>
        <w:t xml:space="preserve"> (§4a).</w:t>
      </w:r>
    </w:p>
    <w:p>
      <w:pPr>
        <w:pStyle w:val="ListNumber"/>
      </w:pPr>
      <w:r>
        <w:t xml:space="preserve">The </w:t>
      </w:r>
      <w:r>
        <w:rPr>
          <w:b/>
        </w:rPr>
        <w:t>detection rule</w:t>
      </w:r>
      <w:r>
        <w:t xml:space="preserve"> — the rule must assert the version, not merely the presence of the app</w:t>
      </w:r>
    </w:p>
    <w:p>
      <w:r>
        <w:t xml:space="preserve">   (Step 5). For the worked example: MSI product code plus a product-version check of </w:t>
      </w:r>
      <w:r>
        <w:rPr>
          <w:rFonts w:ascii="Consolas" w:hAnsi="Consolas"/>
          <w:sz w:val="19"/>
        </w:rPr>
        <w:t>7.3.1</w:t>
      </w:r>
      <w:r>
        <w:t xml:space="preserve">, or a    file-version rule of </w:t>
      </w:r>
      <w:r>
        <w:rPr>
          <w:rFonts w:ascii="Consolas" w:hAnsi="Consolas"/>
          <w:sz w:val="19"/>
        </w:rPr>
        <w:t>&gt;= 7.3.1</w:t>
      </w:r>
      <w:r>
        <w:t>.</w:t>
      </w:r>
    </w:p>
    <w:p>
      <w:pPr>
        <w:pStyle w:val="ListNumber"/>
      </w:pPr>
      <w:r>
        <w:t xml:space="preserve">The </w:t>
      </w:r>
      <w:r>
        <w:rPr>
          <w:b/>
        </w:rPr>
        <w:t>evidence folder</w:t>
      </w:r>
      <w:r>
        <w:t xml:space="preserve"> — </w:t>
      </w:r>
      <w:r>
        <w:rPr>
          <w:rFonts w:ascii="Consolas" w:hAnsi="Consolas"/>
          <w:sz w:val="19"/>
        </w:rPr>
        <w:t>Application Package Records\Acme Software Ltd Acme Invoice Client\7.3.1\</w:t>
      </w:r>
      <w:r>
        <w:t>.</w:t>
      </w:r>
    </w:p>
    <w:p>
      <w:r>
        <w:t xml:space="preserve">A version mismatch between name and detection rule is a </w:t>
      </w:r>
      <w:r>
        <w:rPr>
          <w:b/>
        </w:rPr>
        <w:t>hard fail</w:t>
      </w:r>
      <w:r>
        <w:t xml:space="preserve"> of the acceptance checklist. It is the single most common cause of an app that reports Installed while the fleet is on an old build.</w:t>
      </w:r>
    </w:p>
    <w:p>
      <w:pPr>
        <w:pStyle w:val="Heading3"/>
      </w:pPr>
      <w:r>
        <w:t>4d. Publisher, category, description, and owner metadata</w:t>
      </w:r>
    </w:p>
    <w:p>
      <w:r>
        <w:t>Every app object must have all four populated before release. These are the fields the audit script (</w:t>
      </w:r>
      <w:r>
        <w:rPr>
          <w:rFonts w:ascii="Consolas" w:hAnsi="Consolas"/>
          <w:sz w:val="19"/>
        </w:rPr>
        <w:t>APPSTD-Get-PackageMetadataCompleteness.ps1</w:t>
      </w:r>
      <w:r>
        <w:t>) scores.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Rule</w:t>
            </w:r>
          </w:p>
        </w:tc>
        <w:tc>
          <w:tcPr>
            <w:tcW w:type="dxa" w:w="2880"/>
          </w:tcPr>
          <w:p>
            <w:r>
              <w:rPr>
                <w:b/>
              </w:rPr>
              <w:t>Worked example</w:t>
            </w:r>
          </w:p>
        </w:tc>
      </w:tr>
      <w:tr>
        <w:tc>
          <w:tcPr>
            <w:tcW w:type="dxa" w:w="2880"/>
          </w:tcPr>
          <w:p>
            <w:r>
              <w:rPr>
                <w:b/>
              </w:rPr>
              <w:t>Publisher</w:t>
            </w:r>
          </w:p>
        </w:tc>
        <w:tc>
          <w:tcPr>
            <w:tcW w:type="dxa" w:w="2880"/>
          </w:tcPr>
          <w:p>
            <w:r>
              <w:t xml:space="preserve">The legal vendor name, identical to the </w:t>
            </w:r>
            <w:r>
              <w:rPr>
                <w:rFonts w:ascii="Consolas" w:hAnsi="Consolas"/>
                <w:sz w:val="19"/>
              </w:rPr>
              <w:t>&lt;Publisher&gt;</w:t>
            </w:r>
            <w:r>
              <w:t xml:space="preserve"> token in the app name. Never blank, never "IT", never your own company.</w:t>
            </w:r>
          </w:p>
        </w:tc>
        <w:tc>
          <w:tcPr>
            <w:tcW w:type="dxa" w:w="2880"/>
          </w:tcPr>
          <w:p>
            <w:r>
              <w:rPr>
                <w:rFonts w:ascii="Consolas" w:hAnsi="Consolas"/>
                <w:sz w:val="19"/>
              </w:rPr>
              <w:t>Acme Software Ltd.</w:t>
            </w:r>
          </w:p>
        </w:tc>
      </w:tr>
      <w:tr>
        <w:tc>
          <w:tcPr>
            <w:tcW w:type="dxa" w:w="2880"/>
          </w:tcPr>
          <w:p>
            <w:r>
              <w:rPr>
                <w:b/>
              </w:rPr>
              <w:t>Category</w:t>
            </w:r>
          </w:p>
        </w:tc>
        <w:tc>
          <w:tcPr>
            <w:tcW w:type="dxa" w:w="2880"/>
          </w:tcPr>
          <w:p>
            <w:r>
              <w:t>Exactly one of the six agreed categories (Step 2e). Never blank.</w:t>
            </w:r>
          </w:p>
        </w:tc>
        <w:tc>
          <w:tcPr>
            <w:tcW w:type="dxa" w:w="2880"/>
          </w:tcPr>
          <w:p>
            <w:r>
              <w:rPr>
                <w:rFonts w:ascii="Consolas" w:hAnsi="Consolas"/>
                <w:sz w:val="19"/>
              </w:rPr>
              <w:t>Business – Finance</w:t>
            </w:r>
          </w:p>
        </w:tc>
      </w:tr>
      <w:tr>
        <w:tc>
          <w:tcPr>
            <w:tcW w:type="dxa" w:w="2880"/>
          </w:tcPr>
          <w:p>
            <w:r>
              <w:rPr>
                <w:b/>
              </w:rPr>
              <w:t>Description</w:t>
            </w:r>
          </w:p>
        </w:tc>
        <w:tc>
          <w:tcPr>
            <w:tcW w:type="dxa" w:w="2880"/>
          </w:tcPr>
          <w:p>
            <w:r>
              <w:t>Three mandatory lines, in this order (see below).</w:t>
            </w:r>
          </w:p>
        </w:tc>
        <w:tc>
          <w:tcPr>
            <w:tcW w:type="dxa" w:w="2880"/>
          </w:tcPr>
          <w:p>
            <w:r>
              <w:t>*(see below)*</w:t>
            </w:r>
          </w:p>
        </w:tc>
      </w:tr>
      <w:tr>
        <w:tc>
          <w:tcPr>
            <w:tcW w:type="dxa" w:w="2880"/>
          </w:tcPr>
          <w:p>
            <w:r>
              <w:rPr>
                <w:b/>
              </w:rPr>
              <w:t>Owner</w:t>
            </w:r>
          </w:p>
        </w:tc>
        <w:tc>
          <w:tcPr>
            <w:tcW w:type="dxa" w:w="2880"/>
          </w:tcPr>
          <w:p>
            <w:r>
              <w:t xml:space="preserve">The business owner's name and department — Intune's </w:t>
            </w:r>
            <w:r>
              <w:rPr>
                <w:b/>
              </w:rPr>
              <w:t>Owner</w:t>
            </w:r>
            <w:r>
              <w:t xml:space="preserve"> field on the app. Never a person who has left.</w:t>
            </w:r>
          </w:p>
        </w:tc>
        <w:tc>
          <w:tcPr>
            <w:tcW w:type="dxa" w:w="2880"/>
          </w:tcPr>
          <w:p>
            <w:r>
              <w:rPr>
                <w:rFonts w:ascii="Consolas" w:hAnsi="Consolas"/>
                <w:sz w:val="19"/>
              </w:rPr>
              <w:t>M. Reyes, Finance</w:t>
            </w:r>
          </w:p>
        </w:tc>
      </w:tr>
    </w:tbl>
    <w:p>
      <w:r>
        <w:t xml:space="preserve">The </w:t>
      </w:r>
      <w:r>
        <w:rPr>
          <w:b/>
        </w:rPr>
        <w:t>Description</w:t>
      </w:r>
      <w:r>
        <w:t xml:space="preserve"> field must contain exactly these three lines, in this order:</w:t>
      </w:r>
    </w:p>
    <w:p>
      <w:r>
        <w:rPr>
          <w:rFonts w:ascii="Consolas" w:hAnsi="Consolas"/>
          <w:sz w:val="18"/>
        </w:rPr>
        <w:t>Business purpose: Submits and approves supplier invoices for the Finance and AP teams.</w:t>
        <w:br/>
        <w:t>Business owner: M. Reyes, Finance.</w:t>
        <w:br/>
        <w:t>Package record: Application Package Records &gt; Acme Software Ltd Acme Invoice Client &gt; 7.3.1</w:t>
      </w:r>
    </w:p>
    <w:p>
      <w:r>
        <w:t xml:space="preserve">Also set </w:t>
      </w:r>
      <w:r>
        <w:rPr>
          <w:b/>
        </w:rPr>
        <w:t>Developer</w:t>
      </w:r>
      <w:r>
        <w:t xml:space="preserve"> to the packager's name and </w:t>
      </w:r>
      <w:r>
        <w:rPr>
          <w:b/>
        </w:rPr>
        <w:t>Information URL</w:t>
      </w:r>
      <w:r>
        <w:t xml:space="preserve"> to the vendor's product page. Set </w:t>
      </w:r>
      <w:r>
        <w:rPr>
          <w:b/>
        </w:rPr>
        <w:t>Show this as a featured app in the Company Portal</w:t>
      </w:r>
      <w:r>
        <w:t xml:space="preserve"> only for apps the business has asked to promote — it is not a default.</w:t>
      </w:r>
    </w:p>
    <w:p>
      <w:r>
        <w:t>__________________________________________________</w:t>
      </w:r>
    </w:p>
    <w:p>
      <w:pPr>
        <w:pStyle w:val="Heading2"/>
      </w:pPr>
      <w:r>
        <w:t>Step 5 — Detection-rule standards</w:t>
      </w:r>
    </w:p>
    <w:p>
      <w:r>
        <w:t xml:space="preserve">A detection rule is the tenant's only source of truth about whether an app is installed. A weak rule does not "mostly work"; it silently corrupts every install report you will ever run. These rules apply to </w:t>
      </w:r>
      <w:r>
        <w:rPr>
          <w:b/>
        </w:rPr>
        <w:t>Win32</w:t>
      </w:r>
      <w:r>
        <w:t xml:space="preserve"> packages (Store and MSIX apps are detected by the platform and have no rule to author).</w:t>
      </w:r>
    </w:p>
    <w:p>
      <w:pPr>
        <w:pStyle w:val="Heading3"/>
      </w:pPr>
      <w:r>
        <w:t>5a. What makes a detection rule acceptable</w:t>
      </w:r>
    </w:p>
    <w:p>
      <w:r>
        <w:t xml:space="preserve">A rule is acceptable if it satisfies </w:t>
      </w:r>
      <w:r>
        <w:rPr>
          <w:b/>
        </w:rPr>
        <w:t>all five</w:t>
      </w:r>
      <w:r>
        <w:t xml:space="preserve"> tests. The reviewer checks each one at sign-off.</w:t>
      </w:r>
    </w:p>
    <w:p>
      <w:pPr>
        <w:pStyle w:val="ListNumber"/>
      </w:pPr>
      <w:r>
        <w:rPr>
          <w:b/>
        </w:rPr>
        <w:t>Deterministic</w:t>
      </w:r>
      <w:r>
        <w:t xml:space="preserve"> — it returns the same answer on the same machine state every time. No time</w:t>
      </w:r>
    </w:p>
    <w:p>
      <w:r>
        <w:t xml:space="preserve">   dependency, no network dependency, no dependency on a user being logged in.</w:t>
      </w:r>
    </w:p>
    <w:p>
      <w:pPr>
        <w:pStyle w:val="ListNumber"/>
      </w:pPr>
      <w:r>
        <w:rPr>
          <w:b/>
        </w:rPr>
        <w:t>Specific to this app</w:t>
      </w:r>
      <w:r>
        <w:t xml:space="preserve"> — it cannot be satisfied by a different application, a different vendor's</w:t>
      </w:r>
    </w:p>
    <w:p>
      <w:r>
        <w:t xml:space="preserve">   file, or a shared runtime.</w:t>
      </w:r>
    </w:p>
    <w:p>
      <w:pPr>
        <w:pStyle w:val="ListNumber"/>
      </w:pPr>
      <w:r>
        <w:rPr>
          <w:b/>
        </w:rPr>
        <w:t>Version-asserting</w:t>
      </w:r>
      <w:r>
        <w:t xml:space="preserve"> — it distinguishes v7.3.1 from v7.3.0. Presence-only rules are permitted</w:t>
      </w:r>
    </w:p>
    <w:p>
      <w:r>
        <w:t xml:space="preserve">   </w:t>
      </w:r>
      <w:r>
        <w:rPr>
          <w:b/>
        </w:rPr>
        <w:t>only</w:t>
      </w:r>
      <w:r>
        <w:t xml:space="preserve"> for apps with no meaningful version (see the exception below) and must be justified on the    intake form.</w:t>
      </w:r>
    </w:p>
    <w:p>
      <w:pPr>
        <w:pStyle w:val="ListNumber"/>
      </w:pPr>
      <w:r>
        <w:rPr>
          <w:b/>
        </w:rPr>
        <w:t>Written by the installer, not by you</w:t>
      </w:r>
      <w:r>
        <w:t xml:space="preserve"> — the artefact checked must be something the vendor's</w:t>
      </w:r>
    </w:p>
    <w:p>
      <w:r>
        <w:t xml:space="preserve">   installer creates. A registry key your own wrapper script writes is a marker, not detection, and    fails if the wrapper succeeds while the install does not.</w:t>
      </w:r>
    </w:p>
    <w:p>
      <w:pPr>
        <w:pStyle w:val="ListNumber"/>
      </w:pPr>
      <w:r>
        <w:rPr>
          <w:b/>
        </w:rPr>
        <w:t>Verified on a clean machine and on an upgrade</w:t>
      </w:r>
      <w:r>
        <w:t xml:space="preserve"> — proven to return *not installed* on a clean</w:t>
      </w:r>
    </w:p>
    <w:p>
      <w:r>
        <w:t xml:space="preserve">   Ring 0 VM before install, *installed* after install, and *not installed* when the previous version    is present.</w:t>
      </w:r>
    </w:p>
    <w:p>
      <w:pPr>
        <w:pStyle w:val="Heading3"/>
      </w:pPr>
      <w:r>
        <w:t>5b. The permitted rule types, in order of preference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Preference</w:t>
            </w:r>
          </w:p>
        </w:tc>
        <w:tc>
          <w:tcPr>
            <w:tcW w:type="dxa" w:w="2160"/>
          </w:tcPr>
          <w:p>
            <w:r>
              <w:rPr>
                <w:b/>
              </w:rPr>
              <w:t>Rule type</w:t>
            </w:r>
          </w:p>
        </w:tc>
        <w:tc>
          <w:tcPr>
            <w:tcW w:type="dxa" w:w="2160"/>
          </w:tcPr>
          <w:p>
            <w:r>
              <w:rPr>
                <w:b/>
              </w:rPr>
              <w:t>Use when</w:t>
            </w:r>
          </w:p>
        </w:tc>
        <w:tc>
          <w:tcPr>
            <w:tcW w:type="dxa" w:w="2160"/>
          </w:tcPr>
          <w:p>
            <w:r>
              <w:rPr>
                <w:b/>
              </w:rPr>
              <w:t>Worked example</w:t>
            </w:r>
          </w:p>
        </w:tc>
      </w:tr>
      <w:tr>
        <w:tc>
          <w:tcPr>
            <w:tcW w:type="dxa" w:w="2160"/>
          </w:tcPr>
          <w:p>
            <w:r>
              <w:rPr>
                <w:b/>
              </w:rPr>
              <w:t>1 (best)</w:t>
            </w:r>
          </w:p>
        </w:tc>
        <w:tc>
          <w:tcPr>
            <w:tcW w:type="dxa" w:w="2160"/>
          </w:tcPr>
          <w:p>
            <w:r>
              <w:rPr>
                <w:b/>
              </w:rPr>
              <w:t>MSI product code</w:t>
            </w:r>
            <w:r>
              <w:t xml:space="preserve"> + product version</w:t>
            </w:r>
          </w:p>
        </w:tc>
        <w:tc>
          <w:tcPr>
            <w:tcW w:type="dxa" w:w="2160"/>
          </w:tcPr>
          <w:p>
            <w:r>
              <w:t>The installer is an MSI</w:t>
            </w:r>
          </w:p>
        </w:tc>
        <w:tc>
          <w:tcPr>
            <w:tcW w:type="dxa" w:w="2160"/>
          </w:tcPr>
          <w:p>
            <w:r>
              <w:t xml:space="preserve">Product code </w:t>
            </w:r>
            <w:r>
              <w:rPr>
                <w:rFonts w:ascii="Consolas" w:hAnsi="Consolas"/>
                <w:sz w:val="19"/>
              </w:rPr>
              <w:t>{A1B2C3D4-…}</w:t>
            </w:r>
            <w:r>
              <w:t xml:space="preserve">, version check </w:t>
            </w:r>
            <w:r>
              <w:rPr>
                <w:b/>
              </w:rPr>
              <w:t>equals</w:t>
            </w:r>
            <w:r>
              <w:t xml:space="preserve"> </w:t>
            </w:r>
            <w:r>
              <w:rPr>
                <w:rFonts w:ascii="Consolas" w:hAnsi="Consolas"/>
                <w:sz w:val="19"/>
              </w:rPr>
              <w:t>7.3.1</w:t>
            </w:r>
          </w:p>
        </w:tc>
      </w:tr>
      <w:tr>
        <w:tc>
          <w:tcPr>
            <w:tcW w:type="dxa" w:w="2160"/>
          </w:tcPr>
          <w:p>
            <w:r>
              <w:rPr>
                <w:b/>
              </w:rPr>
              <w:t>2</w:t>
            </w:r>
          </w:p>
        </w:tc>
        <w:tc>
          <w:tcPr>
            <w:tcW w:type="dxa" w:w="2160"/>
          </w:tcPr>
          <w:p>
            <w:r>
              <w:rPr>
                <w:b/>
              </w:rPr>
              <w:t>File</w:t>
            </w:r>
            <w:r>
              <w:t xml:space="preserve"> — path + filename, method </w:t>
            </w:r>
            <w:r>
              <w:rPr>
                <w:b/>
              </w:rPr>
              <w:t>Version</w:t>
            </w:r>
            <w:r>
              <w:t xml:space="preserve">, operator </w:t>
            </w:r>
            <w:r>
              <w:rPr>
                <w:b/>
              </w:rPr>
              <w:t>greater than or equal to</w:t>
            </w:r>
          </w:p>
        </w:tc>
        <w:tc>
          <w:tcPr>
            <w:tcW w:type="dxa" w:w="2160"/>
          </w:tcPr>
          <w:p>
            <w:r>
              <w:t>EXE installers with a versioned binary</w:t>
            </w:r>
          </w:p>
        </w:tc>
        <w:tc>
          <w:tcPr>
            <w:tcW w:type="dxa" w:w="2160"/>
          </w:tcPr>
          <w:p>
            <w:r>
              <w:rPr>
                <w:rFonts w:ascii="Consolas" w:hAnsi="Consolas"/>
                <w:sz w:val="19"/>
              </w:rPr>
              <w:t>C:\Program Files\Acme\Invoice Client\</w:t>
            </w:r>
            <w:r>
              <w:t xml:space="preserve">, </w:t>
            </w:r>
            <w:r>
              <w:rPr>
                <w:rFonts w:ascii="Consolas" w:hAnsi="Consolas"/>
                <w:sz w:val="19"/>
              </w:rPr>
              <w:t>AcmeInvoice.exe</w:t>
            </w:r>
            <w:r>
              <w:t xml:space="preserve">, version </w:t>
            </w:r>
            <w:r>
              <w:rPr>
                <w:rFonts w:ascii="Consolas" w:hAnsi="Consolas"/>
                <w:sz w:val="19"/>
              </w:rPr>
              <w:t>&gt;= 7.3.1</w:t>
            </w:r>
          </w:p>
        </w:tc>
      </w:tr>
      <w:tr>
        <w:tc>
          <w:tcPr>
            <w:tcW w:type="dxa" w:w="2160"/>
          </w:tcPr>
          <w:p>
            <w:r>
              <w:rPr>
                <w:b/>
              </w:rPr>
              <w:t>3</w:t>
            </w:r>
          </w:p>
        </w:tc>
        <w:tc>
          <w:tcPr>
            <w:tcW w:type="dxa" w:w="2160"/>
          </w:tcPr>
          <w:p>
            <w:r>
              <w:rPr>
                <w:b/>
              </w:rPr>
              <w:t>Registry</w:t>
            </w:r>
            <w:r>
              <w:t xml:space="preserve"> — the vendor's own uninstall key, method </w:t>
            </w:r>
            <w:r>
              <w:rPr>
                <w:b/>
              </w:rPr>
              <w:t>String comparison</w:t>
            </w:r>
            <w:r>
              <w:t xml:space="preserve"> on </w:t>
            </w:r>
            <w:r>
              <w:rPr>
                <w:rFonts w:ascii="Consolas" w:hAnsi="Consolas"/>
                <w:sz w:val="19"/>
              </w:rPr>
              <w:t>DisplayVersion</w:t>
            </w:r>
          </w:p>
        </w:tc>
        <w:tc>
          <w:tcPr>
            <w:tcW w:type="dxa" w:w="2160"/>
          </w:tcPr>
          <w:p>
            <w:r>
              <w:t>No reliable versioned file</w:t>
            </w:r>
          </w:p>
        </w:tc>
        <w:tc>
          <w:tcPr>
            <w:tcW w:type="dxa" w:w="2160"/>
          </w:tcPr>
          <w:p>
            <w:r>
              <w:rPr>
                <w:rFonts w:ascii="Consolas" w:hAnsi="Consolas"/>
                <w:sz w:val="19"/>
              </w:rPr>
              <w:t>HKLM:\SOFTWARE\Microsoft\Windows\CurrentVersion\Uninstall\{A1B2C3D4-…}</w:t>
            </w:r>
            <w:r>
              <w:t xml:space="preserve">, value </w:t>
            </w:r>
            <w:r>
              <w:rPr>
                <w:rFonts w:ascii="Consolas" w:hAnsi="Consolas"/>
                <w:sz w:val="19"/>
              </w:rPr>
              <w:t>DisplayVersion</w:t>
            </w:r>
            <w:r>
              <w:t xml:space="preserve">, </w:t>
            </w:r>
            <w:r>
              <w:rPr>
                <w:b/>
              </w:rPr>
              <w:t>equals</w:t>
            </w:r>
            <w:r>
              <w:t xml:space="preserve"> </w:t>
            </w:r>
            <w:r>
              <w:rPr>
                <w:rFonts w:ascii="Consolas" w:hAnsi="Consolas"/>
                <w:sz w:val="19"/>
              </w:rPr>
              <w:t>7.3.1</w:t>
            </w:r>
          </w:p>
        </w:tc>
      </w:tr>
      <w:tr>
        <w:tc>
          <w:tcPr>
            <w:tcW w:type="dxa" w:w="2160"/>
          </w:tcPr>
          <w:p>
            <w:r>
              <w:rPr>
                <w:b/>
              </w:rPr>
              <w:t>4 (last resort)</w:t>
            </w:r>
          </w:p>
        </w:tc>
        <w:tc>
          <w:tcPr>
            <w:tcW w:type="dxa" w:w="2160"/>
          </w:tcPr>
          <w:p>
            <w:r>
              <w:rPr>
                <w:b/>
              </w:rPr>
              <w:t>Custom detection script</w:t>
            </w:r>
          </w:p>
        </w:tc>
        <w:tc>
          <w:tcPr>
            <w:tcW w:type="dxa" w:w="2160"/>
          </w:tcPr>
          <w:p>
            <w:r>
              <w:t>Nothing above can express the truth</w:t>
            </w:r>
          </w:p>
        </w:tc>
        <w:tc>
          <w:tcPr>
            <w:tcW w:type="dxa" w:w="2160"/>
          </w:tcPr>
          <w:p>
            <w:r>
              <w:t xml:space="preserve">Must be ≤ 40 lines, exit </w:t>
            </w:r>
            <w:r>
              <w:rPr>
                <w:rFonts w:ascii="Consolas" w:hAnsi="Consolas"/>
                <w:sz w:val="19"/>
              </w:rPr>
              <w:t>0</w:t>
            </w:r>
            <w:r>
              <w:t xml:space="preserve"> with STDOUT on detect, exit </w:t>
            </w:r>
            <w:r>
              <w:rPr>
                <w:rFonts w:ascii="Consolas" w:hAnsi="Consolas"/>
                <w:sz w:val="19"/>
              </w:rPr>
              <w:t>0</w:t>
            </w:r>
            <w:r>
              <w:t xml:space="preserve"> with no output on not-detected</w:t>
            </w:r>
          </w:p>
        </w:tc>
      </w:tr>
    </w:tbl>
    <w:p>
      <w:r>
        <w:rPr>
          <w:b/>
        </w:rPr>
        <w:t>Exception — presence-only detection.</w:t>
      </w:r>
      <w:r>
        <w:t xml:space="preserve"> Permitted only when the app genuinely has no version to assert (a certificate, a font pack, a configuration payload). Must be recorded on the intake form as *"Presence-only detection, justified: &lt;reason&gt;"* and countersigned at review.</w:t>
      </w:r>
    </w:p>
    <w:p>
      <w:pPr>
        <w:pStyle w:val="Heading3"/>
      </w:pPr>
      <w:r>
        <w:t>5c. Banned detection patterns — automatic rejection</w:t>
      </w:r>
    </w:p>
    <w:p>
      <w:r>
        <w:t xml:space="preserve">A package matching any of these is rejected at review. </w:t>
      </w:r>
      <w:r>
        <w:rPr>
          <w:rFonts w:ascii="Consolas" w:hAnsi="Consolas"/>
          <w:sz w:val="19"/>
        </w:rPr>
        <w:t>APPSTD-Test-DetectionRuleQuality.ps1</w:t>
      </w:r>
      <w:r>
        <w:t xml:space="preserve"> flags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Banned pattern</w:t>
            </w:r>
          </w:p>
        </w:tc>
        <w:tc>
          <w:tcPr>
            <w:tcW w:type="dxa" w:w="2880"/>
          </w:tcPr>
          <w:p>
            <w:r>
              <w:rPr>
                <w:b/>
              </w:rPr>
              <w:t>Why it is banned</w:t>
            </w:r>
          </w:p>
        </w:tc>
      </w:tr>
      <w:tr>
        <w:tc>
          <w:tcPr>
            <w:tcW w:type="dxa" w:w="2880"/>
          </w:tcPr>
          <w:p>
            <w:r>
              <w:t>B1</w:t>
            </w:r>
          </w:p>
        </w:tc>
        <w:tc>
          <w:tcPr>
            <w:tcW w:type="dxa" w:w="2880"/>
          </w:tcPr>
          <w:p>
            <w:r>
              <w:rPr>
                <w:b/>
              </w:rPr>
              <w:t>File-exists with no version check</w:t>
            </w:r>
            <w:r>
              <w:t xml:space="preserve"> on a versioned app</w:t>
            </w:r>
          </w:p>
        </w:tc>
        <w:tc>
          <w:tcPr>
            <w:tcW w:type="dxa" w:w="2880"/>
          </w:tcPr>
          <w:p>
            <w:r>
              <w:t>Reports v7.3.0 as v7.3.1; the fleet never upgrades and the report says everything is fine</w:t>
            </w:r>
          </w:p>
        </w:tc>
      </w:tr>
      <w:tr>
        <w:tc>
          <w:tcPr>
            <w:tcW w:type="dxa" w:w="2880"/>
          </w:tcPr>
          <w:p>
            <w:r>
              <w:t>B2</w:t>
            </w:r>
          </w:p>
        </w:tc>
        <w:tc>
          <w:tcPr>
            <w:tcW w:type="dxa" w:w="2880"/>
          </w:tcPr>
          <w:p>
            <w:r>
              <w:rPr>
                <w:b/>
              </w:rPr>
              <w:t>Detecting a folder</w:t>
            </w:r>
            <w:r>
              <w:t xml:space="preserve"> rather than a file</w:t>
            </w:r>
          </w:p>
        </w:tc>
        <w:tc>
          <w:tcPr>
            <w:tcW w:type="dxa" w:w="2880"/>
          </w:tcPr>
          <w:p>
            <w:r>
              <w:t>Uninstallers routinely leave the folder behind → permanent false "installed"</w:t>
            </w:r>
          </w:p>
        </w:tc>
      </w:tr>
      <w:tr>
        <w:tc>
          <w:tcPr>
            <w:tcW w:type="dxa" w:w="2880"/>
          </w:tcPr>
          <w:p>
            <w:r>
              <w:t>B3</w:t>
            </w:r>
          </w:p>
        </w:tc>
        <w:tc>
          <w:tcPr>
            <w:tcW w:type="dxa" w:w="2880"/>
          </w:tcPr>
          <w:p>
            <w:r>
              <w:rPr>
                <w:b/>
              </w:rPr>
              <w:t>Detecting the installer source</w:t>
            </w:r>
            <w:r>
              <w:t xml:space="preserve"> (e.g. the </w:t>
            </w:r>
            <w:r>
              <w:rPr>
                <w:rFonts w:ascii="Consolas" w:hAnsi="Consolas"/>
                <w:sz w:val="19"/>
              </w:rPr>
              <w:t>.msi</w:t>
            </w:r>
            <w:r>
              <w:t xml:space="preserve"> in a cache path)</w:t>
            </w:r>
          </w:p>
        </w:tc>
        <w:tc>
          <w:tcPr>
            <w:tcW w:type="dxa" w:w="2880"/>
          </w:tcPr>
          <w:p>
            <w:r>
              <w:t>Proves you copied a file, not that the app installed</w:t>
            </w:r>
          </w:p>
        </w:tc>
      </w:tr>
      <w:tr>
        <w:tc>
          <w:tcPr>
            <w:tcW w:type="dxa" w:w="2880"/>
          </w:tcPr>
          <w:p>
            <w:r>
              <w:t>B4</w:t>
            </w:r>
          </w:p>
        </w:tc>
        <w:tc>
          <w:tcPr>
            <w:tcW w:type="dxa" w:w="2880"/>
          </w:tcPr>
          <w:p>
            <w:r>
              <w:rPr>
                <w:b/>
              </w:rPr>
              <w:t>A registry key your own wrapper writes</w:t>
            </w:r>
          </w:p>
        </w:tc>
        <w:tc>
          <w:tcPr>
            <w:tcW w:type="dxa" w:w="2880"/>
          </w:tcPr>
          <w:p>
            <w:r>
              <w:t>Decouples detection from reality; the wrapper can succeed when the install fails</w:t>
            </w:r>
          </w:p>
        </w:tc>
      </w:tr>
      <w:tr>
        <w:tc>
          <w:tcPr>
            <w:tcW w:type="dxa" w:w="2880"/>
          </w:tcPr>
          <w:p>
            <w:r>
              <w:t>B5</w:t>
            </w:r>
          </w:p>
        </w:tc>
        <w:tc>
          <w:tcPr>
            <w:tcW w:type="dxa" w:w="2880"/>
          </w:tcPr>
          <w:p>
            <w:r>
              <w:rPr>
                <w:b/>
              </w:rPr>
              <w:t>A shared runtime or shared DLL</w:t>
            </w:r>
            <w:r>
              <w:t xml:space="preserve"> (e.g. </w:t>
            </w:r>
            <w:r>
              <w:rPr>
                <w:rFonts w:ascii="Consolas" w:hAnsi="Consolas"/>
                <w:sz w:val="19"/>
              </w:rPr>
              <w:t>vcruntime140.dll</w:t>
            </w:r>
            <w:r>
              <w:t>)</w:t>
            </w:r>
          </w:p>
        </w:tc>
        <w:tc>
          <w:tcPr>
            <w:tcW w:type="dxa" w:w="2880"/>
          </w:tcPr>
          <w:p>
            <w:r>
              <w:t>Satisfied by any of a dozen other apps</w:t>
            </w:r>
          </w:p>
        </w:tc>
      </w:tr>
      <w:tr>
        <w:tc>
          <w:tcPr>
            <w:tcW w:type="dxa" w:w="2880"/>
          </w:tcPr>
          <w:p>
            <w:r>
              <w:t>B6</w:t>
            </w:r>
          </w:p>
        </w:tc>
        <w:tc>
          <w:tcPr>
            <w:tcW w:type="dxa" w:w="2880"/>
          </w:tcPr>
          <w:p>
            <w:r>
              <w:rPr>
                <w:b/>
              </w:rPr>
              <w:t>Detection on a per-user path (`HKCU`, `%AppData%`) for a system-context install</w:t>
            </w:r>
          </w:p>
        </w:tc>
        <w:tc>
          <w:tcPr>
            <w:tcW w:type="dxa" w:w="2880"/>
          </w:tcPr>
          <w:p>
            <w:r>
              <w:t>Evaluated in SYSTEM context, so it checks the wrong hive/profile and never matches</w:t>
            </w:r>
          </w:p>
        </w:tc>
      </w:tr>
      <w:tr>
        <w:tc>
          <w:tcPr>
            <w:tcW w:type="dxa" w:w="2880"/>
          </w:tcPr>
          <w:p>
            <w:r>
              <w:t>B7</w:t>
            </w:r>
          </w:p>
        </w:tc>
        <w:tc>
          <w:tcPr>
            <w:tcW w:type="dxa" w:w="2880"/>
          </w:tcPr>
          <w:p>
            <w:r>
              <w:rPr>
                <w:b/>
              </w:rPr>
              <w:t>More than one rule type combined without a documented reason</w:t>
            </w:r>
          </w:p>
        </w:tc>
        <w:tc>
          <w:tcPr>
            <w:tcW w:type="dxa" w:w="2880"/>
          </w:tcPr>
          <w:p>
            <w:r>
              <w:t>Ambiguous failure; nobody can tell which clause failed. One authoritative rule per app</w:t>
            </w:r>
          </w:p>
        </w:tc>
      </w:tr>
      <w:tr>
        <w:tc>
          <w:tcPr>
            <w:tcW w:type="dxa" w:w="2880"/>
          </w:tcPr>
          <w:p>
            <w:r>
              <w:t>B8</w:t>
            </w:r>
          </w:p>
        </w:tc>
        <w:tc>
          <w:tcPr>
            <w:tcW w:type="dxa" w:w="2880"/>
          </w:tcPr>
          <w:p>
            <w:r>
              <w:rPr>
                <w:b/>
              </w:rPr>
              <w:t>A detection script that writes, installs, repairs, or restarts anything</w:t>
            </w:r>
          </w:p>
        </w:tc>
        <w:tc>
          <w:tcPr>
            <w:tcW w:type="dxa" w:w="2880"/>
          </w:tcPr>
          <w:p>
            <w:r>
              <w:t>Detection must observe, never act. Runs on every evaluation cycle</w:t>
            </w:r>
          </w:p>
        </w:tc>
      </w:tr>
      <w:tr>
        <w:tc>
          <w:tcPr>
            <w:tcW w:type="dxa" w:w="2880"/>
          </w:tcPr>
          <w:p>
            <w:r>
              <w:t>B9</w:t>
            </w:r>
          </w:p>
        </w:tc>
        <w:tc>
          <w:tcPr>
            <w:tcW w:type="dxa" w:w="2880"/>
          </w:tcPr>
          <w:p>
            <w:r>
              <w:rPr>
                <w:b/>
              </w:rPr>
              <w:t>A detection script with no explicit exit path</w:t>
            </w:r>
            <w:r>
              <w:t xml:space="preserve"> or that relies on </w:t>
            </w:r>
            <w:r>
              <w:rPr>
                <w:rFonts w:ascii="Consolas" w:hAnsi="Consolas"/>
                <w:sz w:val="19"/>
              </w:rPr>
              <w:t>Write-Host</w:t>
            </w:r>
          </w:p>
        </w:tc>
        <w:tc>
          <w:tcPr>
            <w:tcW w:type="dxa" w:w="2880"/>
          </w:tcPr>
          <w:p>
            <w:r>
              <w:t xml:space="preserve">The IME reads STDOUT and the exit code; </w:t>
            </w:r>
            <w:r>
              <w:rPr>
                <w:rFonts w:ascii="Consolas" w:hAnsi="Consolas"/>
                <w:sz w:val="19"/>
              </w:rPr>
              <w:t>Write-Host</w:t>
            </w:r>
            <w:r>
              <w:t xml:space="preserve"> does not reach STDOUT</w:t>
            </w:r>
          </w:p>
        </w:tc>
      </w:tr>
      <w:tr>
        <w:tc>
          <w:tcPr>
            <w:tcW w:type="dxa" w:w="2880"/>
          </w:tcPr>
          <w:p>
            <w:r>
              <w:t>B10</w:t>
            </w:r>
          </w:p>
        </w:tc>
        <w:tc>
          <w:tcPr>
            <w:tcW w:type="dxa" w:w="2880"/>
          </w:tcPr>
          <w:p>
            <w:r>
              <w:rPr>
                <w:rFonts w:ascii="Consolas" w:hAnsi="Consolas"/>
                <w:sz w:val="19"/>
              </w:rPr>
              <w:t>Get-CimInstance Win32_Product</w:t>
            </w:r>
            <w:r>
              <w:t xml:space="preserve"> in a detection script</w:t>
            </w:r>
          </w:p>
        </w:tc>
        <w:tc>
          <w:tcPr>
            <w:tcW w:type="dxa" w:w="2880"/>
          </w:tcPr>
          <w:p>
            <w:r>
              <w:t>Triggers an MSI self-repair consistency check on every call; slow and destructive at scale</w:t>
            </w:r>
          </w:p>
        </w:tc>
      </w:tr>
    </w:tbl>
    <w:p>
      <w:pPr>
        <w:pStyle w:val="Heading3"/>
      </w:pPr>
      <w:r>
        <w:t>5d. Detection rule review evidence</w:t>
      </w:r>
    </w:p>
    <w:p>
      <w:r>
        <w:t>The reviewer records, on the acceptance checklist, the rule type, the exact value, and the three observed results (clean = not detected, post-install = detected, prior-version = not detected).</w:t>
      </w:r>
    </w:p>
    <w:p>
      <w:r>
        <w:t>__________________________________________________</w:t>
      </w:r>
    </w:p>
    <w:p>
      <w:pPr>
        <w:pStyle w:val="Heading2"/>
      </w:pPr>
      <w:r>
        <w:t>Step 6 — Install / uninstall command, return-code, and reboot standards</w:t>
      </w:r>
    </w:p>
    <w:p>
      <w:pPr>
        <w:pStyle w:val="Heading3"/>
      </w:pPr>
      <w:r>
        <w:t>6a. Install and uninstall command standard</w:t>
      </w:r>
    </w:p>
    <w:p>
      <w:r>
        <w:t>Applies to Win32 packages. Every rule is checkable by reading the command line.</w:t>
      </w:r>
    </w:p>
    <w:p>
      <w:pPr>
        <w:pStyle w:val="ListNumber"/>
      </w:pPr>
      <w:r>
        <w:rPr>
          <w:b/>
        </w:rPr>
        <w:t>Fully silent, no user interaction.</w:t>
      </w:r>
      <w:r>
        <w:t xml:space="preserve"> MSI: </w:t>
      </w:r>
      <w:r>
        <w:rPr>
          <w:rFonts w:ascii="Consolas" w:hAnsi="Consolas"/>
          <w:sz w:val="19"/>
        </w:rPr>
        <w:t>/qn</w:t>
      </w:r>
      <w:r>
        <w:t>. EXE: the vendor's documented silent switch —</w:t>
      </w:r>
    </w:p>
    <w:p>
      <w:r>
        <w:t xml:space="preserve">   found in the vendor's deployment guide, never guessed from a forum post.</w:t>
      </w:r>
    </w:p>
    <w:p>
      <w:pPr>
        <w:pStyle w:val="ListNumber"/>
      </w:pPr>
      <w:r>
        <w:rPr>
          <w:b/>
        </w:rPr>
        <w:t>Explicitly suppress the installer's own reboot.</w:t>
      </w:r>
      <w:r>
        <w:t xml:space="preserve"> MSI: </w:t>
      </w:r>
      <w:r>
        <w:rPr>
          <w:rFonts w:ascii="Consolas" w:hAnsi="Consolas"/>
          <w:sz w:val="19"/>
        </w:rPr>
        <w:t>/norestart</w:t>
      </w:r>
      <w:r>
        <w:t>. EXE: the vendor's</w:t>
      </w:r>
    </w:p>
    <w:p>
      <w:r>
        <w:t xml:space="preserve">   equivalent. Reboots are decided by the reboot standard (§6c), not by the vendor's installer.</w:t>
      </w:r>
    </w:p>
    <w:p>
      <w:pPr>
        <w:pStyle w:val="ListNumber"/>
      </w:pPr>
      <w:r>
        <w:rPr>
          <w:b/>
        </w:rPr>
        <w:t>Quote every path containing a space</w:t>
      </w:r>
      <w:r>
        <w:t>, and use paths relative to the package root. Never</w:t>
      </w:r>
    </w:p>
    <w:p>
      <w:r>
        <w:t xml:space="preserve">   hard-code a path under </w:t>
      </w:r>
      <w:r>
        <w:rPr>
          <w:rFonts w:ascii="Consolas" w:hAnsi="Consolas"/>
          <w:sz w:val="19"/>
        </w:rPr>
        <w:t>C:\Users\</w:t>
      </w:r>
      <w:r>
        <w:t xml:space="preserve"> or a mapped drive letter.</w:t>
      </w:r>
    </w:p>
    <w:p>
      <w:pPr>
        <w:pStyle w:val="ListNumber"/>
      </w:pPr>
      <w:r>
        <w:rPr>
          <w:b/>
        </w:rPr>
        <w:t>Log to a fixed location.</w:t>
      </w:r>
      <w:r>
        <w:t xml:space="preserve"> MSI: append </w:t>
      </w:r>
      <w:r>
        <w:rPr>
          <w:rFonts w:ascii="Consolas" w:hAnsi="Consolas"/>
          <w:sz w:val="19"/>
        </w:rPr>
        <w:t>/l*v "%ProgramData%\PackageLogs\&lt;Product&gt;-install.log"</w:t>
      </w:r>
      <w:r>
        <w:t>.</w:t>
      </w:r>
    </w:p>
    <w:p>
      <w:r>
        <w:t xml:space="preserve">   Create </w:t>
      </w:r>
      <w:r>
        <w:rPr>
          <w:rFonts w:ascii="Consolas" w:hAnsi="Consolas"/>
          <w:sz w:val="19"/>
        </w:rPr>
        <w:t>C:\ProgramData\PackageLogs\</w:t>
      </w:r>
      <w:r>
        <w:t xml:space="preserve"> as part of your build standard. Without a log, triage is    guesswork.</w:t>
      </w:r>
    </w:p>
    <w:p>
      <w:pPr>
        <w:pStyle w:val="ListNumber"/>
      </w:pPr>
      <w:r>
        <w:rPr>
          <w:b/>
        </w:rPr>
        <w:t>Provide a real uninstall command.</w:t>
      </w:r>
      <w:r>
        <w:t xml:space="preserve"> MSI: </w:t>
      </w:r>
      <w:r>
        <w:rPr>
          <w:rFonts w:ascii="Consolas" w:hAnsi="Consolas"/>
          <w:sz w:val="19"/>
        </w:rPr>
        <w:t>msiexec /x {PRODUCT-GUID} /qn /norestart</w:t>
      </w:r>
      <w:r>
        <w:t>. EXE: the</w:t>
      </w:r>
    </w:p>
    <w:p>
      <w:r>
        <w:t xml:space="preserve">   vendor's uninstall string, taken from the uninstall registry key after a test install. An    uninstall command of </w:t>
      </w:r>
      <w:r>
        <w:rPr>
          <w:rFonts w:ascii="Consolas" w:hAnsi="Consolas"/>
          <w:sz w:val="19"/>
        </w:rPr>
        <w:t>cmd /c exit 0</w:t>
      </w:r>
      <w:r>
        <w:t xml:space="preserve"> is a </w:t>
      </w:r>
      <w:r>
        <w:rPr>
          <w:b/>
        </w:rPr>
        <w:t>hard fail</w:t>
      </w:r>
      <w:r>
        <w:t xml:space="preserve"> — it makes Uninstall assignments and    supersedence silently lie.</w:t>
      </w:r>
    </w:p>
    <w:p>
      <w:pPr>
        <w:pStyle w:val="ListNumber"/>
      </w:pPr>
      <w:r>
        <w:rPr>
          <w:b/>
        </w:rPr>
        <w:t>Test both commands on a clean Ring 0 VM</w:t>
      </w:r>
      <w:r>
        <w:t xml:space="preserve"> and record the observed exit code on the checklist.</w:t>
      </w:r>
    </w:p>
    <w:p>
      <w:r>
        <w:rPr>
          <w:b/>
        </w:rPr>
        <w:t>Worked example — `Acme Invoice Client` 7.3.1:</w:t>
      </w:r>
    </w:p>
    <w:p>
      <w:r>
        <w:rPr>
          <w:rFonts w:ascii="Consolas" w:hAnsi="Consolas"/>
          <w:sz w:val="18"/>
        </w:rPr>
        <w:t>Install:    msiexec /i "AcmeInvoiceClient.msi" /qn /norestart /l*v "%ProgramData%\PackageLogs\AcmeInvoiceClient-install.log"</w:t>
        <w:br/>
        <w:t>Uninstall:  msiexec /x {A1B2C3D4-1111-2222-3333-444455556666} /qn /norestart /l*v "%ProgramData%\PackageLogs\AcmeInvoiceClient-uninstall.log"</w:t>
      </w:r>
    </w:p>
    <w:p>
      <w:pPr>
        <w:pStyle w:val="Heading3"/>
      </w:pPr>
      <w:r>
        <w:t>6b. Return-code standard</w:t>
      </w:r>
    </w:p>
    <w:p>
      <w:r>
        <w:t xml:space="preserve">Every Win32 app must declare its return codes explicitly on the </w:t>
      </w:r>
      <w:r>
        <w:rPr>
          <w:b/>
        </w:rPr>
        <w:t>Program</w:t>
      </w:r>
      <w:r>
        <w:t xml:space="preserve"> tab. The defaults are the starting point, not the finished job.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Code</w:t>
            </w:r>
          </w:p>
        </w:tc>
        <w:tc>
          <w:tcPr>
            <w:tcW w:type="dxa" w:w="2880"/>
          </w:tcPr>
          <w:p>
            <w:r>
              <w:rPr>
                <w:b/>
              </w:rPr>
              <w:t>Mapping</w:t>
            </w:r>
          </w:p>
        </w:tc>
        <w:tc>
          <w:tcPr>
            <w:tcW w:type="dxa" w:w="2880"/>
          </w:tcPr>
          <w:p>
            <w:r>
              <w:rPr>
                <w:b/>
              </w:rPr>
              <w:t>Rule</w:t>
            </w:r>
          </w:p>
        </w:tc>
      </w:tr>
      <w:tr>
        <w:tc>
          <w:tcPr>
            <w:tcW w:type="dxa" w:w="2880"/>
          </w:tcPr>
          <w:p>
            <w:r>
              <w:rPr>
                <w:rFonts w:ascii="Consolas" w:hAnsi="Consolas"/>
                <w:sz w:val="19"/>
              </w:rPr>
              <w:t>0</w:t>
            </w:r>
          </w:p>
        </w:tc>
        <w:tc>
          <w:tcPr>
            <w:tcW w:type="dxa" w:w="2880"/>
          </w:tcPr>
          <w:p>
            <w:r>
              <w:rPr>
                <w:b/>
              </w:rPr>
              <w:t>Success</w:t>
            </w:r>
          </w:p>
        </w:tc>
        <w:tc>
          <w:tcPr>
            <w:tcW w:type="dxa" w:w="2880"/>
          </w:tcPr>
          <w:p>
            <w:r>
              <w:t>Always present</w:t>
            </w:r>
          </w:p>
        </w:tc>
      </w:tr>
      <w:tr>
        <w:tc>
          <w:tcPr>
            <w:tcW w:type="dxa" w:w="2880"/>
          </w:tcPr>
          <w:p>
            <w:r>
              <w:rPr>
                <w:rFonts w:ascii="Consolas" w:hAnsi="Consolas"/>
                <w:sz w:val="19"/>
              </w:rPr>
              <w:t>1707</w:t>
            </w:r>
          </w:p>
        </w:tc>
        <w:tc>
          <w:tcPr>
            <w:tcW w:type="dxa" w:w="2880"/>
          </w:tcPr>
          <w:p>
            <w:r>
              <w:rPr>
                <w:b/>
              </w:rPr>
              <w:t>Success</w:t>
            </w:r>
          </w:p>
        </w:tc>
        <w:tc>
          <w:tcPr>
            <w:tcW w:type="dxa" w:w="2880"/>
          </w:tcPr>
          <w:p>
            <w:r>
              <w:t>Always present (MSI success variant)</w:t>
            </w:r>
          </w:p>
        </w:tc>
      </w:tr>
      <w:tr>
        <w:tc>
          <w:tcPr>
            <w:tcW w:type="dxa" w:w="2880"/>
          </w:tcPr>
          <w:p>
            <w:r>
              <w:rPr>
                <w:rFonts w:ascii="Consolas" w:hAnsi="Consolas"/>
                <w:sz w:val="19"/>
              </w:rPr>
              <w:t>3010</w:t>
            </w:r>
          </w:p>
        </w:tc>
        <w:tc>
          <w:tcPr>
            <w:tcW w:type="dxa" w:w="2880"/>
          </w:tcPr>
          <w:p>
            <w:r>
              <w:rPr>
                <w:b/>
              </w:rPr>
              <w:t>Soft reboot</w:t>
            </w:r>
          </w:p>
        </w:tc>
        <w:tc>
          <w:tcPr>
            <w:tcW w:type="dxa" w:w="2880"/>
          </w:tcPr>
          <w:p>
            <w:r>
              <w:t>Always present. Never map to Success — that hides a pending reboot</w:t>
            </w:r>
          </w:p>
        </w:tc>
      </w:tr>
      <w:tr>
        <w:tc>
          <w:tcPr>
            <w:tcW w:type="dxa" w:w="2880"/>
          </w:tcPr>
          <w:p>
            <w:r>
              <w:rPr>
                <w:rFonts w:ascii="Consolas" w:hAnsi="Consolas"/>
                <w:sz w:val="19"/>
              </w:rPr>
              <w:t>1641</w:t>
            </w:r>
          </w:p>
        </w:tc>
        <w:tc>
          <w:tcPr>
            <w:tcW w:type="dxa" w:w="2880"/>
          </w:tcPr>
          <w:p>
            <w:r>
              <w:rPr>
                <w:b/>
              </w:rPr>
              <w:t>Hard reboot</w:t>
            </w:r>
          </w:p>
        </w:tc>
        <w:tc>
          <w:tcPr>
            <w:tcW w:type="dxa" w:w="2880"/>
          </w:tcPr>
          <w:p>
            <w:r>
              <w:t>Always present</w:t>
            </w:r>
          </w:p>
        </w:tc>
      </w:tr>
      <w:tr>
        <w:tc>
          <w:tcPr>
            <w:tcW w:type="dxa" w:w="2880"/>
          </w:tcPr>
          <w:p>
            <w:r>
              <w:rPr>
                <w:rFonts w:ascii="Consolas" w:hAnsi="Consolas"/>
                <w:sz w:val="19"/>
              </w:rPr>
              <w:t>1618</w:t>
            </w:r>
          </w:p>
        </w:tc>
        <w:tc>
          <w:tcPr>
            <w:tcW w:type="dxa" w:w="2880"/>
          </w:tcPr>
          <w:p>
            <w:r>
              <w:rPr>
                <w:b/>
              </w:rPr>
              <w:t>Retry</w:t>
            </w:r>
          </w:p>
        </w:tc>
        <w:tc>
          <w:tcPr>
            <w:tcW w:type="dxa" w:w="2880"/>
          </w:tcPr>
          <w:p>
            <w:r>
              <w:t>Always present (another install in progress)</w:t>
            </w:r>
          </w:p>
        </w:tc>
      </w:tr>
      <w:tr>
        <w:tc>
          <w:tcPr>
            <w:tcW w:type="dxa" w:w="2880"/>
          </w:tcPr>
          <w:p>
            <w:r>
              <w:t>Vendor-specific</w:t>
            </w:r>
          </w:p>
        </w:tc>
        <w:tc>
          <w:tcPr>
            <w:tcW w:type="dxa" w:w="2880"/>
          </w:tcPr>
          <w:p>
            <w:r>
              <w:t>As documented</w:t>
            </w:r>
          </w:p>
        </w:tc>
        <w:tc>
          <w:tcPr>
            <w:tcW w:type="dxa" w:w="2880"/>
          </w:tcPr>
          <w:p>
            <w:r>
              <w:t xml:space="preserve">Added </w:t>
            </w:r>
            <w:r>
              <w:rPr>
                <w:b/>
              </w:rPr>
              <w:t>only</w:t>
            </w:r>
            <w:r>
              <w:t xml:space="preserve"> with a citation to the vendor's documentation, recorded on the intake form</w:t>
            </w:r>
          </w:p>
        </w:tc>
      </w:tr>
    </w:tbl>
    <w:p>
      <w:r>
        <w:rPr>
          <w:b/>
        </w:rPr>
        <w:t>Banned:</w:t>
      </w:r>
      <w:r>
        <w:t xml:space="preserve"> mapping a non-zero code to </w:t>
      </w:r>
      <w:r>
        <w:rPr>
          <w:b/>
        </w:rPr>
        <w:t>Success</w:t>
      </w:r>
      <w:r>
        <w:t xml:space="preserve"> to "make the report green". If an installer returns </w:t>
      </w:r>
      <w:r>
        <w:rPr>
          <w:rFonts w:ascii="Consolas" w:hAnsi="Consolas"/>
          <w:sz w:val="19"/>
        </w:rPr>
        <w:t>1603</w:t>
      </w:r>
      <w:r>
        <w:t xml:space="preserve"> and you map it to success, you have not fixed a deployment — you have deleted your only signal. This is a hard fail at review.</w:t>
      </w:r>
    </w:p>
    <w:p>
      <w:pPr>
        <w:pStyle w:val="Heading3"/>
      </w:pPr>
      <w:r>
        <w:t>6c. Reboot behaviour standard</w:t>
      </w:r>
    </w:p>
    <w:p>
      <w:r>
        <w:t xml:space="preserve">Set </w:t>
      </w:r>
      <w:r>
        <w:rPr>
          <w:b/>
        </w:rPr>
        <w:t>Device restart behavior</w:t>
      </w:r>
      <w:r>
        <w:t xml:space="preserve"> on the </w:t>
      </w:r>
      <w:r>
        <w:rPr>
          <w:b/>
        </w:rPr>
        <w:t>Program</w:t>
      </w:r>
      <w:r>
        <w:t xml:space="preserve"> tab according to this table. The default is </w:t>
      </w:r>
      <w:r>
        <w:rPr>
          <w:b/>
        </w:rPr>
        <w:t>No specific action</w:t>
      </w:r>
      <w:r>
        <w:t>; anything else needs a reason on the intake 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Setting</w:t>
            </w:r>
          </w:p>
        </w:tc>
        <w:tc>
          <w:tcPr>
            <w:tcW w:type="dxa" w:w="2880"/>
          </w:tcPr>
          <w:p>
            <w:r>
              <w:rPr>
                <w:b/>
              </w:rPr>
              <w:t>When to use</w:t>
            </w:r>
          </w:p>
        </w:tc>
        <w:tc>
          <w:tcPr>
            <w:tcW w:type="dxa" w:w="2880"/>
          </w:tcPr>
          <w:p>
            <w:r>
              <w:rPr>
                <w:b/>
              </w:rPr>
              <w:t>Notes</w:t>
            </w:r>
          </w:p>
        </w:tc>
      </w:tr>
      <w:tr>
        <w:tc>
          <w:tcPr>
            <w:tcW w:type="dxa" w:w="2880"/>
          </w:tcPr>
          <w:p>
            <w:r>
              <w:rPr>
                <w:b/>
              </w:rPr>
              <w:t>No specific action</w:t>
            </w:r>
          </w:p>
        </w:tc>
        <w:tc>
          <w:tcPr>
            <w:tcW w:type="dxa" w:w="2880"/>
          </w:tcPr>
          <w:p>
            <w:r>
              <w:rPr>
                <w:b/>
              </w:rPr>
              <w:t>Default for all apps.</w:t>
            </w:r>
            <w:r>
              <w:t xml:space="preserve"> The </w:t>
            </w:r>
            <w:r>
              <w:rPr>
                <w:rFonts w:ascii="Consolas" w:hAnsi="Consolas"/>
                <w:sz w:val="19"/>
              </w:rPr>
              <w:t>/norestart</w:t>
            </w:r>
            <w:r>
              <w:t xml:space="preserve"> switch suppresses the vendor reboot; your update/reboot policy handles restarts.</w:t>
            </w:r>
          </w:p>
        </w:tc>
        <w:tc>
          <w:tcPr>
            <w:tcW w:type="dxa" w:w="2880"/>
          </w:tcPr>
          <w:p>
            <w:r>
              <w:t>Use unless there is a documented reason not to</w:t>
            </w:r>
          </w:p>
        </w:tc>
      </w:tr>
      <w:tr>
        <w:tc>
          <w:tcPr>
            <w:tcW w:type="dxa" w:w="2880"/>
          </w:tcPr>
          <w:p>
            <w:r>
              <w:rPr>
                <w:b/>
              </w:rPr>
              <w:t>App install may force a device restart</w:t>
            </w:r>
          </w:p>
        </w:tc>
        <w:tc>
          <w:tcPr>
            <w:tcW w:type="dxa" w:w="2880"/>
          </w:tcPr>
          <w:p>
            <w:r>
              <w:t>Only when the vendor's installer genuinely cannot be prevented from restarting</w:t>
            </w:r>
          </w:p>
        </w:tc>
        <w:tc>
          <w:tcPr>
            <w:tcW w:type="dxa" w:w="2880"/>
          </w:tcPr>
          <w:p>
            <w:r>
              <w:t>Requires a note on the intake form and pilot confirmation</w:t>
            </w:r>
          </w:p>
        </w:tc>
      </w:tr>
      <w:tr>
        <w:tc>
          <w:tcPr>
            <w:tcW w:type="dxa" w:w="2880"/>
          </w:tcPr>
          <w:p>
            <w:r>
              <w:rPr>
                <w:b/>
              </w:rPr>
              <w:t>Determine behavior based on return codes</w:t>
            </w:r>
          </w:p>
        </w:tc>
        <w:tc>
          <w:tcPr>
            <w:tcW w:type="dxa" w:w="2880"/>
          </w:tcPr>
          <w:p>
            <w:r>
              <w:t xml:space="preserve">When the vendor documents </w:t>
            </w:r>
            <w:r>
              <w:rPr>
                <w:rFonts w:ascii="Consolas" w:hAnsi="Consolas"/>
                <w:sz w:val="19"/>
              </w:rPr>
              <w:t>3010</w:t>
            </w:r>
            <w:r>
              <w:t>/</w:t>
            </w:r>
            <w:r>
              <w:rPr>
                <w:rFonts w:ascii="Consolas" w:hAnsi="Consolas"/>
                <w:sz w:val="19"/>
              </w:rPr>
              <w:t>1641</w:t>
            </w:r>
            <w:r>
              <w:t xml:space="preserve"> and you want Intune to honour them</w:t>
            </w:r>
          </w:p>
        </w:tc>
        <w:tc>
          <w:tcPr>
            <w:tcW w:type="dxa" w:w="2880"/>
          </w:tcPr>
          <w:p>
            <w:r>
              <w:t>The preferred choice for drivers, agents, and shell extensions</w:t>
            </w:r>
          </w:p>
        </w:tc>
      </w:tr>
      <w:tr>
        <w:tc>
          <w:tcPr>
            <w:tcW w:type="dxa" w:w="2880"/>
          </w:tcPr>
          <w:p>
            <w:r>
              <w:rPr>
                <w:b/>
              </w:rPr>
              <w:t>Intune will force a mandatory device restart</w:t>
            </w:r>
          </w:p>
        </w:tc>
        <w:tc>
          <w:tcPr>
            <w:tcW w:type="dxa" w:w="2880"/>
          </w:tcPr>
          <w:p>
            <w:r>
              <w:rPr>
                <w:b/>
              </w:rPr>
              <w:t>Banned for user-facing apps.</w:t>
            </w:r>
          </w:p>
        </w:tc>
        <w:tc>
          <w:tcPr>
            <w:tcW w:type="dxa" w:w="2880"/>
          </w:tcPr>
          <w:p>
            <w:r>
              <w:t>Permitted only for unattended Ring 0/kiosk devices with the owner's written agreement</w:t>
            </w:r>
          </w:p>
        </w:tc>
      </w:tr>
    </w:tbl>
    <w:p>
      <w:r>
        <w:t>Never schedule a Required assignment of a reboot-forcing app to land during business hours.</w:t>
      </w:r>
    </w:p>
    <w:p>
      <w:pPr>
        <w:pStyle w:val="Heading3"/>
      </w:pPr>
      <w:r>
        <w:t>6d. Install behaviour</w:t>
      </w:r>
    </w:p>
    <w:p>
      <w:r>
        <w:rPr>
          <w:b/>
        </w:rPr>
        <w:t>System</w:t>
      </w:r>
      <w:r>
        <w:t xml:space="preserve"> context is the default for line-of-business applications. </w:t>
      </w:r>
      <w:r>
        <w:rPr>
          <w:b/>
        </w:rPr>
        <w:t>User</w:t>
      </w:r>
      <w:r>
        <w:t xml:space="preserve"> context is used only when the vendor supports no system install, and it must be noted on the intake form — because per-user installs report per logged-on user and make fleet reporting materially harder.</w:t>
      </w:r>
    </w:p>
    <w:p>
      <w:r>
        <w:t>__________________________________________________</w:t>
      </w:r>
    </w:p>
    <w:p>
      <w:pPr>
        <w:pStyle w:val="Heading2"/>
      </w:pPr>
      <w:r>
        <w:t>Step 7 — The Package Intake &amp; Specification Template</w:t>
      </w:r>
    </w:p>
    <w:p>
      <w:r>
        <w:t xml:space="preserve">This is the reusable form the requester and packager complete </w:t>
      </w:r>
      <w:r>
        <w:rPr>
          <w:b/>
        </w:rPr>
        <w:t>per application, per version</w:t>
      </w:r>
      <w:r>
        <w:t xml:space="preserve">, before any packaging work begins. Copy it into </w:t>
      </w:r>
      <w:r>
        <w:rPr>
          <w:rFonts w:ascii="Consolas" w:hAnsi="Consolas"/>
          <w:sz w:val="19"/>
        </w:rPr>
        <w:t>Application Package Records\&lt;Vendor&gt; &lt;Product&gt;\&lt;Version&gt;\01-Intake.md</w:t>
      </w:r>
      <w:r>
        <w:t>.</w:t>
      </w:r>
    </w:p>
    <w:p>
      <w:r>
        <w:rPr>
          <w:rFonts w:ascii="Consolas" w:hAnsi="Consolas"/>
          <w:sz w:val="18"/>
        </w:rPr>
        <w:t>=========================================================================</w:t>
        <w:br/>
        <w:t>PACKAGE INTAKE &amp; SPECIFICATION</w:t>
        <w:br/>
        <w:t>=========================================================================</w:t>
        <w:br/>
        <w:t>SECTION A — REQUEST (completed by the requester)</w:t>
        <w:br/>
        <w:t xml:space="preserve">  A1  Application name (vendor's own)      : Acme Invoice Client</w:t>
        <w:br/>
        <w:t xml:space="preserve">  A2  Publisher (legal vendor name)        : Acme Software Ltd.</w:t>
        <w:br/>
        <w:t xml:space="preserve">  A3  Version requested                    : 7.3.1</w:t>
        <w:br/>
        <w:t xml:space="preserve">  A4  Business owner (name, department)    : M. Reyes, Finance</w:t>
        <w:br/>
        <w:t xml:space="preserve">  A5  Business purpose (one sentence)      : Submits and approves supplier invoices.</w:t>
        <w:br/>
        <w:t xml:space="preserve">  A6  Who needs it (group / headcount)     : Finance + Accounts Payable, ~85 users</w:t>
        <w:br/>
        <w:t xml:space="preserve">  A7  Licensed? Licence count / evidence   : Yes — 100 seats, PO #44190</w:t>
        <w:br/>
        <w:t xml:space="preserve">  A8  Required by (date) and why           : 2026-09-01, month-end close</w:t>
        <w:br/>
        <w:t xml:space="preserve">  A9  Replaces which existing app?         : Acme Invoice Client v7.2.4</w:t>
        <w:br/>
        <w:t xml:space="preserve">  A10 Data classification handled          : Confidential (supplier bank data)</w:t>
        <w:br/>
        <w:br/>
        <w:t>SECTION B — FORMAT DECISION (completed by the packager)</w:t>
        <w:br/>
        <w:t xml:space="preserve">  B1  In the Microsoft Store? (Q1)         : No</w:t>
        <w:br/>
        <w:t xml:space="preserve">  B2  Vendor MSIX available? (Q2)          : No</w:t>
        <w:br/>
        <w:t xml:space="preserve">  B3  Needs system context / custom logic? : Yes — system context + VC++ runtime</w:t>
        <w:br/>
        <w:t xml:space="preserve">  B4  FORMAT DECIDED                       : Win32</w:t>
        <w:br/>
        <w:t xml:space="preserve">  B5  Decision-tree question that decided  : Q3</w:t>
        <w:br/>
        <w:t xml:space="preserve">  B6  Decided by / date                    : J. Okafor / 2026-07-20</w:t>
        <w:br/>
        <w:br/>
        <w:t>SECTION C — PACKAGE SPECIFICATION (completed by the packager)</w:t>
        <w:br/>
        <w:t xml:space="preserve">  C1  Intune app name (per §4a)            : Acme Software Ltd. Acme Invoice Client – Win32 – v7.3.1</w:t>
        <w:br/>
        <w:t xml:space="preserve">  C2  Category (one of the six)            : Business – Finance</w:t>
        <w:br/>
        <w:t xml:space="preserve">  C3  Source installer + SHA-256           : AcmeInvoiceClient.msi / 9f2c...e10a</w:t>
        <w:br/>
        <w:t xml:space="preserve">  C4  Install command                      : msiexec /i "AcmeInvoiceClient.msi" /qn /norestart /l*v ...</w:t>
        <w:br/>
        <w:t xml:space="preserve">  C5  Uninstall command                    : msiexec /x {A1B2C3D4-...} /qn /norestart /l*v ...</w:t>
        <w:br/>
        <w:t xml:space="preserve">  C6  Install behaviour (System/User)      : System</w:t>
        <w:br/>
        <w:t xml:space="preserve">  C7  Detection rule type + exact value    : MSI product code {A1B2C3D4-...}, version equals 7.3.1</w:t>
        <w:br/>
        <w:t xml:space="preserve">  C8  Detection preference level (1-4)     : 1</w:t>
        <w:br/>
        <w:t xml:space="preserve">  C9  Presence-only? Justification         : No</w:t>
        <w:br/>
        <w:t xml:space="preserve">  C10 Requirement rules                    : 64-bit; minimum Windows 11 22H2</w:t>
        <w:br/>
        <w:t xml:space="preserve">  C11 Dependencies                         : VC++ Redistributable x64 – Win32 – Dependency</w:t>
        <w:br/>
        <w:t xml:space="preserve">  C12 Supersedes                           : Acme Software Ltd. Acme Invoice Client – Win32 – v7.2.4</w:t>
        <w:br/>
        <w:t xml:space="preserve">  C13 Uninstall previous version?          : Yes</w:t>
        <w:br/>
        <w:t xml:space="preserve">  C14 Return codes (non-default + source)  : None beyond standard set</w:t>
        <w:br/>
        <w:t xml:space="preserve">  C15 Reboot behaviour + reason            : No specific action (default)</w:t>
        <w:br/>
        <w:t xml:space="preserve">  C16 Known conflicts / caveats            : Conflicts with Acme Invoice Client 6.x — must be removed</w:t>
        <w:br/>
        <w:br/>
        <w:t>SECTION D — TARGETING</w:t>
        <w:br/>
        <w:t xml:space="preserve">  D1  Ring 0 group                         : APP – Ring 0 Packaging Lab</w:t>
        <w:br/>
        <w:t xml:space="preserve">  D2  Ring 1 group                         : APP – Ring 1 Pilot Devices</w:t>
        <w:br/>
        <w:t xml:space="preserve">  D3  Ring 2 group                         : APP – Acme Invoice Client – Licensed Users</w:t>
        <w:br/>
        <w:t xml:space="preserve">  D4  Exclusions applied                   : APP – Exclusions – Do Not Deploy</w:t>
        <w:br/>
        <w:t xml:space="preserve">  D5  Assignment intent (Required/Avail.)  : Required</w:t>
        <w:br/>
        <w:t>=========================================================================</w:t>
      </w:r>
    </w:p>
    <w:p>
      <w:r>
        <w:t>A package with an incomplete intake form is not reviewed. That is the point of the form.</w:t>
      </w:r>
    </w:p>
    <w:p>
      <w:r>
        <w:t>__________________________________________________</w:t>
      </w:r>
    </w:p>
    <w:p>
      <w:pPr>
        <w:pStyle w:val="Heading2"/>
      </w:pPr>
      <w:r>
        <w:t>Step 8 — The package quality gates (acceptance checklist)</w:t>
      </w:r>
    </w:p>
    <w:p>
      <w:r>
        <w:t xml:space="preserve">Every package must pass </w:t>
      </w:r>
      <w:r>
        <w:rPr>
          <w:b/>
        </w:rPr>
        <w:t>all</w:t>
      </w:r>
      <w:r>
        <w:t xml:space="preserve"> of these before it may be assigned beyond </w:t>
      </w:r>
      <w:r>
        <w:rPr>
          <w:rFonts w:ascii="Consolas" w:hAnsi="Consolas"/>
          <w:sz w:val="19"/>
        </w:rPr>
        <w:t>APP – Ring 0 Packaging Lab</w:t>
      </w:r>
      <w:r>
        <w:t xml:space="preserve">. Any single </w:t>
      </w:r>
      <w:r>
        <w:rPr>
          <w:b/>
        </w:rPr>
        <w:t>FAIL</w:t>
      </w:r>
      <w:r>
        <w:t xml:space="preserve"> blocks release. Copy this into </w:t>
      </w:r>
      <w:r>
        <w:rPr>
          <w:rFonts w:ascii="Consolas" w:hAnsi="Consolas"/>
          <w:sz w:val="19"/>
        </w:rPr>
        <w:t>Application Package Records\&lt;Vendor&gt; &lt;Product&gt;\&lt;Version&gt;\02-Acceptance-Checklist.md</w:t>
      </w:r>
      <w:r>
        <w:t xml:space="preserve"> and complete it.</w:t>
      </w:r>
    </w:p>
    <w:p>
      <w:pPr>
        <w:pStyle w:val="Heading3"/>
      </w:pPr>
      <w:r>
        <w:t>Gate 1 — Identity and metadata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Check</w:t>
            </w:r>
          </w:p>
        </w:tc>
        <w:tc>
          <w:tcPr>
            <w:tcW w:type="dxa" w:w="2880"/>
          </w:tcPr>
          <w:p>
            <w:r>
              <w:rPr>
                <w:b/>
              </w:rPr>
              <w:t>Pass criteria</w:t>
            </w:r>
          </w:p>
        </w:tc>
      </w:tr>
      <w:tr>
        <w:tc>
          <w:tcPr>
            <w:tcW w:type="dxa" w:w="2880"/>
          </w:tcPr>
          <w:p>
            <w:r>
              <w:t>1.1</w:t>
            </w:r>
          </w:p>
        </w:tc>
        <w:tc>
          <w:tcPr>
            <w:tcW w:type="dxa" w:w="2880"/>
          </w:tcPr>
          <w:p>
            <w:r>
              <w:t xml:space="preserve">App name matches </w:t>
            </w:r>
            <w:r>
              <w:rPr>
                <w:rFonts w:ascii="Consolas" w:hAnsi="Consolas"/>
                <w:sz w:val="19"/>
              </w:rPr>
              <w:t>&lt;Publisher&gt; &lt;Product&gt; – &lt;Format&gt; – v&lt;Version&gt;</w:t>
            </w:r>
          </w:p>
        </w:tc>
        <w:tc>
          <w:tcPr>
            <w:tcW w:type="dxa" w:w="2880"/>
          </w:tcPr>
          <w:p>
            <w:r>
              <w:t>Exact match, en-dash separators</w:t>
            </w:r>
          </w:p>
        </w:tc>
      </w:tr>
      <w:tr>
        <w:tc>
          <w:tcPr>
            <w:tcW w:type="dxa" w:w="2880"/>
          </w:tcPr>
          <w:p>
            <w:r>
              <w:t>1.2</w:t>
            </w:r>
          </w:p>
        </w:tc>
        <w:tc>
          <w:tcPr>
            <w:tcW w:type="dxa" w:w="2880"/>
          </w:tcPr>
          <w:p>
            <w:r>
              <w:t>No banned words in the name</w:t>
            </w:r>
          </w:p>
        </w:tc>
        <w:tc>
          <w:tcPr>
            <w:tcW w:type="dxa" w:w="2880"/>
          </w:tcPr>
          <w:p>
            <w:r>
              <w:t xml:space="preserve">No </w:t>
            </w:r>
            <w:r>
              <w:rPr>
                <w:rFonts w:ascii="Consolas" w:hAnsi="Consolas"/>
                <w:sz w:val="19"/>
              </w:rPr>
              <w:t>Test</w:t>
            </w:r>
            <w:r>
              <w:t xml:space="preserve">, </w:t>
            </w:r>
            <w:r>
              <w:rPr>
                <w:rFonts w:ascii="Consolas" w:hAnsi="Consolas"/>
                <w:sz w:val="19"/>
              </w:rPr>
              <w:t>New</w:t>
            </w:r>
            <w:r>
              <w:t xml:space="preserve">, </w:t>
            </w:r>
            <w:r>
              <w:rPr>
                <w:rFonts w:ascii="Consolas" w:hAnsi="Consolas"/>
                <w:sz w:val="19"/>
              </w:rPr>
              <w:t>Copy</w:t>
            </w:r>
            <w:r>
              <w:t xml:space="preserve">, </w:t>
            </w:r>
            <w:r>
              <w:rPr>
                <w:rFonts w:ascii="Consolas" w:hAnsi="Consolas"/>
                <w:sz w:val="19"/>
              </w:rPr>
              <w:t>TEMP</w:t>
            </w:r>
            <w:r>
              <w:t xml:space="preserve">, </w:t>
            </w:r>
            <w:r>
              <w:rPr>
                <w:rFonts w:ascii="Consolas" w:hAnsi="Consolas"/>
                <w:sz w:val="19"/>
              </w:rPr>
              <w:t>DO NOT USE</w:t>
            </w:r>
            <w:r>
              <w:t>, dates, initials</w:t>
            </w:r>
          </w:p>
        </w:tc>
      </w:tr>
      <w:tr>
        <w:tc>
          <w:tcPr>
            <w:tcW w:type="dxa" w:w="2880"/>
          </w:tcPr>
          <w:p>
            <w:r>
              <w:t>1.3</w:t>
            </w:r>
          </w:p>
        </w:tc>
        <w:tc>
          <w:tcPr>
            <w:tcW w:type="dxa" w:w="2880"/>
          </w:tcPr>
          <w:p>
            <w:r>
              <w:t>Publisher field populated with the legal vendor name</w:t>
            </w:r>
          </w:p>
        </w:tc>
        <w:tc>
          <w:tcPr>
            <w:tcW w:type="dxa" w:w="2880"/>
          </w:tcPr>
          <w:p>
            <w:r>
              <w:t>Matches the name token</w:t>
            </w:r>
          </w:p>
        </w:tc>
      </w:tr>
      <w:tr>
        <w:tc>
          <w:tcPr>
            <w:tcW w:type="dxa" w:w="2880"/>
          </w:tcPr>
          <w:p>
            <w:r>
              <w:t>1.4</w:t>
            </w:r>
          </w:p>
        </w:tc>
        <w:tc>
          <w:tcPr>
            <w:tcW w:type="dxa" w:w="2880"/>
          </w:tcPr>
          <w:p>
            <w:r>
              <w:t>Category set to one of the six agreed values</w:t>
            </w:r>
          </w:p>
        </w:tc>
        <w:tc>
          <w:tcPr>
            <w:tcW w:type="dxa" w:w="2880"/>
          </w:tcPr>
          <w:p>
            <w:r>
              <w:t>Exact match</w:t>
            </w:r>
          </w:p>
        </w:tc>
      </w:tr>
      <w:tr>
        <w:tc>
          <w:tcPr>
            <w:tcW w:type="dxa" w:w="2880"/>
          </w:tcPr>
          <w:p>
            <w:r>
              <w:t>1.5</w:t>
            </w:r>
          </w:p>
        </w:tc>
        <w:tc>
          <w:tcPr>
            <w:tcW w:type="dxa" w:w="2880"/>
          </w:tcPr>
          <w:p>
            <w:r>
              <w:t>Description contains the three mandatory lines</w:t>
            </w:r>
          </w:p>
        </w:tc>
        <w:tc>
          <w:tcPr>
            <w:tcW w:type="dxa" w:w="2880"/>
          </w:tcPr>
          <w:p>
            <w:r>
              <w:t>Business purpose / Business owner / Package record</w:t>
            </w:r>
          </w:p>
        </w:tc>
      </w:tr>
      <w:tr>
        <w:tc>
          <w:tcPr>
            <w:tcW w:type="dxa" w:w="2880"/>
          </w:tcPr>
          <w:p>
            <w:r>
              <w:t>1.6</w:t>
            </w:r>
          </w:p>
        </w:tc>
        <w:tc>
          <w:tcPr>
            <w:tcW w:type="dxa" w:w="2880"/>
          </w:tcPr>
          <w:p>
            <w:r>
              <w:t>Owner and Developer fields populated</w:t>
            </w:r>
          </w:p>
        </w:tc>
        <w:tc>
          <w:tcPr>
            <w:tcW w:type="dxa" w:w="2880"/>
          </w:tcPr>
          <w:p>
            <w:r>
              <w:t>Named individuals, currently employed</w:t>
            </w:r>
          </w:p>
        </w:tc>
      </w:tr>
      <w:tr>
        <w:tc>
          <w:tcPr>
            <w:tcW w:type="dxa" w:w="2880"/>
          </w:tcPr>
          <w:p>
            <w:r>
              <w:t>1.7</w:t>
            </w:r>
          </w:p>
        </w:tc>
        <w:tc>
          <w:tcPr>
            <w:tcW w:type="dxa" w:w="2880"/>
          </w:tcPr>
          <w:p>
            <w:r>
              <w:t>Version appears identically in name, detection rule, and evidence folder</w:t>
            </w:r>
          </w:p>
        </w:tc>
        <w:tc>
          <w:tcPr>
            <w:tcW w:type="dxa" w:w="2880"/>
          </w:tcPr>
          <w:p>
            <w:r>
              <w:t>All three agree</w:t>
            </w:r>
          </w:p>
        </w:tc>
      </w:tr>
    </w:tbl>
    <w:p>
      <w:pPr>
        <w:pStyle w:val="Heading3"/>
      </w:pPr>
      <w:r>
        <w:t>Gate 2 — Build correctness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Check</w:t>
            </w:r>
          </w:p>
        </w:tc>
        <w:tc>
          <w:tcPr>
            <w:tcW w:type="dxa" w:w="2880"/>
          </w:tcPr>
          <w:p>
            <w:r>
              <w:rPr>
                <w:b/>
              </w:rPr>
              <w:t>Pass criteria</w:t>
            </w:r>
          </w:p>
        </w:tc>
      </w:tr>
      <w:tr>
        <w:tc>
          <w:tcPr>
            <w:tcW w:type="dxa" w:w="2880"/>
          </w:tcPr>
          <w:p>
            <w:r>
              <w:t>2.1</w:t>
            </w:r>
          </w:p>
        </w:tc>
        <w:tc>
          <w:tcPr>
            <w:tcW w:type="dxa" w:w="2880"/>
          </w:tcPr>
          <w:p>
            <w:r>
              <w:t>Format matches the intake decision (B4)</w:t>
            </w:r>
          </w:p>
        </w:tc>
        <w:tc>
          <w:tcPr>
            <w:tcW w:type="dxa" w:w="2880"/>
          </w:tcPr>
          <w:p>
            <w:r>
              <w:t>Identical</w:t>
            </w:r>
          </w:p>
        </w:tc>
      </w:tr>
      <w:tr>
        <w:tc>
          <w:tcPr>
            <w:tcW w:type="dxa" w:w="2880"/>
          </w:tcPr>
          <w:p>
            <w:r>
              <w:t>2.2</w:t>
            </w:r>
          </w:p>
        </w:tc>
        <w:tc>
          <w:tcPr>
            <w:tcW w:type="dxa" w:w="2880"/>
          </w:tcPr>
          <w:p>
            <w:r>
              <w:t>Source installer hash recorded and matches the file packaged</w:t>
            </w:r>
          </w:p>
        </w:tc>
        <w:tc>
          <w:tcPr>
            <w:tcW w:type="dxa" w:w="2880"/>
          </w:tcPr>
          <w:p>
            <w:r>
              <w:t>SHA-256 equal</w:t>
            </w:r>
          </w:p>
        </w:tc>
      </w:tr>
      <w:tr>
        <w:tc>
          <w:tcPr>
            <w:tcW w:type="dxa" w:w="2880"/>
          </w:tcPr>
          <w:p>
            <w:r>
              <w:t>2.3</w:t>
            </w:r>
          </w:p>
        </w:tc>
        <w:tc>
          <w:tcPr>
            <w:tcW w:type="dxa" w:w="2880"/>
          </w:tcPr>
          <w:p>
            <w:r>
              <w:t xml:space="preserve">Install command fully silent, </w:t>
            </w:r>
            <w:r>
              <w:rPr>
                <w:rFonts w:ascii="Consolas" w:hAnsi="Consolas"/>
                <w:sz w:val="19"/>
              </w:rPr>
              <w:t>/norestart</w:t>
            </w:r>
            <w:r>
              <w:t xml:space="preserve"> (or equivalent), logging enabled</w:t>
            </w:r>
          </w:p>
        </w:tc>
        <w:tc>
          <w:tcPr>
            <w:tcW w:type="dxa" w:w="2880"/>
          </w:tcPr>
          <w:p>
            <w:r>
              <w:t>Verified on Ring 0</w:t>
            </w:r>
          </w:p>
        </w:tc>
      </w:tr>
      <w:tr>
        <w:tc>
          <w:tcPr>
            <w:tcW w:type="dxa" w:w="2880"/>
          </w:tcPr>
          <w:p>
            <w:r>
              <w:t>2.4</w:t>
            </w:r>
          </w:p>
        </w:tc>
        <w:tc>
          <w:tcPr>
            <w:tcW w:type="dxa" w:w="2880"/>
          </w:tcPr>
          <w:p>
            <w:r>
              <w:t>Uninstall command is real and removes the app</w:t>
            </w:r>
          </w:p>
        </w:tc>
        <w:tc>
          <w:tcPr>
            <w:tcW w:type="dxa" w:w="2880"/>
          </w:tcPr>
          <w:p>
            <w:r>
              <w:t>Verified on Ring 0; not a stub</w:t>
            </w:r>
          </w:p>
        </w:tc>
      </w:tr>
      <w:tr>
        <w:tc>
          <w:tcPr>
            <w:tcW w:type="dxa" w:w="2880"/>
          </w:tcPr>
          <w:p>
            <w:r>
              <w:t>2.5</w:t>
            </w:r>
          </w:p>
        </w:tc>
        <w:tc>
          <w:tcPr>
            <w:tcW w:type="dxa" w:w="2880"/>
          </w:tcPr>
          <w:p>
            <w:r>
              <w:t>Install behaviour is System, or User with a documented reason</w:t>
            </w:r>
          </w:p>
        </w:tc>
        <w:tc>
          <w:tcPr>
            <w:tcW w:type="dxa" w:w="2880"/>
          </w:tcPr>
          <w:p>
            <w:r>
              <w:t>Matches intake C6</w:t>
            </w:r>
          </w:p>
        </w:tc>
      </w:tr>
      <w:tr>
        <w:tc>
          <w:tcPr>
            <w:tcW w:type="dxa" w:w="2880"/>
          </w:tcPr>
          <w:p>
            <w:r>
              <w:t>2.6</w:t>
            </w:r>
          </w:p>
        </w:tc>
        <w:tc>
          <w:tcPr>
            <w:tcW w:type="dxa" w:w="2880"/>
          </w:tcPr>
          <w:p>
            <w:r>
              <w:t>Return codes declared; no non-zero code mapped to Success</w:t>
            </w:r>
          </w:p>
        </w:tc>
        <w:tc>
          <w:tcPr>
            <w:tcW w:type="dxa" w:w="2880"/>
          </w:tcPr>
          <w:p>
            <w:r>
              <w:t>Standard set present</w:t>
            </w:r>
          </w:p>
        </w:tc>
      </w:tr>
      <w:tr>
        <w:tc>
          <w:tcPr>
            <w:tcW w:type="dxa" w:w="2880"/>
          </w:tcPr>
          <w:p>
            <w:r>
              <w:t>2.7</w:t>
            </w:r>
          </w:p>
        </w:tc>
        <w:tc>
          <w:tcPr>
            <w:tcW w:type="dxa" w:w="2880"/>
          </w:tcPr>
          <w:p>
            <w:r>
              <w:t>Reboot behaviour per §6c; forced restart only with owner's agreement</w:t>
            </w:r>
          </w:p>
        </w:tc>
        <w:tc>
          <w:tcPr>
            <w:tcW w:type="dxa" w:w="2880"/>
          </w:tcPr>
          <w:p>
            <w:r>
              <w:t>Matches intake C15</w:t>
            </w:r>
          </w:p>
        </w:tc>
      </w:tr>
    </w:tbl>
    <w:p>
      <w:pPr>
        <w:pStyle w:val="Heading3"/>
      </w:pPr>
      <w:r>
        <w:t>Gate 3 — Detection quality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Check</w:t>
            </w:r>
          </w:p>
        </w:tc>
        <w:tc>
          <w:tcPr>
            <w:tcW w:type="dxa" w:w="2880"/>
          </w:tcPr>
          <w:p>
            <w:r>
              <w:rPr>
                <w:b/>
              </w:rPr>
              <w:t>Pass criteria</w:t>
            </w:r>
          </w:p>
        </w:tc>
      </w:tr>
      <w:tr>
        <w:tc>
          <w:tcPr>
            <w:tcW w:type="dxa" w:w="2880"/>
          </w:tcPr>
          <w:p>
            <w:r>
              <w:t>3.1</w:t>
            </w:r>
          </w:p>
        </w:tc>
        <w:tc>
          <w:tcPr>
            <w:tcW w:type="dxa" w:w="2880"/>
          </w:tcPr>
          <w:p>
            <w:r>
              <w:t>Rule satisfies all five acceptability tests (§5a)</w:t>
            </w:r>
          </w:p>
        </w:tc>
        <w:tc>
          <w:tcPr>
            <w:tcW w:type="dxa" w:w="2880"/>
          </w:tcPr>
          <w:p>
            <w:r>
              <w:t>Reviewer initials each</w:t>
            </w:r>
          </w:p>
        </w:tc>
      </w:tr>
      <w:tr>
        <w:tc>
          <w:tcPr>
            <w:tcW w:type="dxa" w:w="2880"/>
          </w:tcPr>
          <w:p>
            <w:r>
              <w:t>3.2</w:t>
            </w:r>
          </w:p>
        </w:tc>
        <w:tc>
          <w:tcPr>
            <w:tcW w:type="dxa" w:w="2880"/>
          </w:tcPr>
          <w:p>
            <w:r>
              <w:t xml:space="preserve">Rule matches </w:t>
            </w:r>
            <w:r>
              <w:rPr>
                <w:b/>
              </w:rPr>
              <w:t>no</w:t>
            </w:r>
            <w:r>
              <w:t xml:space="preserve"> banned pattern B1–B10 (§5c)</w:t>
            </w:r>
          </w:p>
        </w:tc>
        <w:tc>
          <w:tcPr>
            <w:tcW w:type="dxa" w:w="2880"/>
          </w:tcPr>
          <w:p>
            <w:r>
              <w:rPr>
                <w:rFonts w:ascii="Consolas" w:hAnsi="Consolas"/>
                <w:sz w:val="19"/>
              </w:rPr>
              <w:t>APPSTD-Test-DetectionRuleQuality.ps1</w:t>
            </w:r>
            <w:r>
              <w:t xml:space="preserve"> returns clean</w:t>
            </w:r>
          </w:p>
        </w:tc>
      </w:tr>
      <w:tr>
        <w:tc>
          <w:tcPr>
            <w:tcW w:type="dxa" w:w="2880"/>
          </w:tcPr>
          <w:p>
            <w:r>
              <w:t>3.3</w:t>
            </w:r>
          </w:p>
        </w:tc>
        <w:tc>
          <w:tcPr>
            <w:tcW w:type="dxa" w:w="2880"/>
          </w:tcPr>
          <w:p>
            <w:r>
              <w:t>Exactly one authoritative rule type, unless documented</w:t>
            </w:r>
          </w:p>
        </w:tc>
        <w:tc>
          <w:tcPr>
            <w:tcW w:type="dxa" w:w="2880"/>
          </w:tcPr>
          <w:p>
            <w:r>
              <w:t>One rule</w:t>
            </w:r>
          </w:p>
        </w:tc>
      </w:tr>
      <w:tr>
        <w:tc>
          <w:tcPr>
            <w:tcW w:type="dxa" w:w="2880"/>
          </w:tcPr>
          <w:p>
            <w:r>
              <w:t>3.4</w:t>
            </w:r>
          </w:p>
        </w:tc>
        <w:tc>
          <w:tcPr>
            <w:tcW w:type="dxa" w:w="2880"/>
          </w:tcPr>
          <w:p>
            <w:r>
              <w:t>Version asserted, or presence-only justified and countersigned</w:t>
            </w:r>
          </w:p>
        </w:tc>
        <w:tc>
          <w:tcPr>
            <w:tcW w:type="dxa" w:w="2880"/>
          </w:tcPr>
          <w:p>
            <w:r>
              <w:t>Evidence recorded</w:t>
            </w:r>
          </w:p>
        </w:tc>
      </w:tr>
      <w:tr>
        <w:tc>
          <w:tcPr>
            <w:tcW w:type="dxa" w:w="2880"/>
          </w:tcPr>
          <w:p>
            <w:r>
              <w:t>3.5</w:t>
            </w:r>
          </w:p>
        </w:tc>
        <w:tc>
          <w:tcPr>
            <w:tcW w:type="dxa" w:w="2880"/>
          </w:tcPr>
          <w:p>
            <w:r>
              <w:t>Three-state proof recorded: clean / post-install / prior-version</w:t>
            </w:r>
          </w:p>
        </w:tc>
        <w:tc>
          <w:tcPr>
            <w:tcW w:type="dxa" w:w="2880"/>
          </w:tcPr>
          <w:p>
            <w:r>
              <w:t>All three observed on Ring 0</w:t>
            </w:r>
          </w:p>
        </w:tc>
      </w:tr>
    </w:tbl>
    <w:p>
      <w:pPr>
        <w:pStyle w:val="Heading3"/>
      </w:pPr>
      <w:r>
        <w:t>Gate 4 — Targeting and safety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Check</w:t>
            </w:r>
          </w:p>
        </w:tc>
        <w:tc>
          <w:tcPr>
            <w:tcW w:type="dxa" w:w="2880"/>
          </w:tcPr>
          <w:p>
            <w:r>
              <w:rPr>
                <w:b/>
              </w:rPr>
              <w:t>Pass criteria</w:t>
            </w:r>
          </w:p>
        </w:tc>
      </w:tr>
      <w:tr>
        <w:tc>
          <w:tcPr>
            <w:tcW w:type="dxa" w:w="2880"/>
          </w:tcPr>
          <w:p>
            <w:r>
              <w:t>4.1</w:t>
            </w:r>
          </w:p>
        </w:tc>
        <w:tc>
          <w:tcPr>
            <w:tcW w:type="dxa" w:w="2880"/>
          </w:tcPr>
          <w:p>
            <w:r>
              <w:t>Assigned to Ring 0 only at review time</w:t>
            </w:r>
          </w:p>
        </w:tc>
        <w:tc>
          <w:tcPr>
            <w:tcW w:type="dxa" w:w="2880"/>
          </w:tcPr>
          <w:p>
            <w:r>
              <w:t>No Ring 1/2 assignment yet</w:t>
            </w:r>
          </w:p>
        </w:tc>
      </w:tr>
      <w:tr>
        <w:tc>
          <w:tcPr>
            <w:tcW w:type="dxa" w:w="2880"/>
          </w:tcPr>
          <w:p>
            <w:r>
              <w:t>4.2</w:t>
            </w:r>
          </w:p>
        </w:tc>
        <w:tc>
          <w:tcPr>
            <w:tcW w:type="dxa" w:w="2880"/>
          </w:tcPr>
          <w:p>
            <w:r>
              <w:rPr>
                <w:rFonts w:ascii="Consolas" w:hAnsi="Consolas"/>
                <w:sz w:val="19"/>
              </w:rPr>
              <w:t>APP – Exclusions – Do Not Deploy</w:t>
            </w:r>
            <w:r>
              <w:t xml:space="preserve"> is applied as an </w:t>
            </w:r>
            <w:r>
              <w:rPr>
                <w:b/>
              </w:rPr>
              <w:t>Excluded</w:t>
            </w:r>
            <w:r>
              <w:t xml:space="preserve"> group</w:t>
            </w:r>
          </w:p>
        </w:tc>
        <w:tc>
          <w:tcPr>
            <w:tcW w:type="dxa" w:w="2880"/>
          </w:tcPr>
          <w:p>
            <w:r>
              <w:t>Present on the assignment</w:t>
            </w:r>
          </w:p>
        </w:tc>
      </w:tr>
      <w:tr>
        <w:tc>
          <w:tcPr>
            <w:tcW w:type="dxa" w:w="2880"/>
          </w:tcPr>
          <w:p>
            <w:r>
              <w:t>4.3</w:t>
            </w:r>
          </w:p>
        </w:tc>
        <w:tc>
          <w:tcPr>
            <w:tcW w:type="dxa" w:w="2880"/>
          </w:tcPr>
          <w:p>
            <w:r>
              <w:t xml:space="preserve">No assignment to </w:t>
            </w:r>
            <w:r>
              <w:rPr>
                <w:b/>
              </w:rPr>
              <w:t>All Devices</w:t>
            </w:r>
            <w:r>
              <w:t xml:space="preserve"> or </w:t>
            </w:r>
            <w:r>
              <w:rPr>
                <w:b/>
              </w:rPr>
              <w:t>All Users</w:t>
            </w:r>
          </w:p>
        </w:tc>
        <w:tc>
          <w:tcPr>
            <w:tcW w:type="dxa" w:w="2880"/>
          </w:tcPr>
          <w:p>
            <w:r>
              <w:t>Zero</w:t>
            </w:r>
          </w:p>
        </w:tc>
      </w:tr>
      <w:tr>
        <w:tc>
          <w:tcPr>
            <w:tcW w:type="dxa" w:w="2880"/>
          </w:tcPr>
          <w:p>
            <w:r>
              <w:t>4.4</w:t>
            </w:r>
          </w:p>
        </w:tc>
        <w:tc>
          <w:tcPr>
            <w:tcW w:type="dxa" w:w="2880"/>
          </w:tcPr>
          <w:p>
            <w:r>
              <w:t>Supersedence configured if this replaces a prior version</w:t>
            </w:r>
          </w:p>
        </w:tc>
        <w:tc>
          <w:tcPr>
            <w:tcW w:type="dxa" w:w="2880"/>
          </w:tcPr>
          <w:p>
            <w:r>
              <w:t>Matches intake C12/C13</w:t>
            </w:r>
          </w:p>
        </w:tc>
      </w:tr>
      <w:tr>
        <w:tc>
          <w:tcPr>
            <w:tcW w:type="dxa" w:w="2880"/>
          </w:tcPr>
          <w:p>
            <w:r>
              <w:t>4.5</w:t>
            </w:r>
          </w:p>
        </w:tc>
        <w:tc>
          <w:tcPr>
            <w:tcW w:type="dxa" w:w="2880"/>
          </w:tcPr>
          <w:p>
            <w:r>
              <w:t xml:space="preserve">Dependencies declared with </w:t>
            </w:r>
            <w:r>
              <w:rPr>
                <w:b/>
              </w:rPr>
              <w:t>Automatically install = Yes</w:t>
            </w:r>
          </w:p>
        </w:tc>
        <w:tc>
          <w:tcPr>
            <w:tcW w:type="dxa" w:w="2880"/>
          </w:tcPr>
          <w:p>
            <w:r>
              <w:t>Matches intake C11</w:t>
            </w:r>
          </w:p>
        </w:tc>
      </w:tr>
      <w:tr>
        <w:tc>
          <w:tcPr>
            <w:tcW w:type="dxa" w:w="2880"/>
          </w:tcPr>
          <w:p>
            <w:r>
              <w:t>4.6</w:t>
            </w:r>
          </w:p>
        </w:tc>
        <w:tc>
          <w:tcPr>
            <w:tcW w:type="dxa" w:w="2880"/>
          </w:tcPr>
          <w:p>
            <w:r>
              <w:t>Requirement rules set (architecture, minimum OS)</w:t>
            </w:r>
          </w:p>
        </w:tc>
        <w:tc>
          <w:tcPr>
            <w:tcW w:type="dxa" w:w="2880"/>
          </w:tcPr>
          <w:p>
            <w:r>
              <w:t>Matches intake C10</w:t>
            </w:r>
          </w:p>
        </w:tc>
      </w:tr>
    </w:tbl>
    <w:p>
      <w:pPr>
        <w:pStyle w:val="Heading3"/>
      </w:pPr>
      <w:r>
        <w:t>Gate 5 — Evidence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Check</w:t>
            </w:r>
          </w:p>
        </w:tc>
        <w:tc>
          <w:tcPr>
            <w:tcW w:type="dxa" w:w="2880"/>
          </w:tcPr>
          <w:p>
            <w:r>
              <w:rPr>
                <w:b/>
              </w:rPr>
              <w:t>Pass criteria</w:t>
            </w:r>
          </w:p>
        </w:tc>
      </w:tr>
      <w:tr>
        <w:tc>
          <w:tcPr>
            <w:tcW w:type="dxa" w:w="2880"/>
          </w:tcPr>
          <w:p>
            <w:r>
              <w:t>5.1</w:t>
            </w:r>
          </w:p>
        </w:tc>
        <w:tc>
          <w:tcPr>
            <w:tcW w:type="dxa" w:w="2880"/>
          </w:tcPr>
          <w:p>
            <w:r>
              <w:t>Intake form complete, all sections</w:t>
            </w:r>
          </w:p>
        </w:tc>
        <w:tc>
          <w:tcPr>
            <w:tcW w:type="dxa" w:w="2880"/>
          </w:tcPr>
          <w:p>
            <w:r>
              <w:t>No blanks</w:t>
            </w:r>
          </w:p>
        </w:tc>
      </w:tr>
      <w:tr>
        <w:tc>
          <w:tcPr>
            <w:tcW w:type="dxa" w:w="2880"/>
          </w:tcPr>
          <w:p>
            <w:r>
              <w:t>5.2</w:t>
            </w:r>
          </w:p>
        </w:tc>
        <w:tc>
          <w:tcPr>
            <w:tcW w:type="dxa" w:w="2880"/>
          </w:tcPr>
          <w:p>
            <w:r>
              <w:t>This checklist complete with reviewer name and date</w:t>
            </w:r>
          </w:p>
        </w:tc>
        <w:tc>
          <w:tcPr>
            <w:tcW w:type="dxa" w:w="2880"/>
          </w:tcPr>
          <w:p>
            <w:r>
              <w:t>Signed</w:t>
            </w:r>
          </w:p>
        </w:tc>
      </w:tr>
      <w:tr>
        <w:tc>
          <w:tcPr>
            <w:tcW w:type="dxa" w:w="2880"/>
          </w:tcPr>
          <w:p>
            <w:r>
              <w:t>5.3</w:t>
            </w:r>
          </w:p>
        </w:tc>
        <w:tc>
          <w:tcPr>
            <w:tcW w:type="dxa" w:w="2880"/>
          </w:tcPr>
          <w:p>
            <w:r>
              <w:t>Ring 0 install/uninstall test evidence filed</w:t>
            </w:r>
          </w:p>
        </w:tc>
        <w:tc>
          <w:tcPr>
            <w:tcW w:type="dxa" w:w="2880"/>
          </w:tcPr>
          <w:p>
            <w:r>
              <w:t>Screenshots or log excerpts</w:t>
            </w:r>
          </w:p>
        </w:tc>
      </w:tr>
      <w:tr>
        <w:tc>
          <w:tcPr>
            <w:tcW w:type="dxa" w:w="2880"/>
          </w:tcPr>
          <w:p>
            <w:r>
              <w:t>5.4</w:t>
            </w:r>
          </w:p>
        </w:tc>
        <w:tc>
          <w:tcPr>
            <w:tcW w:type="dxa" w:w="2880"/>
          </w:tcPr>
          <w:p>
            <w:r>
              <w:t>Source installer and any transforms archived in the evidence folder</w:t>
            </w:r>
          </w:p>
        </w:tc>
        <w:tc>
          <w:tcPr>
            <w:tcW w:type="dxa" w:w="2880"/>
          </w:tcPr>
          <w:p>
            <w:r>
              <w:t>Present</w:t>
            </w:r>
          </w:p>
        </w:tc>
      </w:tr>
    </w:tbl>
    <w:p>
      <w:r>
        <w:t>__________________________________________________</w:t>
      </w:r>
    </w:p>
    <w:p>
      <w:pPr>
        <w:pStyle w:val="Heading2"/>
      </w:pPr>
      <w:r>
        <w:t>Step 9 — Peer review, sign-off, and the release process</w:t>
      </w:r>
    </w:p>
    <w:p>
      <w:pPr>
        <w:pStyle w:val="Heading3"/>
      </w:pPr>
      <w:r>
        <w:t>9a. The rule</w:t>
      </w:r>
    </w:p>
    <w:p>
      <w:r>
        <w:rPr>
          <w:b/>
        </w:rPr>
        <w:t>The reviewer must not be the packager.</w:t>
      </w:r>
      <w:r>
        <w:t xml:space="preserve"> Sign-off is performed by a member of </w:t>
      </w:r>
      <w:r>
        <w:rPr>
          <w:rFonts w:ascii="Consolas" w:hAnsi="Consolas"/>
          <w:sz w:val="19"/>
        </w:rPr>
        <w:t>ROLE – Package Approvers</w:t>
      </w:r>
      <w:r>
        <w:t xml:space="preserve"> who did not build the package. If your organisation cannot separate these roles today, that is an entry in the exceptions register with a manager's counter-signature (Requirement 2.3) — not a silent omission.</w:t>
      </w:r>
    </w:p>
    <w:p>
      <w:pPr>
        <w:pStyle w:val="Heading3"/>
      </w:pPr>
      <w:r>
        <w:t>9b. The review meeting (15 minutes, not a committee)</w:t>
      </w:r>
    </w:p>
    <w:p>
      <w:pPr>
        <w:pStyle w:val="ListNumber"/>
      </w:pPr>
      <w:r>
        <w:t>The packager presents the completed intake form and the acceptance checklist.</w:t>
      </w:r>
    </w:p>
    <w:p>
      <w:pPr>
        <w:pStyle w:val="ListNumber"/>
      </w:pPr>
      <w:r>
        <w:t xml:space="preserve">The reviewer opens the app in Intune → </w:t>
      </w:r>
      <w:r>
        <w:rPr>
          <w:b/>
        </w:rPr>
        <w:t>Apps</w:t>
      </w:r>
      <w:r>
        <w:t xml:space="preserve"> → </w:t>
      </w:r>
      <w:r>
        <w:rPr>
          <w:b/>
        </w:rPr>
        <w:t>All apps</w:t>
      </w:r>
      <w:r>
        <w:t xml:space="preserve"> → the app → and independently</w:t>
      </w:r>
    </w:p>
    <w:p>
      <w:r>
        <w:t xml:space="preserve">   confirms Gates 1, 2, and 4 against what is actually configured, not against what the form claims.</w:t>
      </w:r>
    </w:p>
    <w:p>
      <w:pPr>
        <w:pStyle w:val="ListNumber"/>
      </w:pPr>
      <w:r>
        <w:t xml:space="preserve">The reviewer runs </w:t>
      </w:r>
      <w:r>
        <w:rPr>
          <w:rFonts w:ascii="Consolas" w:hAnsi="Consolas"/>
          <w:sz w:val="19"/>
        </w:rPr>
        <w:t>.\APPSTD-Test-DetectionRuleQuality.ps1 -AppName "&lt;the app name&gt;"</w:t>
      </w:r>
      <w:r>
        <w:t xml:space="preserve"> and confirms a</w:t>
      </w:r>
    </w:p>
    <w:p>
      <w:r>
        <w:t xml:space="preserve">   clean result for Gate 3.</w:t>
      </w:r>
    </w:p>
    <w:p>
      <w:pPr>
        <w:pStyle w:val="ListNumber"/>
      </w:pPr>
      <w:r>
        <w:t>Any FAIL ends the review. The package returns to the packager; there is no conditional pass.</w:t>
      </w:r>
    </w:p>
    <w:p>
      <w:pPr>
        <w:pStyle w:val="Heading3"/>
      </w:pPr>
      <w:r>
        <w:t>9c. The sign-off record</w:t>
      </w:r>
    </w:p>
    <w:p>
      <w:r>
        <w:t xml:space="preserve">On a clean review, the reviewer completes and files </w:t>
      </w:r>
      <w:r>
        <w:rPr>
          <w:rFonts w:ascii="Consolas" w:hAnsi="Consolas"/>
          <w:sz w:val="19"/>
        </w:rPr>
        <w:t>Application Package Records\&lt;Vendor&gt; &lt;Product&gt;\&lt;Version&gt;\03-Signoff.md</w:t>
      </w:r>
      <w:r>
        <w:t>:</w:t>
      </w:r>
    </w:p>
    <w:p>
      <w:r>
        <w:rPr>
          <w:rFonts w:ascii="Consolas" w:hAnsi="Consolas"/>
          <w:sz w:val="18"/>
        </w:rPr>
        <w:t>PACKAGE SIGN-OFF</w:t>
        <w:br/>
        <w:t xml:space="preserve">  Application      : Acme Software Ltd. Acme Invoice Client – Win32 – v7.3.1</w:t>
        <w:br/>
        <w:t xml:space="preserve">  Packaged by      : J. Okafor           Date packaged : 2026-07-20</w:t>
        <w:br/>
        <w:t xml:space="preserve">  Reviewed by      : P. Lindqvist        Date reviewed : 2026-07-21</w:t>
        <w:br/>
        <w:t xml:space="preserve">  Gates 1-5        : PASS (all)</w:t>
        <w:br/>
        <w:t xml:space="preserve">  Detection result : APPSTD-Test-DetectionRuleQuality.ps1 — 0 findings</w:t>
        <w:br/>
        <w:t xml:space="preserve">  Exceptions       : None</w:t>
        <w:br/>
        <w:t xml:space="preserve">  Released to      : APP – Ring 1 Pilot Devices</w:t>
        <w:br/>
        <w:t xml:space="preserve">  Ring 2 approval  : Pending pilot validation (Testing Guide)</w:t>
      </w:r>
    </w:p>
    <w:p>
      <w:pPr>
        <w:pStyle w:val="Heading3"/>
      </w:pPr>
      <w:r>
        <w:t>9d. Release to Ring 1</w:t>
      </w:r>
    </w:p>
    <w:p>
      <w:pPr>
        <w:pStyle w:val="ListNumber"/>
      </w:pPr>
      <w:r>
        <w:t xml:space="preserve">Intune admin center → </w:t>
      </w:r>
      <w:r>
        <w:rPr>
          <w:b/>
        </w:rPr>
        <w:t>Apps</w:t>
      </w:r>
      <w:r>
        <w:t xml:space="preserve"> → </w:t>
      </w:r>
      <w:r>
        <w:rPr>
          <w:b/>
        </w:rPr>
        <w:t>All apps</w:t>
      </w:r>
      <w:r>
        <w:t xml:space="preserve"> → open</w:t>
      </w:r>
    </w:p>
    <w:p>
      <w:r>
        <w:t xml:space="preserve">   </w:t>
      </w:r>
      <w:r>
        <w:rPr>
          <w:rFonts w:ascii="Consolas" w:hAnsi="Consolas"/>
          <w:sz w:val="19"/>
        </w:rPr>
        <w:t>Acme Software Ltd. Acme Invoice Client – Win32 – v7.3.1</w:t>
      </w:r>
      <w:r>
        <w:t xml:space="preserve"> → </w:t>
      </w:r>
      <w:r>
        <w:rPr>
          <w:b/>
        </w:rPr>
        <w:t>Properties</w:t>
      </w:r>
      <w:r>
        <w:t xml:space="preserve"> → </w:t>
      </w:r>
      <w:r>
        <w:rPr>
          <w:b/>
        </w:rPr>
        <w:t>Assignments</w:t>
      </w:r>
      <w:r>
        <w:t xml:space="preserve"> →    </w:t>
      </w:r>
      <w:r>
        <w:rPr>
          <w:b/>
        </w:rPr>
        <w:t>Edit</w:t>
      </w:r>
      <w:r>
        <w:t>.</w:t>
      </w:r>
    </w:p>
    <w:p>
      <w:pPr>
        <w:pStyle w:val="ListNumber"/>
      </w:pPr>
      <w:r>
        <w:t xml:space="preserve">Under </w:t>
      </w:r>
      <w:r>
        <w:rPr>
          <w:b/>
        </w:rPr>
        <w:t>Required</w:t>
      </w:r>
      <w:r>
        <w:t xml:space="preserve">, click </w:t>
      </w:r>
      <w:r>
        <w:rPr>
          <w:b/>
        </w:rPr>
        <w:t>+ Add group</w:t>
      </w:r>
      <w:r>
        <w:t xml:space="preserve"> and select </w:t>
      </w:r>
      <w:r>
        <w:rPr>
          <w:rFonts w:ascii="Consolas" w:hAnsi="Consolas"/>
          <w:sz w:val="19"/>
        </w:rPr>
        <w:t>APP – Ring 1 Pilot Devices</w:t>
      </w:r>
      <w:r>
        <w:t>.</w:t>
      </w:r>
    </w:p>
    <w:p>
      <w:pPr>
        <w:pStyle w:val="ListNumber"/>
      </w:pPr>
      <w:r>
        <w:t xml:space="preserve">Under </w:t>
      </w:r>
      <w:r>
        <w:rPr>
          <w:b/>
        </w:rPr>
        <w:t>Excluded</w:t>
      </w:r>
      <w:r>
        <w:t xml:space="preserve">, click </w:t>
      </w:r>
      <w:r>
        <w:rPr>
          <w:b/>
        </w:rPr>
        <w:t>+ Add group</w:t>
      </w:r>
      <w:r>
        <w:t xml:space="preserve"> and select </w:t>
      </w:r>
      <w:r>
        <w:rPr>
          <w:rFonts w:ascii="Consolas" w:hAnsi="Consolas"/>
          <w:sz w:val="19"/>
        </w:rPr>
        <w:t>APP – Exclusions – Do Not Deploy</w:t>
      </w:r>
      <w:r>
        <w:t>.</w:t>
      </w:r>
    </w:p>
    <w:p>
      <w:pPr>
        <w:pStyle w:val="ListNumber"/>
      </w:pPr>
      <w:r>
        <w:t xml:space="preserve">Click </w:t>
      </w:r>
      <w:r>
        <w:rPr>
          <w:b/>
        </w:rPr>
        <w:t>Review + save</w:t>
      </w:r>
      <w:r>
        <w:t xml:space="preserve"> → </w:t>
      </w:r>
      <w:r>
        <w:rPr>
          <w:b/>
        </w:rPr>
        <w:t>Save</w:t>
      </w:r>
      <w:r>
        <w:t>.</w:t>
      </w:r>
    </w:p>
    <w:p>
      <w:pPr>
        <w:pStyle w:val="ListNumber"/>
      </w:pPr>
      <w:r>
        <w:t xml:space="preserve">Run the </w:t>
      </w:r>
      <w:r>
        <w:rPr>
          <w:b/>
        </w:rPr>
        <w:t>Testing Guide</w:t>
      </w:r>
      <w:r>
        <w:t>. Do not proceed until every gate in it passes.</w:t>
      </w:r>
    </w:p>
    <w:p>
      <w:pPr>
        <w:pStyle w:val="Heading3"/>
      </w:pPr>
      <w:r>
        <w:t>9e. Release to Ring 2</w:t>
      </w:r>
    </w:p>
    <w:p>
      <w:pPr>
        <w:pStyle w:val="ListNumber"/>
      </w:pPr>
      <w:r>
        <w:t xml:space="preserve">Only after the Testing Guide's pilot gate passes, return to </w:t>
      </w:r>
      <w:r>
        <w:rPr>
          <w:b/>
        </w:rPr>
        <w:t>Assignments</w:t>
      </w:r>
      <w:r>
        <w:t xml:space="preserve"> → </w:t>
      </w:r>
      <w:r>
        <w:rPr>
          <w:b/>
        </w:rPr>
        <w:t>Edit</w:t>
      </w:r>
      <w:r>
        <w:t>.</w:t>
      </w:r>
    </w:p>
    <w:p>
      <w:pPr>
        <w:pStyle w:val="ListNumber"/>
      </w:pPr>
      <w:r>
        <w:t xml:space="preserve">Under </w:t>
      </w:r>
      <w:r>
        <w:rPr>
          <w:b/>
        </w:rPr>
        <w:t>Required</w:t>
      </w:r>
      <w:r>
        <w:t xml:space="preserve">, click </w:t>
      </w:r>
      <w:r>
        <w:rPr>
          <w:b/>
        </w:rPr>
        <w:t>+ Add group</w:t>
      </w:r>
      <w:r>
        <w:t xml:space="preserve"> and select the Ring 2 target from intake field D3 —</w:t>
      </w:r>
    </w:p>
    <w:p>
      <w:r>
        <w:t xml:space="preserve">   for the worked example, </w:t>
      </w:r>
      <w:r>
        <w:rPr>
          <w:rFonts w:ascii="Consolas" w:hAnsi="Consolas"/>
          <w:sz w:val="19"/>
        </w:rPr>
        <w:t>APP – Acme Invoice Client – Licensed Users</w:t>
      </w:r>
      <w:r>
        <w:t xml:space="preserve"> (not the whole fleet: this app    is licensed for 100 seats).</w:t>
      </w:r>
    </w:p>
    <w:p>
      <w:pPr>
        <w:pStyle w:val="ListNumber"/>
      </w:pPr>
      <w:r>
        <w:t xml:space="preserve">Confirm </w:t>
      </w:r>
      <w:r>
        <w:rPr>
          <w:rFonts w:ascii="Consolas" w:hAnsi="Consolas"/>
          <w:sz w:val="19"/>
        </w:rPr>
        <w:t>APP – Exclusions – Do Not Deploy</w:t>
      </w:r>
      <w:r>
        <w:t xml:space="preserve"> is still under </w:t>
      </w:r>
      <w:r>
        <w:rPr>
          <w:b/>
        </w:rPr>
        <w:t>Excluded</w:t>
      </w:r>
      <w:r>
        <w:t xml:space="preserve">. Click </w:t>
      </w:r>
      <w:r>
        <w:rPr>
          <w:b/>
        </w:rPr>
        <w:t>Review + save</w:t>
      </w:r>
      <w:r>
        <w:t xml:space="preserve"> →</w:t>
      </w:r>
    </w:p>
    <w:p>
      <w:r>
        <w:t xml:space="preserve">   </w:t>
      </w:r>
      <w:r>
        <w:rPr>
          <w:b/>
        </w:rPr>
        <w:t>Save</w:t>
      </w:r>
      <w:r>
        <w:t>.</w:t>
      </w:r>
    </w:p>
    <w:p>
      <w:pPr>
        <w:pStyle w:val="ListNumber"/>
      </w:pPr>
      <w:r>
        <w:t xml:space="preserve">Update the sign-off record's </w:t>
      </w:r>
      <w:r>
        <w:rPr>
          <w:b/>
        </w:rPr>
        <w:t>Ring 2 approval</w:t>
      </w:r>
      <w:r>
        <w:t xml:space="preserve"> line with the approver's name and date.</w:t>
      </w:r>
    </w:p>
    <w:p>
      <w:pPr>
        <w:pStyle w:val="Heading3"/>
      </w:pPr>
      <w:r>
        <w:t>9f. Ring and assignment hygiene rules</w:t>
      </w:r>
    </w:p>
    <w:p>
      <w:r>
        <w:t xml:space="preserve">These are standing rules, checked by </w:t>
      </w:r>
      <w:r>
        <w:rPr>
          <w:rFonts w:ascii="Consolas" w:hAnsi="Consolas"/>
          <w:sz w:val="19"/>
        </w:rPr>
        <w:t>APPSTD-Get-AssignmentHygieneReport.ps1</w:t>
      </w:r>
      <w:r>
        <w:t xml:space="preserve"> at every audit.</w:t>
      </w:r>
    </w:p>
    <w:p>
      <w:pPr>
        <w:pStyle w:val="ListNumber"/>
      </w:pPr>
      <w:r>
        <w:rPr>
          <w:b/>
        </w:rPr>
        <w:t>No app is assigned to All Devices or All Users.</w:t>
      </w:r>
      <w:r>
        <w:t xml:space="preserve"> Ever. These are not rings; they are a way to</w:t>
      </w:r>
    </w:p>
    <w:p>
      <w:r>
        <w:t xml:space="preserve">   turn a mistake into an outage.</w:t>
      </w:r>
    </w:p>
    <w:p>
      <w:pPr>
        <w:pStyle w:val="ListNumber"/>
      </w:pPr>
      <w:r>
        <w:rPr>
          <w:b/>
        </w:rPr>
        <w:t>Every Required assignment carries the `APP – Exclusions – Do Not Deploy` exclusion.</w:t>
      </w:r>
      <w:r>
        <w:t xml:space="preserve"> One</w:t>
      </w:r>
    </w:p>
    <w:p>
      <w:r>
        <w:t xml:space="preserve">   exclusion group, applied everywhere, so an emergency exclusion is a single membership change.</w:t>
      </w:r>
    </w:p>
    <w:p>
      <w:pPr>
        <w:pStyle w:val="ListNumber"/>
      </w:pPr>
      <w:r>
        <w:rPr>
          <w:b/>
        </w:rPr>
        <w:t>No app is both Required and Uninstall for overlapping groups.</w:t>
      </w:r>
      <w:r>
        <w:t xml:space="preserve"> The result is a device that</w:t>
      </w:r>
    </w:p>
    <w:p>
      <w:r>
        <w:t xml:space="preserve">   installs and uninstalls the app on alternating cycles.</w:t>
      </w:r>
    </w:p>
    <w:p>
      <w:pPr>
        <w:pStyle w:val="ListNumber"/>
      </w:pPr>
      <w:r>
        <w:rPr>
          <w:b/>
        </w:rPr>
        <w:t>No app is assigned to more than one group with the same intent.</w:t>
      </w:r>
      <w:r>
        <w:t xml:space="preserve"> Two Required groups covering</w:t>
      </w:r>
    </w:p>
    <w:p>
      <w:r>
        <w:t xml:space="preserve">   the same devices makes reporting ambiguous; use one purpose-named group.</w:t>
      </w:r>
    </w:p>
    <w:p>
      <w:pPr>
        <w:pStyle w:val="ListNumber"/>
      </w:pPr>
      <w:r>
        <w:rPr>
          <w:b/>
        </w:rPr>
        <w:t>Every app has at least one assignment or is deleted.</w:t>
      </w:r>
      <w:r>
        <w:t xml:space="preserve"> An unassigned app is either an oversight</w:t>
      </w:r>
    </w:p>
    <w:p>
      <w:r>
        <w:t xml:space="preserve">   or debris. Ring 0-only apps older than 30 days are debris.</w:t>
      </w:r>
    </w:p>
    <w:p>
      <w:pPr>
        <w:pStyle w:val="ListNumber"/>
      </w:pPr>
      <w:r>
        <w:rPr>
          <w:b/>
        </w:rPr>
        <w:t>Ring order is never skipped.</w:t>
      </w:r>
      <w:r>
        <w:t xml:space="preserve"> Ring 0 → Ring 1 → Ring 2, with the Testing Guide between 1 and 2.</w:t>
      </w:r>
    </w:p>
    <w:p>
      <w:pPr>
        <w:pStyle w:val="ListNumber"/>
      </w:pPr>
      <w:r>
        <w:rPr>
          <w:b/>
        </w:rPr>
        <w:t>Superseded apps keep their assignment until supersedence has fully drained</w:t>
      </w:r>
      <w:r>
        <w:t>, then are</w:t>
      </w:r>
    </w:p>
    <w:p>
      <w:r>
        <w:t xml:space="preserve">   unassigned and deleted at the next quarterly audit.</w:t>
      </w:r>
    </w:p>
    <w:p>
      <w:pPr>
        <w:pStyle w:val="ListNumber"/>
      </w:pPr>
      <w:r>
        <w:rPr>
          <w:b/>
        </w:rPr>
        <w:t>App-specific groups are named `APP – &lt;Product&gt; – &lt;Purpose&gt;`</w:t>
      </w:r>
      <w:r>
        <w:t xml:space="preserve"> and are owned by a named person.</w:t>
      </w:r>
    </w:p>
    <w:p>
      <w:r>
        <w:t>__________________________________________________</w:t>
      </w:r>
    </w:p>
    <w:p>
      <w:pPr>
        <w:pStyle w:val="Heading2"/>
      </w:pPr>
      <w:r>
        <w:t>Step 10 — Enforcement and audit over time</w:t>
      </w:r>
    </w:p>
    <w:p>
      <w:r>
        <w:t>A standard that is not measured is a suggestion. Run this cycle from the day the standard is published.</w:t>
      </w:r>
    </w:p>
    <w:p>
      <w:pPr>
        <w:pStyle w:val="Heading3"/>
      </w:pPr>
      <w:r>
        <w:t>10a. Baseline (once, before announcing the standard)</w:t>
      </w:r>
    </w:p>
    <w:p>
      <w:r>
        <w:rPr>
          <w:rFonts w:ascii="Consolas" w:hAnsi="Consolas"/>
          <w:sz w:val="18"/>
        </w:rPr>
        <w:t>.\APPSTD-Invoke-PackageStandardAudit.ps1 -CsvPath "C:\Temp\baseline-2026-07.csv"</w:t>
      </w:r>
    </w:p>
    <w:p>
      <w:r>
        <w:t xml:space="preserve">File the CSV in </w:t>
      </w:r>
      <w:r>
        <w:rPr>
          <w:rFonts w:ascii="Consolas" w:hAnsi="Consolas"/>
          <w:sz w:val="19"/>
        </w:rPr>
        <w:t>Application Package Records\_Standard\Baseline\</w:t>
      </w:r>
      <w:r>
        <w:t xml:space="preserve">. This is the number you improve against. Announce the standard </w:t>
      </w:r>
      <w:r>
        <w:rPr>
          <w:b/>
        </w:rPr>
        <w:t>with</w:t>
      </w:r>
      <w:r>
        <w:t xml:space="preserve"> the baseline — "we have 62 apps, 41 are non-compliant, here is the plan" lands far better than a policy document with no context.</w:t>
      </w:r>
    </w:p>
    <w:p>
      <w:pPr>
        <w:pStyle w:val="Heading3"/>
      </w:pPr>
      <w:r>
        <w:t>10b. Per-release enforcement (every package)</w:t>
      </w:r>
    </w:p>
    <w:p>
      <w:r>
        <w:t>The acceptance checklist (Step 8) and peer sign-off (Step 9) are the gate. No package is assigned beyond Ring 0 without a filed sign-off record. The reviewer's signature is the enforcement.</w:t>
      </w:r>
    </w:p>
    <w:p>
      <w:pPr>
        <w:pStyle w:val="Heading3"/>
      </w:pPr>
      <w:r>
        <w:t>10c. Monthly — new-app conformance</w:t>
      </w:r>
    </w:p>
    <w:p>
      <w:r>
        <w:t>On the first working day of each month, run:</w:t>
      </w:r>
    </w:p>
    <w:p>
      <w:r>
        <w:rPr>
          <w:rFonts w:ascii="Consolas" w:hAnsi="Consolas"/>
          <w:sz w:val="18"/>
        </w:rPr>
        <w:t>.\APPSTD-Invoke-PackageStandardAudit.ps1 -CreatedSinceDays 31 -CsvPath "C:\Temp\newapps.csv"</w:t>
        <w:br/>
        <w:t>.\APPSTD-Get-PackageMetadataCompleteness.ps1 -MinimumScore 100</w:t>
      </w:r>
    </w:p>
    <w:p>
      <w:r>
        <w:t>Any app created in the last month that fails is chased with its packager that week, while the context is fresh. This is the cheapest possible enforcement and it is where the standard actually holds.</w:t>
      </w:r>
    </w:p>
    <w:p>
      <w:pPr>
        <w:pStyle w:val="Heading3"/>
      </w:pPr>
      <w:r>
        <w:t>10d. Quarterly — full catalog audit</w:t>
      </w:r>
    </w:p>
    <w:p>
      <w:r>
        <w:t xml:space="preserve">Run all four read-only scripts and file the outputs in </w:t>
      </w:r>
      <w:r>
        <w:rPr>
          <w:rFonts w:ascii="Consolas" w:hAnsi="Consolas"/>
          <w:sz w:val="19"/>
        </w:rPr>
        <w:t>Application Package Records\_Standard\Audit Reports\&lt;YYYY-Qn&gt;\</w:t>
      </w:r>
      <w:r>
        <w:t>:</w:t>
      </w:r>
    </w:p>
    <w:p>
      <w:r>
        <w:rPr>
          <w:rFonts w:ascii="Consolas" w:hAnsi="Consolas"/>
          <w:sz w:val="18"/>
        </w:rPr>
        <w:t>.\APPSTD-Invoke-PackageStandardAudit.ps1        -CsvPath ".\Q3-standard.csv"</w:t>
        <w:br/>
        <w:t>.\APPSTD-Test-DetectionRuleQuality.ps1          -CsvPath ".\Q3-detection.csv"</w:t>
        <w:br/>
        <w:t>.\APPSTD-Get-AssignmentHygieneReport.ps1        -CsvPath ".\Q3-assignments.csv"</w:t>
        <w:br/>
        <w:t>.\APPSTD-Get-PackageMetadataCompleteness.ps1    -CsvPath ".\Q3-metadata.csv"</w:t>
      </w:r>
    </w:p>
    <w:p>
      <w:r>
        <w:t xml:space="preserve">Review the four reports with the Packaging Standard Owner. For each finding, decide: </w:t>
      </w:r>
      <w:r>
        <w:rPr>
          <w:b/>
        </w:rPr>
        <w:t>fix now</w:t>
      </w:r>
      <w:r>
        <w:t xml:space="preserve">, </w:t>
      </w:r>
      <w:r>
        <w:rPr>
          <w:b/>
        </w:rPr>
        <w:t>fix at next version</w:t>
      </w:r>
      <w:r>
        <w:t xml:space="preserve">, or </w:t>
      </w:r>
      <w:r>
        <w:rPr>
          <w:b/>
        </w:rPr>
        <w:t>accepted exception</w:t>
      </w:r>
      <w:r>
        <w:t>. Then remediate the mechanical findings:</w:t>
      </w:r>
    </w:p>
    <w:p>
      <w:r>
        <w:rPr>
          <w:rFonts w:ascii="Consolas" w:hAnsi="Consolas"/>
          <w:sz w:val="18"/>
        </w:rPr>
        <w:t># Preview only — this is the default; nothing is changed</w:t>
        <w:br/>
        <w:t>.\APPSTD-Set-AppMetadataStandard.ps1 -CsvPath ".\Q3-metadata.csv"</w:t>
        <w:br/>
        <w:br/>
        <w:t># Apply, after the preview has been reviewed and approved</w:t>
        <w:br/>
        <w:t>.\APPSTD-Set-AppMetadataStandard.ps1 -CsvPath ".\Q3-metadata.csv" -Apply</w:t>
      </w:r>
    </w:p>
    <w:p>
      <w:pPr>
        <w:pStyle w:val="Heading3"/>
      </w:pPr>
      <w:r>
        <w:t>10e. The exceptions register</w:t>
      </w:r>
    </w:p>
    <w:p>
      <w:r>
        <w:t xml:space="preserve">Not every finding will be fixed, and pretending otherwise is how standards lose credibility. Keep </w:t>
      </w:r>
      <w:r>
        <w:rPr>
          <w:rFonts w:ascii="Consolas" w:hAnsi="Consolas"/>
          <w:sz w:val="19"/>
        </w:rPr>
        <w:t>Application Package Records\_Standard\Exceptions\Exceptions-Register.md</w:t>
      </w:r>
      <w:r>
        <w:t xml:space="preserve"> with one row per accepted exception: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App</w:t>
            </w:r>
          </w:p>
        </w:tc>
        <w:tc>
          <w:tcPr>
            <w:tcW w:type="dxa" w:w="1440"/>
          </w:tcPr>
          <w:p>
            <w:r>
              <w:rPr>
                <w:b/>
              </w:rPr>
              <w:t>Rule waived</w:t>
            </w:r>
          </w:p>
        </w:tc>
        <w:tc>
          <w:tcPr>
            <w:tcW w:type="dxa" w:w="1440"/>
          </w:tcPr>
          <w:p>
            <w:r>
              <w:rPr>
                <w:b/>
              </w:rPr>
              <w:t>Reason</w:t>
            </w:r>
          </w:p>
        </w:tc>
        <w:tc>
          <w:tcPr>
            <w:tcW w:type="dxa" w:w="1440"/>
          </w:tcPr>
          <w:p>
            <w:r>
              <w:rPr>
                <w:b/>
              </w:rPr>
              <w:t>Approved by</w:t>
            </w:r>
          </w:p>
        </w:tc>
        <w:tc>
          <w:tcPr>
            <w:tcW w:type="dxa" w:w="1440"/>
          </w:tcPr>
          <w:p>
            <w:r>
              <w:rPr>
                <w:b/>
              </w:rPr>
              <w:t>Approved</w:t>
            </w:r>
          </w:p>
        </w:tc>
        <w:tc>
          <w:tcPr>
            <w:tcW w:type="dxa" w:w="1440"/>
          </w:tcPr>
          <w:p>
            <w:r>
              <w:rPr>
                <w:b/>
              </w:rPr>
              <w:t>Review by</w:t>
            </w:r>
          </w:p>
        </w:tc>
      </w:tr>
      <w:tr>
        <w:tc>
          <w:tcPr>
            <w:tcW w:type="dxa" w:w="1440"/>
          </w:tcPr>
          <w:p>
            <w:r>
              <w:rPr>
                <w:rFonts w:ascii="Consolas" w:hAnsi="Consolas"/>
                <w:sz w:val="19"/>
              </w:rPr>
              <w:t>Legacy Payroll Client – Win32 – v3.0</w:t>
            </w:r>
          </w:p>
        </w:tc>
        <w:tc>
          <w:tcPr>
            <w:tcW w:type="dxa" w:w="1440"/>
          </w:tcPr>
          <w:p>
            <w:r>
              <w:t>§5a.3 version-asserting detection</w:t>
            </w:r>
          </w:p>
        </w:tc>
        <w:tc>
          <w:tcPr>
            <w:tcW w:type="dxa" w:w="1440"/>
          </w:tcPr>
          <w:p>
            <w:r>
              <w:t>Vendor writes no version anywhere; presence-only is the only option</w:t>
            </w:r>
          </w:p>
        </w:tc>
        <w:tc>
          <w:tcPr>
            <w:tcW w:type="dxa" w:w="1440"/>
          </w:tcPr>
          <w:p>
            <w:r>
              <w:t>Packaging Standard Owner</w:t>
            </w:r>
          </w:p>
        </w:tc>
        <w:tc>
          <w:tcPr>
            <w:tcW w:type="dxa" w:w="1440"/>
          </w:tcPr>
          <w:p>
            <w:r>
              <w:t>2026-07-21</w:t>
            </w:r>
          </w:p>
        </w:tc>
        <w:tc>
          <w:tcPr>
            <w:tcW w:type="dxa" w:w="1440"/>
          </w:tcPr>
          <w:p>
            <w:r>
              <w:t>2027-01-21</w:t>
            </w:r>
          </w:p>
        </w:tc>
      </w:tr>
    </w:tbl>
    <w:p>
      <w:r>
        <w:t>Every exception has an expiry date. An exception with no review date is a permanent hole.</w:t>
      </w:r>
    </w:p>
    <w:p>
      <w:pPr>
        <w:pStyle w:val="Heading3"/>
      </w:pPr>
      <w:r>
        <w:t>10f. Annual review of the standard itself</w:t>
      </w:r>
    </w:p>
    <w:p>
      <w:r>
        <w:t>Once a year the Packaging Standard Owner reviews this specification against reality: re-verify the Microsoft Store availability position (Requirement 2.9), re-check the format decision tree against current Microsoft capabilities, confirm the category taxonomy is still right, and close or renew every exception. Record the review date on the front page of your published copy.</w:t>
      </w:r>
    </w:p>
    <w:p>
      <w:r>
        <w:t>__________________________________________________</w:t>
      </w:r>
    </w:p>
    <w:p>
      <w:pPr>
        <w:pStyle w:val="Heading3"/>
      </w:pPr>
      <w:r>
        <w:t>Order of operations</w:t>
      </w:r>
    </w:p>
    <w:p>
      <w:r>
        <w:rPr>
          <w:rFonts w:ascii="Consolas" w:hAnsi="Consolas"/>
          <w:sz w:val="19"/>
        </w:rPr>
        <w:t>Evidence store → Tenant objects (groups, scope tag, role, categories) → Format decision matrix → Packaging specification (naming, versioning, metadata) → Detection standards → Command / return-code / reboot standards → Intake template → Acceptance checklist → Peer review + sign-off → Ring 1 → validate → Ring 2 → monthly + quarterly audit → annual standard review</w:t>
      </w:r>
    </w:p>
    <w:p>
      <w:pPr>
        <w:pStyle w:val="Heading1"/>
      </w:pPr>
      <w:r>
        <w:t>5. Testing Guide — Application Packaging &amp; Deployment Standards</w:t>
      </w:r>
    </w:p>
    <w:p>
      <w:r>
        <w:t xml:space="preserve">This guide validates two things: (a) that the </w:t>
      </w:r>
      <w:r>
        <w:rPr>
          <w:b/>
        </w:rPr>
        <w:t>standard's tenant objects and controls exist and work</w:t>
      </w:r>
      <w:r>
        <w:t xml:space="preserve">, and (b) that </w:t>
      </w:r>
      <w:r>
        <w:rPr>
          <w:b/>
        </w:rPr>
        <w:t>an individual package correctly passes through the standard</w:t>
      </w:r>
      <w:r>
        <w:t xml:space="preserve"> end to end. Run Part A once, when you adopt the standard. Run Part B for every package, using the worked example </w:t>
      </w:r>
      <w:r>
        <w:rPr>
          <w:rFonts w:ascii="Consolas" w:hAnsi="Consolas"/>
          <w:sz w:val="19"/>
        </w:rPr>
        <w:t>Acme Software Ltd. Acme Invoice Client – Win32 – v7.3.1</w:t>
      </w:r>
      <w:r>
        <w:t xml:space="preserve"> as the model.</w:t>
      </w:r>
    </w:p>
    <w:p>
      <w:r>
        <w:t>__________________________________________________</w:t>
      </w:r>
    </w:p>
    <w:p>
      <w:pPr>
        <w:pStyle w:val="Heading2"/>
      </w:pPr>
      <w:r>
        <w:t>Part A — The standard is in place</w:t>
      </w:r>
    </w:p>
    <w:p>
      <w:pPr>
        <w:pStyle w:val="Heading3"/>
      </w:pPr>
      <w:r>
        <w:t>Test A1 — All named objects exist</w:t>
      </w:r>
    </w:p>
    <w:p>
      <w:r>
        <w:rPr>
          <w:b/>
        </w:rPr>
        <w:t>Do:</w:t>
      </w:r>
      <w:r>
        <w:t xml:space="preserve"> In Entra → </w:t>
      </w:r>
      <w:r>
        <w:rPr>
          <w:b/>
        </w:rPr>
        <w:t>Groups</w:t>
      </w:r>
      <w:r>
        <w:t xml:space="preserve">, confirm </w:t>
      </w:r>
      <w:r>
        <w:rPr>
          <w:rFonts w:ascii="Consolas" w:hAnsi="Consolas"/>
          <w:sz w:val="19"/>
        </w:rPr>
        <w:t>APP – Ring 0 Packaging Lab</w:t>
      </w:r>
      <w:r>
        <w:t xml:space="preserve">, </w:t>
      </w:r>
      <w:r>
        <w:rPr>
          <w:rFonts w:ascii="Consolas" w:hAnsi="Consolas"/>
          <w:sz w:val="19"/>
        </w:rPr>
        <w:t>APP – Ring 1 Pilot Devices</w:t>
      </w:r>
      <w:r>
        <w:t xml:space="preserve">, </w:t>
      </w:r>
      <w:r>
        <w:rPr>
          <w:rFonts w:ascii="Consolas" w:hAnsi="Consolas"/>
          <w:sz w:val="19"/>
        </w:rPr>
        <w:t>APP – Ring 2 Broad Devices</w:t>
      </w:r>
      <w:r>
        <w:t xml:space="preserve">, </w:t>
      </w:r>
      <w:r>
        <w:rPr>
          <w:rFonts w:ascii="Consolas" w:hAnsi="Consolas"/>
          <w:sz w:val="19"/>
        </w:rPr>
        <w:t>APP – Exclusions – Do Not Deploy</w:t>
      </w:r>
      <w:r>
        <w:t xml:space="preserve">, </w:t>
      </w:r>
      <w:r>
        <w:rPr>
          <w:rFonts w:ascii="Consolas" w:hAnsi="Consolas"/>
          <w:sz w:val="19"/>
        </w:rPr>
        <w:t>ROLE – Package Approvers</w:t>
      </w:r>
      <w:r>
        <w:t xml:space="preserve">, and </w:t>
      </w:r>
      <w:r>
        <w:rPr>
          <w:rFonts w:ascii="Consolas" w:hAnsi="Consolas"/>
          <w:sz w:val="19"/>
        </w:rPr>
        <w:t>ROLE – Application Packagers</w:t>
      </w:r>
      <w:r>
        <w:t xml:space="preserve"> all exist. In Intune → </w:t>
      </w:r>
      <w:r>
        <w:rPr>
          <w:b/>
        </w:rPr>
        <w:t>Tenant administration → Roles → Scope (Tags)</w:t>
      </w:r>
      <w:r>
        <w:t xml:space="preserve"> confirm </w:t>
      </w:r>
      <w:r>
        <w:rPr>
          <w:rFonts w:ascii="Consolas" w:hAnsi="Consolas"/>
          <w:sz w:val="19"/>
        </w:rPr>
        <w:t>SCOPE – Application Packaging</w:t>
      </w:r>
      <w:r>
        <w:t xml:space="preserve">; under </w:t>
      </w:r>
      <w:r>
        <w:rPr>
          <w:b/>
        </w:rPr>
        <w:t>All roles</w:t>
      </w:r>
      <w:r>
        <w:t xml:space="preserve"> confirm </w:t>
      </w:r>
      <w:r>
        <w:rPr>
          <w:rFonts w:ascii="Consolas" w:hAnsi="Consolas"/>
          <w:sz w:val="19"/>
        </w:rPr>
        <w:t>Application Packager (Standard)</w:t>
      </w:r>
      <w:r>
        <w:t xml:space="preserve">. In </w:t>
      </w:r>
      <w:r>
        <w:rPr>
          <w:b/>
        </w:rPr>
        <w:t>Apps → Categories</w:t>
      </w:r>
      <w:r>
        <w:t xml:space="preserve"> confirm the six categories. </w:t>
      </w:r>
      <w:r>
        <w:rPr>
          <w:b/>
        </w:rPr>
        <w:t>Expected:</w:t>
      </w:r>
      <w:r>
        <w:t xml:space="preserve"> Every object is present with the exact name. Any missing object is a Step 2 gap.</w:t>
      </w:r>
    </w:p>
    <w:p>
      <w:pPr>
        <w:pStyle w:val="Heading3"/>
      </w:pPr>
      <w:r>
        <w:t>Test A2 — The packager role cannot reach Ring 2</w:t>
      </w:r>
    </w:p>
    <w:p>
      <w:r>
        <w:rPr>
          <w:b/>
        </w:rPr>
        <w:t>Do:</w:t>
      </w:r>
      <w:r>
        <w:t xml:space="preserve"> Sign in as a member of </w:t>
      </w:r>
      <w:r>
        <w:rPr>
          <w:rFonts w:ascii="Consolas" w:hAnsi="Consolas"/>
          <w:sz w:val="19"/>
        </w:rPr>
        <w:t>ROLE – Application Packagers</w:t>
      </w:r>
      <w:r>
        <w:t xml:space="preserve"> (or review the role assignment). Confirm the role's assignment scope lists </w:t>
      </w:r>
      <w:r>
        <w:rPr>
          <w:b/>
        </w:rPr>
        <w:t>only</w:t>
      </w:r>
      <w:r>
        <w:t xml:space="preserve"> </w:t>
      </w:r>
      <w:r>
        <w:rPr>
          <w:rFonts w:ascii="Consolas" w:hAnsi="Consolas"/>
          <w:sz w:val="19"/>
        </w:rPr>
        <w:t>APP – Ring 0 Packaging Lab</w:t>
      </w:r>
      <w:r>
        <w:t xml:space="preserve"> and </w:t>
      </w:r>
      <w:r>
        <w:rPr>
          <w:rFonts w:ascii="Consolas" w:hAnsi="Consolas"/>
          <w:sz w:val="19"/>
        </w:rPr>
        <w:t>APP – Ring 1 Pilot Devices</w:t>
      </w:r>
      <w:r>
        <w:t xml:space="preserve">. </w:t>
      </w:r>
      <w:r>
        <w:rPr>
          <w:b/>
        </w:rPr>
        <w:t>Expected:</w:t>
      </w:r>
      <w:r>
        <w:t xml:space="preserve"> A packager can assign to Ring 0 and Ring 1 but </w:t>
      </w:r>
      <w:r>
        <w:rPr>
          <w:b/>
        </w:rPr>
        <w:t>not</w:t>
      </w:r>
      <w:r>
        <w:t xml:space="preserve"> Ring 2 — the release gate is enforced by permissions, not just process.</w:t>
      </w:r>
    </w:p>
    <w:p>
      <w:pPr>
        <w:pStyle w:val="Heading3"/>
      </w:pPr>
      <w:r>
        <w:t>Test A3 — The audit scripts connect and return data</w:t>
      </w:r>
    </w:p>
    <w:p>
      <w:r>
        <w:rPr>
          <w:b/>
        </w:rPr>
        <w:t>Do:</w:t>
      </w:r>
      <w:r>
        <w:t xml:space="preserve"> Run </w:t>
      </w:r>
      <w:r>
        <w:rPr>
          <w:rFonts w:ascii="Consolas" w:hAnsi="Consolas"/>
          <w:sz w:val="19"/>
        </w:rPr>
        <w:t>.\APPSTD-Invoke-PackageStandardAudit.ps1 -WhatIfOnlySummary</w:t>
      </w:r>
      <w:r>
        <w:t xml:space="preserve">. </w:t>
      </w:r>
      <w:r>
        <w:rPr>
          <w:b/>
        </w:rPr>
        <w:t>Expected:</w:t>
      </w:r>
      <w:r>
        <w:t xml:space="preserve"> The script connects to Graph, enumerates apps, and prints a compliant/non-compliant summary with no error. This confirms Requirements 2.4 and 2.5.</w:t>
      </w:r>
    </w:p>
    <w:p>
      <w:pPr>
        <w:pStyle w:val="Heading3"/>
      </w:pPr>
      <w:r>
        <w:t>Test A4 — The evidence store is ready</w:t>
      </w:r>
    </w:p>
    <w:p>
      <w:r>
        <w:rPr>
          <w:b/>
        </w:rPr>
        <w:t>Do:</w:t>
      </w:r>
      <w:r>
        <w:t xml:space="preserve"> Open the </w:t>
      </w:r>
      <w:r>
        <w:rPr>
          <w:rFonts w:ascii="Consolas" w:hAnsi="Consolas"/>
          <w:sz w:val="19"/>
        </w:rPr>
        <w:t>Application Package Records</w:t>
      </w:r>
      <w:r>
        <w:t xml:space="preserve"> SharePoint library. Confirm version history is on, </w:t>
      </w:r>
      <w:r>
        <w:rPr>
          <w:rFonts w:ascii="Consolas" w:hAnsi="Consolas"/>
          <w:sz w:val="19"/>
        </w:rPr>
        <w:t>_Standard\Baseline</w:t>
      </w:r>
      <w:r>
        <w:t xml:space="preserve">, </w:t>
      </w:r>
      <w:r>
        <w:rPr>
          <w:rFonts w:ascii="Consolas" w:hAnsi="Consolas"/>
          <w:sz w:val="19"/>
        </w:rPr>
        <w:t>_Standard\Exceptions</w:t>
      </w:r>
      <w:r>
        <w:t xml:space="preserve">, and </w:t>
      </w:r>
      <w:r>
        <w:rPr>
          <w:rFonts w:ascii="Consolas" w:hAnsi="Consolas"/>
          <w:sz w:val="19"/>
        </w:rPr>
        <w:t>_Standard\Audit Reports</w:t>
      </w:r>
      <w:r>
        <w:t xml:space="preserve"> exist, and permissions grant Contribute to packagers/approvers and Read to audit. </w:t>
      </w:r>
      <w:r>
        <w:rPr>
          <w:b/>
        </w:rPr>
        <w:t>Expected:</w:t>
      </w:r>
      <w:r>
        <w:t xml:space="preserve"> The store exists and is access-controlled (Requirement 2.7).</w:t>
      </w:r>
    </w:p>
    <w:p>
      <w:r>
        <w:t>__________________________________________________</w:t>
      </w:r>
    </w:p>
    <w:p>
      <w:pPr>
        <w:pStyle w:val="Heading2"/>
      </w:pPr>
      <w:r>
        <w:t>Part B — A package passes through the standard</w:t>
      </w:r>
    </w:p>
    <w:p>
      <w:pPr>
        <w:pStyle w:val="Heading3"/>
      </w:pPr>
      <w:r>
        <w:t>Test B1 — Intake form is complete before packaging</w:t>
      </w:r>
    </w:p>
    <w:p>
      <w:r>
        <w:rPr>
          <w:b/>
        </w:rPr>
        <w:t>Do:</w:t>
      </w:r>
      <w:r>
        <w:t xml:space="preserve"> Open </w:t>
      </w:r>
      <w:r>
        <w:rPr>
          <w:rFonts w:ascii="Consolas" w:hAnsi="Consolas"/>
          <w:sz w:val="19"/>
        </w:rPr>
        <w:t>Application Package Records\Acme Software Ltd Acme Invoice Client\7.3.1\01-Intake.md</w:t>
      </w:r>
      <w:r>
        <w:t xml:space="preserve">. </w:t>
      </w:r>
      <w:r>
        <w:rPr>
          <w:b/>
        </w:rPr>
        <w:t>Expected:</w:t>
      </w:r>
      <w:r>
        <w:t xml:space="preserve"> Sections A–D are complete, the format decision (B4) names the deciding question, and no field is blank. An incomplete form means the package should not have been built yet.</w:t>
      </w:r>
    </w:p>
    <w:p>
      <w:pPr>
        <w:pStyle w:val="Heading3"/>
      </w:pPr>
      <w:r>
        <w:t>Test B2 — Naming, version stamping, and metadata are compliant</w:t>
      </w:r>
    </w:p>
    <w:p>
      <w:r>
        <w:rPr>
          <w:b/>
        </w:rPr>
        <w:t>Do:</w:t>
      </w:r>
      <w:r>
        <w:t xml:space="preserve"> Run </w:t>
      </w:r>
      <w:r>
        <w:rPr>
          <w:rFonts w:ascii="Consolas" w:hAnsi="Consolas"/>
          <w:sz w:val="19"/>
        </w:rPr>
        <w:t>.\APPSTD-Invoke-PackageStandardAudit.ps1 -CreatedSinceDays 7</w:t>
      </w:r>
      <w:r>
        <w:t xml:space="preserve"> and find the app, then run </w:t>
      </w:r>
      <w:r>
        <w:rPr>
          <w:rFonts w:ascii="Consolas" w:hAnsi="Consolas"/>
          <w:sz w:val="19"/>
        </w:rPr>
        <w:t>.\APPSTD-Get-PackageMetadataCompleteness.ps1 -MinimumScore 100</w:t>
      </w:r>
      <w:r>
        <w:t xml:space="preserve">. </w:t>
      </w:r>
      <w:r>
        <w:rPr>
          <w:b/>
        </w:rPr>
        <w:t>Expected:</w:t>
      </w:r>
      <w:r>
        <w:t xml:space="preserve"> The app reports </w:t>
      </w:r>
      <w:r>
        <w:rPr>
          <w:rFonts w:ascii="Consolas" w:hAnsi="Consolas"/>
          <w:sz w:val="19"/>
        </w:rPr>
        <w:t>Compliant: YES</w:t>
      </w:r>
      <w:r>
        <w:t xml:space="preserve"> with zero violations, and a metadata score of </w:t>
      </w:r>
      <w:r>
        <w:rPr>
          <w:rFonts w:ascii="Consolas" w:hAnsi="Consolas"/>
          <w:sz w:val="19"/>
        </w:rPr>
        <w:t>100</w:t>
      </w:r>
      <w:r>
        <w:t xml:space="preserve">. The version </w:t>
      </w:r>
      <w:r>
        <w:rPr>
          <w:rFonts w:ascii="Consolas" w:hAnsi="Consolas"/>
          <w:sz w:val="19"/>
        </w:rPr>
        <w:t>7.3.1</w:t>
      </w:r>
      <w:r>
        <w:t xml:space="preserve"> appears identically in the name, the detection rule, and the evidence folder.</w:t>
      </w:r>
    </w:p>
    <w:p>
      <w:pPr>
        <w:pStyle w:val="Heading3"/>
      </w:pPr>
      <w:r>
        <w:t>Test B3 — Detection rule passes the quality checker</w:t>
      </w:r>
    </w:p>
    <w:p>
      <w:r>
        <w:rPr>
          <w:b/>
        </w:rPr>
        <w:t>Do:</w:t>
      </w:r>
      <w:r>
        <w:t xml:space="preserve"> Run </w:t>
      </w:r>
      <w:r>
        <w:rPr>
          <w:rFonts w:ascii="Consolas" w:hAnsi="Consolas"/>
          <w:sz w:val="19"/>
        </w:rPr>
        <w:t>.\APPSTD-Test-DetectionRuleQuality.ps1 -AppName "Acme Software Ltd. Acme Invoice Client – Win32 – v7.3.1"</w:t>
      </w:r>
      <w:r>
        <w:t xml:space="preserve">. </w:t>
      </w:r>
      <w:r>
        <w:rPr>
          <w:b/>
        </w:rPr>
        <w:t>Expected:</w:t>
      </w:r>
      <w:r>
        <w:t xml:space="preserve"> </w:t>
      </w:r>
      <w:r>
        <w:rPr>
          <w:rFonts w:ascii="Consolas" w:hAnsi="Consolas"/>
          <w:sz w:val="19"/>
        </w:rPr>
        <w:t>Result: PASS</w:t>
      </w:r>
      <w:r>
        <w:t xml:space="preserve">, </w:t>
      </w:r>
      <w:r>
        <w:rPr>
          <w:rFonts w:ascii="Consolas" w:hAnsi="Consolas"/>
          <w:sz w:val="19"/>
        </w:rPr>
        <w:t>FindingCount: 0</w:t>
      </w:r>
      <w:r>
        <w:t>. No banned pattern (B1–B10) is triggered. This is the automated half of acceptance Gate 3.</w:t>
      </w:r>
    </w:p>
    <w:p>
      <w:pPr>
        <w:pStyle w:val="Heading3"/>
      </w:pPr>
      <w:r>
        <w:t>Test B4 — Three-state detection proof on Ring 0</w:t>
      </w:r>
    </w:p>
    <w:p>
      <w:r>
        <w:rPr>
          <w:b/>
        </w:rPr>
        <w:t>Do:</w:t>
      </w:r>
      <w:r>
        <w:t xml:space="preserve"> On a clean </w:t>
      </w:r>
      <w:r>
        <w:rPr>
          <w:rFonts w:ascii="Consolas" w:hAnsi="Consolas"/>
          <w:sz w:val="19"/>
        </w:rPr>
        <w:t>APP – Ring 0 Packaging Lab</w:t>
      </w:r>
      <w:r>
        <w:t xml:space="preserve"> VM: (1) confirm detection reports </w:t>
      </w:r>
      <w:r>
        <w:rPr>
          <w:b/>
        </w:rPr>
        <w:t>not installed</w:t>
      </w:r>
      <w:r>
        <w:t xml:space="preserve"> before install; (2) install and confirm detection reports </w:t>
      </w:r>
      <w:r>
        <w:rPr>
          <w:b/>
        </w:rPr>
        <w:t>installed</w:t>
      </w:r>
      <w:r>
        <w:t xml:space="preserve">; (3) on a VM with v7.2.4 present, confirm the v7.3.1 rule reports </w:t>
      </w:r>
      <w:r>
        <w:rPr>
          <w:b/>
        </w:rPr>
        <w:t>not installed</w:t>
      </w:r>
      <w:r>
        <w:t xml:space="preserve"> (i.e. it distinguishes versions). </w:t>
      </w:r>
      <w:r>
        <w:rPr>
          <w:b/>
        </w:rPr>
        <w:t>Expected:</w:t>
      </w:r>
      <w:r>
        <w:t xml:space="preserve"> All three states observed and recorded on the acceptance checklist (Gate 3.5).</w:t>
      </w:r>
    </w:p>
    <w:p>
      <w:pPr>
        <w:pStyle w:val="Heading3"/>
      </w:pPr>
      <w:r>
        <w:t>Test B5 — Commands are silent and reversible</w:t>
      </w:r>
    </w:p>
    <w:p>
      <w:r>
        <w:rPr>
          <w:b/>
        </w:rPr>
        <w:t>Do:</w:t>
      </w:r>
      <w:r>
        <w:t xml:space="preserve"> On a Ring 0 VM, run the install command manually, then the uninstall command. Check </w:t>
      </w:r>
      <w:r>
        <w:rPr>
          <w:rFonts w:ascii="Consolas" w:hAnsi="Consolas"/>
          <w:sz w:val="19"/>
        </w:rPr>
        <w:t>C:\ProgramData\PackageLogs\</w:t>
      </w:r>
      <w:r>
        <w:t xml:space="preserve"> for the logs. </w:t>
      </w:r>
      <w:r>
        <w:rPr>
          <w:b/>
        </w:rPr>
        <w:t>Expected:</w:t>
      </w:r>
      <w:r>
        <w:t xml:space="preserve"> Both run with no UI, return exit </w:t>
      </w:r>
      <w:r>
        <w:rPr>
          <w:rFonts w:ascii="Consolas" w:hAnsi="Consolas"/>
          <w:sz w:val="19"/>
        </w:rPr>
        <w:t>0</w:t>
      </w:r>
      <w:r>
        <w:t>, and the uninstall genuinely removes the app (detection then reports not installed). A stub uninstall fails this test (Gate 2.4).</w:t>
      </w:r>
    </w:p>
    <w:p>
      <w:pPr>
        <w:pStyle w:val="Heading3"/>
      </w:pPr>
      <w:r>
        <w:t>Test B6 — Assignment hygiene is clean</w:t>
      </w:r>
    </w:p>
    <w:p>
      <w:r>
        <w:rPr>
          <w:b/>
        </w:rPr>
        <w:t>Do:</w:t>
      </w:r>
      <w:r>
        <w:t xml:space="preserve"> After the app is assigned to Ring 1, run </w:t>
      </w:r>
      <w:r>
        <w:rPr>
          <w:rFonts w:ascii="Consolas" w:hAnsi="Consolas"/>
          <w:sz w:val="19"/>
        </w:rPr>
        <w:t>.\APPSTD-Get-AssignmentHygieneReport.ps1</w:t>
      </w:r>
      <w:r>
        <w:t xml:space="preserve">. </w:t>
      </w:r>
      <w:r>
        <w:rPr>
          <w:b/>
        </w:rPr>
        <w:t>Expected:</w:t>
      </w:r>
      <w:r>
        <w:t xml:space="preserve"> The app reports </w:t>
      </w:r>
      <w:r>
        <w:rPr>
          <w:rFonts w:ascii="Consolas" w:hAnsi="Consolas"/>
          <w:sz w:val="19"/>
        </w:rPr>
        <w:t>Clean: YES</w:t>
      </w:r>
      <w:r>
        <w:t xml:space="preserve">. The </w:t>
      </w:r>
      <w:r>
        <w:rPr>
          <w:rFonts w:ascii="Consolas" w:hAnsi="Consolas"/>
          <w:sz w:val="19"/>
        </w:rPr>
        <w:t>APP – Exclusions – Do Not Deploy</w:t>
      </w:r>
      <w:r>
        <w:t xml:space="preserve"> group is present as an </w:t>
      </w:r>
      <w:r>
        <w:rPr>
          <w:b/>
        </w:rPr>
        <w:t>Excluded</w:t>
      </w:r>
      <w:r>
        <w:t xml:space="preserve"> group, and there is no All Devices/All Users target and no Required+Uninstall conflict.</w:t>
      </w:r>
    </w:p>
    <w:p>
      <w:pPr>
        <w:pStyle w:val="Heading3"/>
      </w:pPr>
      <w:r>
        <w:t>Test B7 — Sign-off record exists before Ring 2</w:t>
      </w:r>
    </w:p>
    <w:p>
      <w:r>
        <w:rPr>
          <w:b/>
        </w:rPr>
        <w:t>Do:</w:t>
      </w:r>
      <w:r>
        <w:t xml:space="preserve"> Open </w:t>
      </w:r>
      <w:r>
        <w:rPr>
          <w:rFonts w:ascii="Consolas" w:hAnsi="Consolas"/>
          <w:sz w:val="19"/>
        </w:rPr>
        <w:t>03-Signoff.md</w:t>
      </w:r>
      <w:r>
        <w:t xml:space="preserve"> in the evidence folder. </w:t>
      </w:r>
      <w:r>
        <w:rPr>
          <w:b/>
        </w:rPr>
        <w:t>Expected:</w:t>
      </w:r>
      <w:r>
        <w:t xml:space="preserve"> It names a reviewer who is </w:t>
      </w:r>
      <w:r>
        <w:rPr>
          <w:b/>
        </w:rPr>
        <w:t>not</w:t>
      </w:r>
      <w:r>
        <w:t xml:space="preserve"> the packager, records Gates 1–5 as PASS, cites the detection checker's 0-finding result, and shows Ring 2 approval as pending until pilot validation.</w:t>
      </w:r>
    </w:p>
    <w:p>
      <w:pPr>
        <w:pStyle w:val="Heading3"/>
      </w:pPr>
      <w:r>
        <w:t>Test B8 — Pilot install report</w:t>
      </w:r>
    </w:p>
    <w:p>
      <w:r>
        <w:rPr>
          <w:b/>
        </w:rPr>
        <w:t>Do:</w:t>
      </w:r>
      <w:r>
        <w:t xml:space="preserve"> After Ring 1 assignment and a policy cycle, in Intune open the app → </w:t>
      </w:r>
      <w:r>
        <w:rPr>
          <w:b/>
        </w:rPr>
        <w:t>Device install status</w:t>
      </w:r>
      <w:r>
        <w:t xml:space="preserve">. </w:t>
      </w:r>
      <w:r>
        <w:rPr>
          <w:b/>
        </w:rPr>
        <w:t>Expected:</w:t>
      </w:r>
      <w:r>
        <w:t xml:space="preserve"> Pilot devices report </w:t>
      </w:r>
      <w:r>
        <w:rPr>
          <w:b/>
        </w:rPr>
        <w:t>Installed</w:t>
      </w:r>
      <w:r>
        <w:t xml:space="preserve"> (not "Installed but failed", not a reinstall loop), confirming the detection rule reports the truth on real devices.</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Standard-ready</w:t>
            </w:r>
          </w:p>
        </w:tc>
        <w:tc>
          <w:tcPr>
            <w:tcW w:type="dxa" w:w="4320"/>
          </w:tcPr>
          <w:p>
            <w:r>
              <w:t>Tests A1–A4 pass — objects exist, packager role is scoped, scripts run, evidence store ready</w:t>
            </w:r>
          </w:p>
        </w:tc>
      </w:tr>
      <w:tr>
        <w:tc>
          <w:tcPr>
            <w:tcW w:type="dxa" w:w="4320"/>
          </w:tcPr>
          <w:p>
            <w:r>
              <w:rPr>
                <w:b/>
              </w:rPr>
              <w:t>Pilot pass (per package)</w:t>
            </w:r>
          </w:p>
        </w:tc>
        <w:tc>
          <w:tcPr>
            <w:tcW w:type="dxa" w:w="4320"/>
          </w:tcPr>
          <w:p>
            <w:r>
              <w:t xml:space="preserve">Tests B1–B8 pass on </w:t>
            </w:r>
            <w:r>
              <w:rPr>
                <w:rFonts w:ascii="Consolas" w:hAnsi="Consolas"/>
                <w:sz w:val="19"/>
              </w:rPr>
              <w:t>APP – Ring 1 Pilot Devices</w:t>
            </w:r>
            <w:r>
              <w:t>; detection checker 0 findings; signed sign-off filed</w:t>
            </w:r>
          </w:p>
        </w:tc>
      </w:tr>
      <w:tr>
        <w:tc>
          <w:tcPr>
            <w:tcW w:type="dxa" w:w="4320"/>
          </w:tcPr>
          <w:p>
            <w:r>
              <w:rPr>
                <w:b/>
              </w:rPr>
              <w:t>Broad pass (per package)</w:t>
            </w:r>
          </w:p>
        </w:tc>
        <w:tc>
          <w:tcPr>
            <w:tcW w:type="dxa" w:w="4320"/>
          </w:tcPr>
          <w:p>
            <w:r>
              <w:t xml:space="preserve">Test B8 reports Installed across </w:t>
            </w:r>
            <w:r>
              <w:rPr>
                <w:rFonts w:ascii="Consolas" w:hAnsi="Consolas"/>
                <w:sz w:val="19"/>
              </w:rPr>
              <w:t>APP – Ring 2 Broad Devices</w:t>
            </w:r>
            <w:r>
              <w:t xml:space="preserve"> after expansion; hygiene report clean</w:t>
            </w:r>
          </w:p>
        </w:tc>
      </w:tr>
    </w:tbl>
    <w:p>
      <w:r>
        <w:t xml:space="preserve">Do </w:t>
      </w:r>
      <w:r>
        <w:rPr>
          <w:b/>
        </w:rPr>
        <w:t>not</w:t>
      </w:r>
      <w:r>
        <w:t xml:space="preserve"> assign a package to Ring 2 until its pilot gate passes and the sign-off record is filed.</w:t>
      </w:r>
    </w:p>
    <w:p>
      <w:pPr>
        <w:pStyle w:val="Heading1"/>
      </w:pPr>
      <w:r>
        <w:t>6. Troubleshooting Guide — Application Packaging &amp; Deployment Standards</w:t>
      </w:r>
    </w:p>
    <w:p>
      <w:r>
        <w:t xml:space="preserve">Use </w:t>
      </w:r>
      <w:r>
        <w:rPr>
          <w:rFonts w:ascii="Consolas" w:hAnsi="Consolas"/>
          <w:sz w:val="19"/>
        </w:rPr>
        <w:t>APPSTD-Invoke-PackageStandardAudit.ps1</w:t>
      </w:r>
      <w:r>
        <w:t xml:space="preserve"> for naming/metadata violations, </w:t>
      </w:r>
      <w:r>
        <w:rPr>
          <w:rFonts w:ascii="Consolas" w:hAnsi="Consolas"/>
          <w:sz w:val="19"/>
        </w:rPr>
        <w:t>APPSTD-Test-DetectionRuleQuality.ps1</w:t>
      </w:r>
      <w:r>
        <w:t xml:space="preserve"> for detection findings, </w:t>
      </w:r>
      <w:r>
        <w:rPr>
          <w:rFonts w:ascii="Consolas" w:hAnsi="Consolas"/>
          <w:sz w:val="19"/>
        </w:rPr>
        <w:t>APPSTD-Get-AssignmentHygieneReport.ps1</w:t>
      </w:r>
      <w:r>
        <w:t xml:space="preserve"> for assignment problems, </w:t>
      </w:r>
      <w:r>
        <w:rPr>
          <w:rFonts w:ascii="Consolas" w:hAnsi="Consolas"/>
          <w:sz w:val="19"/>
        </w:rPr>
        <w:t>APPSTD-Get-PackageMetadataCompleteness.ps1</w:t>
      </w:r>
      <w:r>
        <w:t xml:space="preserve"> for metadata scores, and </w:t>
      </w:r>
      <w:r>
        <w:rPr>
          <w:rFonts w:ascii="Consolas" w:hAnsi="Consolas"/>
          <w:sz w:val="19"/>
        </w:rPr>
        <w:t>APPSTD-Set-AppMetadataStandard.ps1</w:t>
      </w:r>
      <w:r>
        <w:t xml:space="preserve"> (preview by default) to normalise mechanical gaps. The worked example throughout is </w:t>
      </w:r>
      <w:r>
        <w:rPr>
          <w:rFonts w:ascii="Consolas" w:hAnsi="Consolas"/>
          <w:sz w:val="19"/>
        </w:rPr>
        <w:t>Acme Software Ltd. Acme Invoice Client – Win32 – v7.3.1</w:t>
      </w:r>
      <w:r>
        <w:t>.</w:t>
      </w:r>
    </w:p>
    <w:p>
      <w:pPr>
        <w:pStyle w:val="Heading2"/>
      </w:pPr>
      <w:r>
        <w:t>A. The scripts won't connect or return nothing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Connect-MgGraph</w:t>
            </w:r>
            <w:r>
              <w:t xml:space="preserve"> fails or prompts endlessly</w:t>
            </w:r>
          </w:p>
        </w:tc>
        <w:tc>
          <w:tcPr>
            <w:tcW w:type="dxa" w:w="2880"/>
          </w:tcPr>
          <w:p>
            <w:r>
              <w:t>SDK missing or scopes not consented</w:t>
            </w:r>
          </w:p>
        </w:tc>
        <w:tc>
          <w:tcPr>
            <w:tcW w:type="dxa" w:w="2880"/>
          </w:tcPr>
          <w:p>
            <w:r>
              <w:t>Install the SDK (Requirement 2.4); run once interactively as an Intune Administrator to accept the consent prompt (Requirement 2.5)</w:t>
            </w:r>
          </w:p>
        </w:tc>
      </w:tr>
      <w:tr>
        <w:tc>
          <w:tcPr>
            <w:tcW w:type="dxa" w:w="2880"/>
          </w:tcPr>
          <w:p>
            <w:r>
              <w:t>Script runs but reports "No matching Windows apps found"</w:t>
            </w:r>
          </w:p>
        </w:tc>
        <w:tc>
          <w:tcPr>
            <w:tcW w:type="dxa" w:w="2880"/>
          </w:tcPr>
          <w:p>
            <w:r>
              <w:t>Tenant genuinely has no Win32/Store/MSIX apps, or a filter excluded them</w:t>
            </w:r>
          </w:p>
        </w:tc>
        <w:tc>
          <w:tcPr>
            <w:tcW w:type="dxa" w:w="2880"/>
          </w:tcPr>
          <w:p>
            <w:r>
              <w:t xml:space="preserve">Confirm apps exist in Intune → </w:t>
            </w:r>
            <w:r>
              <w:rPr>
                <w:b/>
              </w:rPr>
              <w:t>Apps → All apps</w:t>
            </w:r>
            <w:r>
              <w:t xml:space="preserve">; remove </w:t>
            </w:r>
            <w:r>
              <w:rPr>
                <w:rFonts w:ascii="Consolas" w:hAnsi="Consolas"/>
                <w:sz w:val="19"/>
              </w:rPr>
              <w:t>-CreatedSinceDays</w:t>
            </w:r>
            <w:r>
              <w:t xml:space="preserve"> if you set it</w:t>
            </w:r>
          </w:p>
        </w:tc>
      </w:tr>
      <w:tr>
        <w:tc>
          <w:tcPr>
            <w:tcW w:type="dxa" w:w="2880"/>
          </w:tcPr>
          <w:p>
            <w:r>
              <w:rPr>
                <w:rFonts w:ascii="Consolas" w:hAnsi="Consolas"/>
                <w:sz w:val="19"/>
              </w:rPr>
              <w:t>Insufficient privileges</w:t>
            </w:r>
            <w:r>
              <w:t xml:space="preserve"> on the remediation </w:t>
            </w:r>
            <w:r>
              <w:rPr>
                <w:rFonts w:ascii="Consolas" w:hAnsi="Consolas"/>
                <w:sz w:val="19"/>
              </w:rPr>
              <w:t>-Apply</w:t>
            </w:r>
          </w:p>
        </w:tc>
        <w:tc>
          <w:tcPr>
            <w:tcW w:type="dxa" w:w="2880"/>
          </w:tcPr>
          <w:p>
            <w:r>
              <w:t>Only read scope consented</w:t>
            </w:r>
          </w:p>
        </w:tc>
        <w:tc>
          <w:tcPr>
            <w:tcW w:type="dxa" w:w="2880"/>
          </w:tcPr>
          <w:p>
            <w:r>
              <w:t xml:space="preserve">Re-run and consent to </w:t>
            </w:r>
            <w:r>
              <w:rPr>
                <w:rFonts w:ascii="Consolas" w:hAnsi="Consolas"/>
                <w:sz w:val="19"/>
              </w:rPr>
              <w:t>DeviceManagementApps.ReadWrite.All</w:t>
            </w:r>
            <w:r>
              <w:t xml:space="preserve">; the account needs the </w:t>
            </w:r>
            <w:r>
              <w:rPr>
                <w:b/>
              </w:rPr>
              <w:t>Intune Administrator</w:t>
            </w:r>
            <w:r>
              <w:t xml:space="preserve"> role</w:t>
            </w:r>
          </w:p>
        </w:tc>
      </w:tr>
      <w:tr>
        <w:tc>
          <w:tcPr>
            <w:tcW w:type="dxa" w:w="2880"/>
          </w:tcPr>
          <w:p>
            <w:r>
              <w:t>Consent blocked by the tenant</w:t>
            </w:r>
          </w:p>
        </w:tc>
        <w:tc>
          <w:tcPr>
            <w:tcW w:type="dxa" w:w="2880"/>
          </w:tcPr>
          <w:p>
            <w:r>
              <w:t>User-consent is disabled</w:t>
            </w:r>
          </w:p>
        </w:tc>
        <w:tc>
          <w:tcPr>
            <w:tcW w:type="dxa" w:w="2880"/>
          </w:tcPr>
          <w:p>
            <w:r>
              <w:t>Have a Global Administrator grant admin consent for the Microsoft Graph PowerShell app for the listed scopes</w:t>
            </w:r>
          </w:p>
        </w:tc>
      </w:tr>
    </w:tbl>
    <w:p>
      <w:pPr>
        <w:pStyle w:val="Heading2"/>
      </w:pPr>
      <w:r>
        <w:t>B. An app fails the naming/standard audit but "looks fine"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name-convention</w:t>
            </w:r>
            <w:r>
              <w:t xml:space="preserve"> FAIL on a correct-looking name</w:t>
            </w:r>
          </w:p>
        </w:tc>
        <w:tc>
          <w:tcPr>
            <w:tcW w:type="dxa" w:w="2880"/>
          </w:tcPr>
          <w:p>
            <w:r>
              <w:t xml:space="preserve">The separator is a plain hyphen without surrounding spaces, or the format token isn't exactly </w:t>
            </w:r>
            <w:r>
              <w:rPr>
                <w:rFonts w:ascii="Consolas" w:hAnsi="Consolas"/>
                <w:sz w:val="19"/>
              </w:rPr>
              <w:t>Win32</w:t>
            </w:r>
            <w:r>
              <w:t>/</w:t>
            </w:r>
            <w:r>
              <w:rPr>
                <w:rFonts w:ascii="Consolas" w:hAnsi="Consolas"/>
                <w:sz w:val="19"/>
              </w:rPr>
              <w:t>MSIX</w:t>
            </w:r>
            <w:r>
              <w:t>/</w:t>
            </w:r>
            <w:r>
              <w:rPr>
                <w:rFonts w:ascii="Consolas" w:hAnsi="Consolas"/>
                <w:sz w:val="19"/>
              </w:rPr>
              <w:t>Store</w:t>
            </w:r>
          </w:p>
        </w:tc>
        <w:tc>
          <w:tcPr>
            <w:tcW w:type="dxa" w:w="2880"/>
          </w:tcPr>
          <w:p>
            <w:r>
              <w:t xml:space="preserve">Rename to </w:t>
            </w:r>
            <w:r>
              <w:rPr>
                <w:rFonts w:ascii="Consolas" w:hAnsi="Consolas"/>
                <w:sz w:val="19"/>
              </w:rPr>
              <w:t>&lt;Publisher&gt; &lt;Product&gt; – &lt;Format&gt; – v&lt;Version&gt;</w:t>
            </w:r>
            <w:r>
              <w:t xml:space="preserve"> with </w:t>
            </w:r>
            <w:r>
              <w:rPr>
                <w:rFonts w:ascii="Consolas" w:hAnsi="Consolas"/>
                <w:sz w:val="19"/>
              </w:rPr>
              <w:t xml:space="preserve"> – </w:t>
            </w:r>
            <w:r>
              <w:t xml:space="preserve"> (space-dash-space); a new version is a new app object, never an in-place rename of a live one</w:t>
            </w:r>
          </w:p>
        </w:tc>
      </w:tr>
      <w:tr>
        <w:tc>
          <w:tcPr>
            <w:tcW w:type="dxa" w:w="2880"/>
          </w:tcPr>
          <w:p>
            <w:r>
              <w:rPr>
                <w:rFonts w:ascii="Consolas" w:hAnsi="Consolas"/>
                <w:sz w:val="19"/>
              </w:rPr>
              <w:t>version-stamp</w:t>
            </w:r>
            <w:r>
              <w:t xml:space="preserve"> FAIL</w:t>
            </w:r>
          </w:p>
        </w:tc>
        <w:tc>
          <w:tcPr>
            <w:tcW w:type="dxa" w:w="2880"/>
          </w:tcPr>
          <w:p>
            <w:r>
              <w:t xml:space="preserve">No </w:t>
            </w:r>
            <w:r>
              <w:rPr>
                <w:rFonts w:ascii="Consolas" w:hAnsi="Consolas"/>
                <w:sz w:val="19"/>
              </w:rPr>
              <w:t>vX.Y</w:t>
            </w:r>
            <w:r>
              <w:t xml:space="preserve"> token in the name</w:t>
            </w:r>
          </w:p>
        </w:tc>
        <w:tc>
          <w:tcPr>
            <w:tcW w:type="dxa" w:w="2880"/>
          </w:tcPr>
          <w:p>
            <w:r>
              <w:t xml:space="preserve">Add the vendor version, prefixed </w:t>
            </w:r>
            <w:r>
              <w:rPr>
                <w:rFonts w:ascii="Consolas" w:hAnsi="Consolas"/>
                <w:sz w:val="19"/>
              </w:rPr>
              <w:t>v</w:t>
            </w:r>
            <w:r>
              <w:t>, to the name and confirm the detection rule asserts the same version</w:t>
            </w:r>
          </w:p>
        </w:tc>
      </w:tr>
      <w:tr>
        <w:tc>
          <w:tcPr>
            <w:tcW w:type="dxa" w:w="2880"/>
          </w:tcPr>
          <w:p>
            <w:r>
              <w:rPr>
                <w:rFonts w:ascii="Consolas" w:hAnsi="Consolas"/>
                <w:sz w:val="19"/>
              </w:rPr>
              <w:t>banned-word</w:t>
            </w:r>
            <w:r>
              <w:t xml:space="preserve"> FAIL for </w:t>
            </w:r>
            <w:r>
              <w:rPr>
                <w:rFonts w:ascii="Consolas" w:hAnsi="Consolas"/>
                <w:sz w:val="19"/>
              </w:rPr>
              <w:t>New</w:t>
            </w:r>
            <w:r>
              <w:t>/</w:t>
            </w:r>
            <w:r>
              <w:rPr>
                <w:rFonts w:ascii="Consolas" w:hAnsi="Consolas"/>
                <w:sz w:val="19"/>
              </w:rPr>
              <w:t>Copy</w:t>
            </w:r>
          </w:p>
        </w:tc>
        <w:tc>
          <w:tcPr>
            <w:tcW w:type="dxa" w:w="2880"/>
          </w:tcPr>
          <w:p>
            <w:r>
              <w:t>A real word in the product name coincides with a banned token</w:t>
            </w:r>
          </w:p>
        </w:tc>
        <w:tc>
          <w:tcPr>
            <w:tcW w:type="dxa" w:w="2880"/>
          </w:tcPr>
          <w:p>
            <w:r>
              <w:t>This is a false positive on a legitimate name; record it as an accepted exception in the register rather than renaming the product</w:t>
            </w:r>
          </w:p>
        </w:tc>
      </w:tr>
      <w:tr>
        <w:tc>
          <w:tcPr>
            <w:tcW w:type="dxa" w:w="2880"/>
          </w:tcPr>
          <w:p>
            <w:r>
              <w:rPr>
                <w:rFonts w:ascii="Consolas" w:hAnsi="Consolas"/>
                <w:sz w:val="19"/>
              </w:rPr>
              <w:t>description-standard</w:t>
            </w:r>
            <w:r>
              <w:t xml:space="preserve"> FAIL</w:t>
            </w:r>
          </w:p>
        </w:tc>
        <w:tc>
          <w:tcPr>
            <w:tcW w:type="dxa" w:w="2880"/>
          </w:tcPr>
          <w:p>
            <w:r>
              <w:t>Description lacks the three mandatory lines</w:t>
            </w:r>
          </w:p>
        </w:tc>
        <w:tc>
          <w:tcPr>
            <w:tcW w:type="dxa" w:w="2880"/>
          </w:tcPr>
          <w:p>
            <w:r>
              <w:t xml:space="preserve">Use </w:t>
            </w:r>
            <w:r>
              <w:rPr>
                <w:rFonts w:ascii="Consolas" w:hAnsi="Consolas"/>
                <w:sz w:val="19"/>
              </w:rPr>
              <w:t>APPSTD-Set-AppMetadataStandard.ps1</w:t>
            </w:r>
            <w:r>
              <w:t xml:space="preserve"> with </w:t>
            </w:r>
            <w:r>
              <w:rPr>
                <w:rFonts w:ascii="Consolas" w:hAnsi="Consolas"/>
                <w:sz w:val="19"/>
              </w:rPr>
              <w:t>BusinessPurpose</w:t>
            </w:r>
            <w:r>
              <w:t>/</w:t>
            </w:r>
            <w:r>
              <w:rPr>
                <w:rFonts w:ascii="Consolas" w:hAnsi="Consolas"/>
                <w:sz w:val="19"/>
              </w:rPr>
              <w:t>BusinessOwner</w:t>
            </w:r>
            <w:r>
              <w:t>/</w:t>
            </w:r>
            <w:r>
              <w:rPr>
                <w:rFonts w:ascii="Consolas" w:hAnsi="Consolas"/>
                <w:sz w:val="19"/>
              </w:rPr>
              <w:t>PackageRecord</w:t>
            </w:r>
            <w:r>
              <w:t xml:space="preserve"> values (preview, then </w:t>
            </w:r>
            <w:r>
              <w:rPr>
                <w:rFonts w:ascii="Consolas" w:hAnsi="Consolas"/>
                <w:sz w:val="19"/>
              </w:rPr>
              <w:t>-Apply</w:t>
            </w:r>
            <w:r>
              <w:t>)</w:t>
            </w:r>
          </w:p>
        </w:tc>
      </w:tr>
    </w:tbl>
    <w:p>
      <w:pPr>
        <w:pStyle w:val="Heading2"/>
      </w:pPr>
      <w:r>
        <w:t>C. Detection quality checker flags a 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Finding</w:t>
            </w:r>
          </w:p>
        </w:tc>
        <w:tc>
          <w:tcPr>
            <w:tcW w:type="dxa" w:w="2880"/>
          </w:tcPr>
          <w:p>
            <w:r>
              <w:rPr>
                <w:b/>
              </w:rPr>
              <w:t>Meaning</w:t>
            </w:r>
          </w:p>
        </w:tc>
        <w:tc>
          <w:tcPr>
            <w:tcW w:type="dxa" w:w="2880"/>
          </w:tcPr>
          <w:p>
            <w:r>
              <w:rPr>
                <w:b/>
              </w:rPr>
              <w:t>Remediation</w:t>
            </w:r>
          </w:p>
        </w:tc>
      </w:tr>
      <w:tr>
        <w:tc>
          <w:tcPr>
            <w:tcW w:type="dxa" w:w="2880"/>
          </w:tcPr>
          <w:p>
            <w:r>
              <w:rPr>
                <w:rFonts w:ascii="Consolas" w:hAnsi="Consolas"/>
                <w:sz w:val="19"/>
              </w:rPr>
              <w:t>B1(file-exists-no-version)</w:t>
            </w:r>
          </w:p>
        </w:tc>
        <w:tc>
          <w:tcPr>
            <w:tcW w:type="dxa" w:w="2880"/>
          </w:tcPr>
          <w:p>
            <w:r>
              <w:t>A versionable app is detected by mere existence</w:t>
            </w:r>
          </w:p>
        </w:tc>
        <w:tc>
          <w:tcPr>
            <w:tcW w:type="dxa" w:w="2880"/>
          </w:tcPr>
          <w:p>
            <w:r>
              <w:t xml:space="preserve">Change the file rule's method to </w:t>
            </w:r>
            <w:r>
              <w:rPr>
                <w:b/>
              </w:rPr>
              <w:t>Version</w:t>
            </w:r>
            <w:r>
              <w:t xml:space="preserve"> with operator </w:t>
            </w:r>
            <w:r>
              <w:rPr>
                <w:b/>
              </w:rPr>
              <w:t>≥</w:t>
            </w:r>
            <w:r>
              <w:t>, or use the MSI product code with a version check</w:t>
            </w:r>
          </w:p>
        </w:tc>
      </w:tr>
      <w:tr>
        <w:tc>
          <w:tcPr>
            <w:tcW w:type="dxa" w:w="2880"/>
          </w:tcPr>
          <w:p>
            <w:r>
              <w:rPr>
                <w:rFonts w:ascii="Consolas" w:hAnsi="Consolas"/>
                <w:sz w:val="19"/>
              </w:rPr>
              <w:t>B2(folder-only)</w:t>
            </w:r>
          </w:p>
        </w:tc>
        <w:tc>
          <w:tcPr>
            <w:tcW w:type="dxa" w:w="2880"/>
          </w:tcPr>
          <w:p>
            <w:r>
              <w:t>Detection points at a folder, not a file</w:t>
            </w:r>
          </w:p>
        </w:tc>
        <w:tc>
          <w:tcPr>
            <w:tcW w:type="dxa" w:w="2880"/>
          </w:tcPr>
          <w:p>
            <w:r>
              <w:t>Point at a specific versioned file the installer writes; uninstallers leave folders behind</w:t>
            </w:r>
          </w:p>
        </w:tc>
      </w:tr>
      <w:tr>
        <w:tc>
          <w:tcPr>
            <w:tcW w:type="dxa" w:w="2880"/>
          </w:tcPr>
          <w:p>
            <w:r>
              <w:rPr>
                <w:rFonts w:ascii="Consolas" w:hAnsi="Consolas"/>
                <w:sz w:val="19"/>
              </w:rPr>
              <w:t>B5(shared-runtime)</w:t>
            </w:r>
          </w:p>
        </w:tc>
        <w:tc>
          <w:tcPr>
            <w:tcW w:type="dxa" w:w="2880"/>
          </w:tcPr>
          <w:p>
            <w:r>
              <w:t>Detection targets a shared DLL/runtime</w:t>
            </w:r>
          </w:p>
        </w:tc>
        <w:tc>
          <w:tcPr>
            <w:tcW w:type="dxa" w:w="2880"/>
          </w:tcPr>
          <w:p>
            <w:r>
              <w:t>Re-target the app's own uniquely-named binary or its MSI product code</w:t>
            </w:r>
          </w:p>
        </w:tc>
      </w:tr>
      <w:tr>
        <w:tc>
          <w:tcPr>
            <w:tcW w:type="dxa" w:w="2880"/>
          </w:tcPr>
          <w:p>
            <w:r>
              <w:rPr>
                <w:rFonts w:ascii="Consolas" w:hAnsi="Consolas"/>
                <w:sz w:val="19"/>
              </w:rPr>
              <w:t>B6(per-user-path-system-context)</w:t>
            </w:r>
          </w:p>
        </w:tc>
        <w:tc>
          <w:tcPr>
            <w:tcW w:type="dxa" w:w="2880"/>
          </w:tcPr>
          <w:p>
            <w:r>
              <w:t xml:space="preserve">An </w:t>
            </w:r>
            <w:r>
              <w:rPr>
                <w:rFonts w:ascii="Consolas" w:hAnsi="Consolas"/>
                <w:sz w:val="19"/>
              </w:rPr>
              <w:t>HKCU</w:t>
            </w:r>
            <w:r>
              <w:t>/</w:t>
            </w:r>
            <w:r>
              <w:rPr>
                <w:rFonts w:ascii="Consolas" w:hAnsi="Consolas"/>
                <w:sz w:val="19"/>
              </w:rPr>
              <w:t>%AppData%</w:t>
            </w:r>
            <w:r>
              <w:t xml:space="preserve"> rule on a System-context install</w:t>
            </w:r>
          </w:p>
        </w:tc>
        <w:tc>
          <w:tcPr>
            <w:tcW w:type="dxa" w:w="2880"/>
          </w:tcPr>
          <w:p>
            <w:r>
              <w:t xml:space="preserve">Move detection to an </w:t>
            </w:r>
            <w:r>
              <w:rPr>
                <w:rFonts w:ascii="Consolas" w:hAnsi="Consolas"/>
                <w:sz w:val="19"/>
              </w:rPr>
              <w:t>HKLM</w:t>
            </w:r>
            <w:r>
              <w:t xml:space="preserve"> key or a </w:t>
            </w:r>
            <w:r>
              <w:rPr>
                <w:rFonts w:ascii="Consolas" w:hAnsi="Consolas"/>
                <w:sz w:val="19"/>
              </w:rPr>
              <w:t>Program Files</w:t>
            </w:r>
            <w:r>
              <w:t xml:space="preserve"> file; SYSTEM cannot see the user hive</w:t>
            </w:r>
          </w:p>
        </w:tc>
      </w:tr>
      <w:tr>
        <w:tc>
          <w:tcPr>
            <w:tcW w:type="dxa" w:w="2880"/>
          </w:tcPr>
          <w:p>
            <w:r>
              <w:rPr>
                <w:rFonts w:ascii="Consolas" w:hAnsi="Consolas"/>
                <w:sz w:val="19"/>
              </w:rPr>
              <w:t>B7(multiple-rule-types)</w:t>
            </w:r>
          </w:p>
        </w:tc>
        <w:tc>
          <w:tcPr>
            <w:tcW w:type="dxa" w:w="2880"/>
          </w:tcPr>
          <w:p>
            <w:r>
              <w:t>More than one rule type combined</w:t>
            </w:r>
          </w:p>
        </w:tc>
        <w:tc>
          <w:tcPr>
            <w:tcW w:type="dxa" w:w="2880"/>
          </w:tcPr>
          <w:p>
            <w:r>
              <w:t>Reduce to one authoritative rule, or document the reason and countersign</w:t>
            </w:r>
          </w:p>
        </w:tc>
      </w:tr>
      <w:tr>
        <w:tc>
          <w:tcPr>
            <w:tcW w:type="dxa" w:w="2880"/>
          </w:tcPr>
          <w:p>
            <w:r>
              <w:rPr>
                <w:rFonts w:ascii="Consolas" w:hAnsi="Consolas"/>
                <w:sz w:val="19"/>
              </w:rPr>
              <w:t>B8</w:t>
            </w:r>
            <w:r>
              <w:t>/</w:t>
            </w:r>
            <w:r>
              <w:rPr>
                <w:rFonts w:ascii="Consolas" w:hAnsi="Consolas"/>
                <w:sz w:val="19"/>
              </w:rPr>
              <w:t>B9</w:t>
            </w:r>
            <w:r>
              <w:t>/</w:t>
            </w:r>
            <w:r>
              <w:rPr>
                <w:rFonts w:ascii="Consolas" w:hAnsi="Consolas"/>
                <w:sz w:val="19"/>
              </w:rPr>
              <w:t>B10</w:t>
            </w:r>
            <w:r>
              <w:t xml:space="preserve"> on a script rule</w:t>
            </w:r>
          </w:p>
        </w:tc>
        <w:tc>
          <w:tcPr>
            <w:tcW w:type="dxa" w:w="2880"/>
          </w:tcPr>
          <w:p>
            <w:r>
              <w:t xml:space="preserve">The detection script acts, uses </w:t>
            </w:r>
            <w:r>
              <w:rPr>
                <w:rFonts w:ascii="Consolas" w:hAnsi="Consolas"/>
                <w:sz w:val="19"/>
              </w:rPr>
              <w:t>Write-Host</w:t>
            </w:r>
            <w:r>
              <w:t xml:space="preserve">/no exit, or calls </w:t>
            </w:r>
            <w:r>
              <w:rPr>
                <w:rFonts w:ascii="Consolas" w:hAnsi="Consolas"/>
                <w:sz w:val="19"/>
              </w:rPr>
              <w:t>Win32_Product</w:t>
            </w:r>
          </w:p>
        </w:tc>
        <w:tc>
          <w:tcPr>
            <w:tcW w:type="dxa" w:w="2880"/>
          </w:tcPr>
          <w:p>
            <w:r>
              <w:t xml:space="preserve">Rewrite the script to only observe: emit STDOUT + exit </w:t>
            </w:r>
            <w:r>
              <w:rPr>
                <w:rFonts w:ascii="Consolas" w:hAnsi="Consolas"/>
                <w:sz w:val="19"/>
              </w:rPr>
              <w:t>0</w:t>
            </w:r>
            <w:r>
              <w:t xml:space="preserve"> on detect, no output + exit </w:t>
            </w:r>
            <w:r>
              <w:rPr>
                <w:rFonts w:ascii="Consolas" w:hAnsi="Consolas"/>
                <w:sz w:val="19"/>
              </w:rPr>
              <w:t>0</w:t>
            </w:r>
            <w:r>
              <w:t xml:space="preserve"> on not-detected; never </w:t>
            </w:r>
            <w:r>
              <w:rPr>
                <w:rFonts w:ascii="Consolas" w:hAnsi="Consolas"/>
                <w:sz w:val="19"/>
              </w:rPr>
              <w:t>Win32_Product</w:t>
            </w:r>
          </w:p>
        </w:tc>
      </w:tr>
      <w:tr>
        <w:tc>
          <w:tcPr>
            <w:tcW w:type="dxa" w:w="2880"/>
          </w:tcPr>
          <w:p>
            <w:r>
              <w:rPr>
                <w:rFonts w:ascii="Consolas" w:hAnsi="Consolas"/>
                <w:sz w:val="19"/>
              </w:rPr>
              <w:t>NO-RULE(missing detection)</w:t>
            </w:r>
          </w:p>
        </w:tc>
        <w:tc>
          <w:tcPr>
            <w:tcW w:type="dxa" w:w="2880"/>
          </w:tcPr>
          <w:p>
            <w:r>
              <w:t>The Win32 app has no detection rule</w:t>
            </w:r>
          </w:p>
        </w:tc>
        <w:tc>
          <w:tcPr>
            <w:tcW w:type="dxa" w:w="2880"/>
          </w:tcPr>
          <w:p>
            <w:r>
              <w:t>Add one before any assignment; without detection Intune cannot report state</w:t>
            </w:r>
          </w:p>
        </w:tc>
      </w:tr>
    </w:tbl>
    <w:p>
      <w:pPr>
        <w:pStyle w:val="Heading2"/>
      </w:pPr>
      <w:r>
        <w:t>D. Assignment hygiene report shows violations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Finding</w:t>
            </w:r>
          </w:p>
        </w:tc>
        <w:tc>
          <w:tcPr>
            <w:tcW w:type="dxa" w:w="2880"/>
          </w:tcPr>
          <w:p>
            <w:r>
              <w:rPr>
                <w:b/>
              </w:rPr>
              <w:t>Meaning</w:t>
            </w:r>
          </w:p>
        </w:tc>
        <w:tc>
          <w:tcPr>
            <w:tcW w:type="dxa" w:w="2880"/>
          </w:tcPr>
          <w:p>
            <w:r>
              <w:rPr>
                <w:b/>
              </w:rPr>
              <w:t>Remediation</w:t>
            </w:r>
          </w:p>
        </w:tc>
      </w:tr>
      <w:tr>
        <w:tc>
          <w:tcPr>
            <w:tcW w:type="dxa" w:w="2880"/>
          </w:tcPr>
          <w:p>
            <w:r>
              <w:rPr>
                <w:rFonts w:ascii="Consolas" w:hAnsi="Consolas"/>
                <w:sz w:val="19"/>
              </w:rPr>
              <w:t>H1(all-devices/all-users)</w:t>
            </w:r>
          </w:p>
        </w:tc>
        <w:tc>
          <w:tcPr>
            <w:tcW w:type="dxa" w:w="2880"/>
          </w:tcPr>
          <w:p>
            <w:r>
              <w:t>App targets a virtual all-fleet group</w:t>
            </w:r>
          </w:p>
        </w:tc>
        <w:tc>
          <w:tcPr>
            <w:tcW w:type="dxa" w:w="2880"/>
          </w:tcPr>
          <w:p>
            <w:r>
              <w:t xml:space="preserve">Remove it; assign to </w:t>
            </w:r>
            <w:r>
              <w:rPr>
                <w:rFonts w:ascii="Consolas" w:hAnsi="Consolas"/>
                <w:sz w:val="19"/>
              </w:rPr>
              <w:t>APP – Ring 1/2</w:t>
            </w:r>
            <w:r>
              <w:t xml:space="preserve"> or a purpose-named </w:t>
            </w:r>
            <w:r>
              <w:rPr>
                <w:rFonts w:ascii="Consolas" w:hAnsi="Consolas"/>
                <w:sz w:val="19"/>
              </w:rPr>
              <w:t xml:space="preserve">APP – </w:t>
            </w:r>
            <w:r>
              <w:t xml:space="preserve"> group instead</w:t>
            </w:r>
          </w:p>
        </w:tc>
      </w:tr>
      <w:tr>
        <w:tc>
          <w:tcPr>
            <w:tcW w:type="dxa" w:w="2880"/>
          </w:tcPr>
          <w:p>
            <w:r>
              <w:rPr>
                <w:rFonts w:ascii="Consolas" w:hAnsi="Consolas"/>
                <w:sz w:val="19"/>
              </w:rPr>
              <w:t>H2(required+uninstall)</w:t>
            </w:r>
          </w:p>
        </w:tc>
        <w:tc>
          <w:tcPr>
            <w:tcW w:type="dxa" w:w="2880"/>
          </w:tcPr>
          <w:p>
            <w:r>
              <w:t>Same app is both Required and Uninstall for overlapping groups</w:t>
            </w:r>
          </w:p>
        </w:tc>
        <w:tc>
          <w:tcPr>
            <w:tcW w:type="dxa" w:w="2880"/>
          </w:tcPr>
          <w:p>
            <w:r>
              <w:t>The device installs and uninstalls on alternating cycles; remove one intent and let supersedence handle replacement</w:t>
            </w:r>
          </w:p>
        </w:tc>
      </w:tr>
      <w:tr>
        <w:tc>
          <w:tcPr>
            <w:tcW w:type="dxa" w:w="2880"/>
          </w:tcPr>
          <w:p>
            <w:r>
              <w:rPr>
                <w:rFonts w:ascii="Consolas" w:hAnsi="Consolas"/>
                <w:sz w:val="19"/>
              </w:rPr>
              <w:t>H3(duplicate-intent-target)</w:t>
            </w:r>
          </w:p>
        </w:tc>
        <w:tc>
          <w:tcPr>
            <w:tcW w:type="dxa" w:w="2880"/>
          </w:tcPr>
          <w:p>
            <w:r>
              <w:t>Two Required (or two Available) assignments to the same group</w:t>
            </w:r>
          </w:p>
        </w:tc>
        <w:tc>
          <w:tcPr>
            <w:tcW w:type="dxa" w:w="2880"/>
          </w:tcPr>
          <w:p>
            <w:r>
              <w:t>Delete the duplicate; one assignment per intent per group</w:t>
            </w:r>
          </w:p>
        </w:tc>
      </w:tr>
      <w:tr>
        <w:tc>
          <w:tcPr>
            <w:tcW w:type="dxa" w:w="2880"/>
          </w:tcPr>
          <w:p>
            <w:r>
              <w:rPr>
                <w:rFonts w:ascii="Consolas" w:hAnsi="Consolas"/>
                <w:sz w:val="19"/>
              </w:rPr>
              <w:t>H4(missing-standard-exclusion)</w:t>
            </w:r>
          </w:p>
        </w:tc>
        <w:tc>
          <w:tcPr>
            <w:tcW w:type="dxa" w:w="2880"/>
          </w:tcPr>
          <w:p>
            <w:r>
              <w:t xml:space="preserve">A Required assignment lacks </w:t>
            </w:r>
            <w:r>
              <w:rPr>
                <w:rFonts w:ascii="Consolas" w:hAnsi="Consolas"/>
                <w:sz w:val="19"/>
              </w:rPr>
              <w:t>APP – Exclusions – Do Not Deploy</w:t>
            </w:r>
          </w:p>
        </w:tc>
        <w:tc>
          <w:tcPr>
            <w:tcW w:type="dxa" w:w="2880"/>
          </w:tcPr>
          <w:p>
            <w:r>
              <w:t xml:space="preserve">Add the exclusion group under </w:t>
            </w:r>
            <w:r>
              <w:rPr>
                <w:b/>
              </w:rPr>
              <w:t>Excluded</w:t>
            </w:r>
            <w:r>
              <w:t xml:space="preserve"> on the assignment</w:t>
            </w:r>
          </w:p>
        </w:tc>
      </w:tr>
      <w:tr>
        <w:tc>
          <w:tcPr>
            <w:tcW w:type="dxa" w:w="2880"/>
          </w:tcPr>
          <w:p>
            <w:r>
              <w:rPr>
                <w:rFonts w:ascii="Consolas" w:hAnsi="Consolas"/>
                <w:sz w:val="19"/>
              </w:rPr>
              <w:t>H5(unassigned-orphan)</w:t>
            </w:r>
          </w:p>
        </w:tc>
        <w:tc>
          <w:tcPr>
            <w:tcW w:type="dxa" w:w="2880"/>
          </w:tcPr>
          <w:p>
            <w:r>
              <w:t>App has no assignments</w:t>
            </w:r>
          </w:p>
        </w:tc>
        <w:tc>
          <w:tcPr>
            <w:tcW w:type="dxa" w:w="2880"/>
          </w:tcPr>
          <w:p>
            <w:r>
              <w:t>Assign it, or delete it — a Ring 0-only app older than 30 days is debris</w:t>
            </w:r>
          </w:p>
        </w:tc>
      </w:tr>
    </w:tbl>
    <w:p>
      <w:pPr>
        <w:pStyle w:val="Heading2"/>
      </w:pPr>
      <w:r>
        <w:t>E. Metadata remediation didn't change anything</w:t>
      </w:r>
    </w:p>
    <w:p>
      <w:pPr>
        <w:pStyle w:val="ListBullet"/>
      </w:pPr>
      <w:r>
        <w:rPr>
          <w:b/>
        </w:rPr>
        <w:t>By design, it previews by default.</w:t>
      </w:r>
      <w:r>
        <w:t xml:space="preserve"> Nothing is written until you pass </w:t>
      </w:r>
      <w:r>
        <w:rPr>
          <w:rFonts w:ascii="Consolas" w:hAnsi="Consolas"/>
          <w:sz w:val="19"/>
        </w:rPr>
        <w:t>-Apply</w:t>
      </w:r>
      <w:r>
        <w:t>. Run once to</w:t>
      </w:r>
    </w:p>
    <w:p>
      <w:r>
        <w:t xml:space="preserve">  review the diff, then re-run with </w:t>
      </w:r>
      <w:r>
        <w:rPr>
          <w:rFonts w:ascii="Consolas" w:hAnsi="Consolas"/>
          <w:sz w:val="19"/>
        </w:rPr>
        <w:t>-Apply</w:t>
      </w:r>
      <w:r>
        <w:t>.</w:t>
      </w:r>
    </w:p>
    <w:p>
      <w:pPr>
        <w:pStyle w:val="ListBullet"/>
      </w:pPr>
      <w:r>
        <w:rPr>
          <w:b/>
        </w:rPr>
        <w:t>A category name "not found in tenant"</w:t>
      </w:r>
      <w:r>
        <w:t xml:space="preserve"> means the exact category string isn't in **Apps →</w:t>
      </w:r>
    </w:p>
    <w:p>
      <w:r>
        <w:t xml:space="preserve">  Categories**. Create it first (Implementation Step 2e); the script matches on the exact display name.</w:t>
      </w:r>
    </w:p>
    <w:p>
      <w:pPr>
        <w:pStyle w:val="ListBullet"/>
      </w:pPr>
      <w:r>
        <w:rPr>
          <w:b/>
        </w:rPr>
        <w:t>The description overwrote free text.</w:t>
      </w:r>
      <w:r>
        <w:t xml:space="preserve"> The script preserves only text placed </w:t>
      </w:r>
      <w:r>
        <w:rPr>
          <w:b/>
        </w:rPr>
        <w:t>below</w:t>
      </w:r>
      <w:r>
        <w:t xml:space="preserve"> the</w:t>
      </w:r>
    </w:p>
    <w:p>
      <w:r>
        <w:t xml:space="preserve">  </w:t>
      </w:r>
      <w:r>
        <w:rPr>
          <w:rFonts w:ascii="Consolas" w:hAnsi="Consolas"/>
          <w:sz w:val="19"/>
        </w:rPr>
        <w:t>&lt;!-- free-text below this line is preserved --&gt;</w:t>
      </w:r>
      <w:r>
        <w:t xml:space="preserve"> marker. Put any narrative below that marker.</w:t>
      </w:r>
    </w:p>
    <w:p>
      <w:pPr>
        <w:pStyle w:val="Heading2"/>
      </w:pPr>
      <w:r>
        <w:t>F. The standard is "adopted" but nobody follows it</w:t>
      </w:r>
    </w:p>
    <w:p>
      <w:r>
        <w:t>This is the most common failure, and it is not technical.</w:t>
      </w:r>
    </w:p>
    <w:p>
      <w:pPr>
        <w:pStyle w:val="ListBullet"/>
      </w:pPr>
      <w:r>
        <w:rPr>
          <w:b/>
        </w:rPr>
        <w:t>Symptom:</w:t>
      </w:r>
      <w:r>
        <w:t xml:space="preserve"> new apps still arrive non-compliant. </w:t>
      </w:r>
      <w:r>
        <w:rPr>
          <w:b/>
        </w:rPr>
        <w:t>Cause:</w:t>
      </w:r>
      <w:r>
        <w:t xml:space="preserve"> the acceptance checklist and sign-off</w:t>
      </w:r>
    </w:p>
    <w:p>
      <w:r>
        <w:t xml:space="preserve">  are being skipped because there is no consequence. </w:t>
      </w:r>
      <w:r>
        <w:rPr>
          <w:b/>
        </w:rPr>
        <w:t>Remediation:</w:t>
      </w:r>
      <w:r>
        <w:t xml:space="preserve"> enforce the packager RBAC scope   (Requirement 2.6) so packagers physically cannot self-release to Ring 2, and run the monthly new-app   audit (Implementation Step 10c) with the Packaging Standard Owner reviewing the results.</w:t>
      </w:r>
    </w:p>
    <w:p>
      <w:pPr>
        <w:pStyle w:val="ListBullet"/>
      </w:pPr>
      <w:r>
        <w:rPr>
          <w:b/>
        </w:rPr>
        <w:t>Symptom:</w:t>
      </w:r>
      <w:r>
        <w:t xml:space="preserve"> the exceptions register is full of permanent, never-reviewed waivers. </w:t>
      </w:r>
      <w:r>
        <w:rPr>
          <w:b/>
        </w:rPr>
        <w:t>Cause:</w:t>
      </w:r>
    </w:p>
    <w:p>
      <w:r>
        <w:t xml:space="preserve">  exceptions were logged without expiry dates. </w:t>
      </w:r>
      <w:r>
        <w:rPr>
          <w:b/>
        </w:rPr>
        <w:t>Remediation:</w:t>
      </w:r>
      <w:r>
        <w:t xml:space="preserve"> add a review date to every exception;   close or renew each at the annual review (Step 10f).</w:t>
      </w:r>
    </w:p>
    <w:p>
      <w:pPr>
        <w:pStyle w:val="ListBullet"/>
      </w:pPr>
      <w:r>
        <w:rPr>
          <w:b/>
        </w:rPr>
        <w:t>Symptom:</w:t>
      </w:r>
      <w:r>
        <w:t xml:space="preserve"> the baseline never improves quarter over quarter. </w:t>
      </w:r>
      <w:r>
        <w:rPr>
          <w:b/>
        </w:rPr>
        <w:t>Cause:</w:t>
      </w:r>
      <w:r>
        <w:t xml:space="preserve"> findings are reported but</w:t>
      </w:r>
    </w:p>
    <w:p>
      <w:r>
        <w:t xml:space="preserve">  not assigned to anyone. </w:t>
      </w:r>
      <w:r>
        <w:rPr>
          <w:b/>
        </w:rPr>
        <w:t>Remediation:</w:t>
      </w:r>
      <w:r>
        <w:t xml:space="preserve"> each quarterly finding gets a decision — fix now, fix at   next version, or accepted exception — with an owner and a date.</w:t>
      </w:r>
    </w:p>
    <w:p>
      <w:pPr>
        <w:pStyle w:val="Heading2"/>
      </w:pPr>
      <w:r>
        <w:t>G. Government-cloud specifics</w:t>
      </w:r>
    </w:p>
    <w:p>
      <w:pPr>
        <w:pStyle w:val="ListBullet"/>
      </w:pPr>
      <w:r>
        <w:rPr>
          <w:b/>
        </w:rPr>
        <w:t>Portal host differs.</w:t>
      </w:r>
      <w:r>
        <w:t xml:space="preserve"> Government tenants use hosts such as </w:t>
      </w:r>
      <w:r>
        <w:rPr>
          <w:rFonts w:ascii="Consolas" w:hAnsi="Consolas"/>
          <w:sz w:val="19"/>
        </w:rPr>
        <w:t>intune.microsoft.us</w:t>
      </w:r>
      <w:r>
        <w:t xml:space="preserve"> / </w:t>
      </w:r>
      <w:r>
        <w:rPr>
          <w:rFonts w:ascii="Consolas" w:hAnsi="Consolas"/>
          <w:sz w:val="19"/>
        </w:rPr>
        <w:t>portal.azure.us</w:t>
      </w:r>
    </w:p>
    <w:p>
      <w:r>
        <w:t xml:space="preserve">  rather than </w:t>
      </w:r>
      <w:r>
        <w:rPr>
          <w:rFonts w:ascii="Consolas" w:hAnsi="Consolas"/>
          <w:sz w:val="19"/>
        </w:rPr>
        <w:t>.com</w:t>
      </w:r>
      <w:r>
        <w:t>. Confirm the exact host for your cloud in Microsoft's US-sovereign-cloud   documentation before following any portal path.</w:t>
      </w:r>
    </w:p>
    <w:p>
      <w:pPr>
        <w:pStyle w:val="ListBullet"/>
      </w:pPr>
      <w:r>
        <w:rPr>
          <w:b/>
        </w:rPr>
        <w:t>The Microsoft Store (new) branch may be unavailable.</w:t>
      </w:r>
      <w:r>
        <w:t xml:space="preserve"> If Requirement 2.9 established the Store</w:t>
      </w:r>
    </w:p>
    <w:p>
      <w:r>
        <w:t xml:space="preserve">  type is absent in your cloud, an app the matrix would route to Store must fall through to Win32.   Strike Question 1 from your local decision tree and reflect the extra Win32 workload in capacity   planning. </w:t>
      </w:r>
      <w:r>
        <w:rPr>
          <w:b/>
        </w:rPr>
        <w:t>Verify for GCC High</w:t>
      </w:r>
      <w:r>
        <w:t xml:space="preserve"> against Microsoft's documentation; do not assume the Commercial   answer, and do not invent Government specifics.</w:t>
      </w:r>
    </w:p>
    <w:p>
      <w:pPr>
        <w:pStyle w:val="Heading2"/>
      </w:pPr>
      <w:r>
        <w:t>H. When to escalate</w:t>
      </w:r>
    </w:p>
    <w:p>
      <w:r>
        <w:t xml:space="preserve">If the naming, detection, metadata, and assignment audits all report clean, the acceptance checklist passed, sign-off is filed, the pilot reports Installed — but Intune still reports Failed for an app across the fleet after a policy cycle — the problem is in the per-app package mechanics (install command, dependency, or the installer itself), not in the standard. Collect the device's </w:t>
      </w:r>
      <w:r>
        <w:rPr>
          <w:rFonts w:ascii="Consolas" w:hAnsi="Consolas"/>
          <w:sz w:val="19"/>
        </w:rPr>
        <w:t>C:\ProgramData\Microsoft\IntuneManagementExtension\Logs\IntuneManagementExtension.log</w:t>
      </w:r>
      <w:r>
        <w:t xml:space="preserve"> and the installer's own verbose log (</w:t>
      </w:r>
      <w:r>
        <w:rPr>
          <w:rFonts w:ascii="Consolas" w:hAnsi="Consolas"/>
          <w:sz w:val="19"/>
        </w:rPr>
        <w:t>C:\ProgramData\PackageLogs\</w:t>
      </w:r>
      <w:r>
        <w:t>) and treat it as a per-app packaging fault (see the companion Win32 packaging solution) or open a Microsoft support case.</w:t>
      </w:r>
    </w:p>
    <w:p>
      <w:pPr>
        <w:pStyle w:val="Heading1"/>
      </w:pPr>
      <w:r>
        <w:t>7. Best Practices — Application Packaging &amp; Deployment Standards</w:t>
      </w:r>
    </w:p>
    <w:p>
      <w:pPr>
        <w:pStyle w:val="ListBullet"/>
      </w:pPr>
      <w:r>
        <w:rPr>
          <w:b/>
        </w:rPr>
        <w:t>Name the app once, correctly, forever.</w:t>
      </w:r>
      <w:r>
        <w:t xml:space="preserve"> </w:t>
      </w:r>
      <w:r>
        <w:rPr>
          <w:rFonts w:ascii="Consolas" w:hAnsi="Consolas"/>
          <w:sz w:val="19"/>
        </w:rPr>
        <w:t>&lt;Publisher&gt; &lt;Product&gt; – &lt;Format&gt; – v&lt;Version&gt;</w:t>
      </w:r>
      <w:r>
        <w:t xml:space="preserve"> with</w:t>
      </w:r>
    </w:p>
    <w:p>
      <w:r>
        <w:t xml:space="preserve">  en-dash separators, no ticket numbers, no </w:t>
      </w:r>
      <w:r>
        <w:rPr>
          <w:rFonts w:ascii="Consolas" w:hAnsi="Consolas"/>
          <w:sz w:val="19"/>
        </w:rPr>
        <w:t>Test</w:t>
      </w:r>
      <w:r>
        <w:t>/</w:t>
      </w:r>
      <w:r>
        <w:rPr>
          <w:rFonts w:ascii="Consolas" w:hAnsi="Consolas"/>
          <w:sz w:val="19"/>
        </w:rPr>
        <w:t>Copy</w:t>
      </w:r>
      <w:r>
        <w:t>/</w:t>
      </w:r>
      <w:r>
        <w:rPr>
          <w:rFonts w:ascii="Consolas" w:hAnsi="Consolas"/>
          <w:sz w:val="19"/>
        </w:rPr>
        <w:t>Final</w:t>
      </w:r>
      <w:r>
        <w:t>. A catalog you can search is a   catalog you can audit; a catalog of one-off names is a liability that grows with every package.</w:t>
      </w:r>
    </w:p>
    <w:p>
      <w:pPr>
        <w:pStyle w:val="ListBullet"/>
      </w:pPr>
      <w:r>
        <w:rPr>
          <w:b/>
        </w:rPr>
        <w:t>The version must agree in three places.</w:t>
      </w:r>
      <w:r>
        <w:t xml:space="preserve"> The app name, the detection rule, and the evidence</w:t>
      </w:r>
    </w:p>
    <w:p>
      <w:r>
        <w:t xml:space="preserve">  folder all carry </w:t>
      </w:r>
      <w:r>
        <w:rPr>
          <w:rFonts w:ascii="Consolas" w:hAnsi="Consolas"/>
          <w:sz w:val="19"/>
        </w:rPr>
        <w:t>v7.3.1</w:t>
      </w:r>
      <w:r>
        <w:t>. A version that appears in the name but not the detection rule is the   number-one cause of a fleet that reports Installed while running last quarter's build.</w:t>
      </w:r>
    </w:p>
    <w:p>
      <w:pPr>
        <w:pStyle w:val="ListBullet"/>
      </w:pPr>
      <w:r>
        <w:rPr>
          <w:b/>
        </w:rPr>
        <w:t>Decide the format at intake, in writing, from the tree.</w:t>
      </w:r>
      <w:r>
        <w:t xml:space="preserve"> Work the decision tree top to bottom</w:t>
      </w:r>
    </w:p>
    <w:p>
      <w:r>
        <w:t xml:space="preserve">  and record the deciding question on the intake form. Prefer Microsoft Store (new) where it is   available and auto-update is acceptable, then MSIX, then Win32 as the default. </w:t>
      </w:r>
      <w:r>
        <w:rPr>
          <w:b/>
        </w:rPr>
        <w:t>Never</w:t>
      </w:r>
      <w:r>
        <w:t xml:space="preserve"> create a   new LOB/MSI app — it is banned for new packages.</w:t>
      </w:r>
    </w:p>
    <w:p>
      <w:pPr>
        <w:pStyle w:val="ListBullet"/>
      </w:pPr>
      <w:r>
        <w:rPr>
          <w:b/>
        </w:rPr>
        <w:t>Detection observes, never acts.</w:t>
      </w:r>
      <w:r>
        <w:t xml:space="preserve"> A detection rule or script must be deterministic, specific,</w:t>
      </w:r>
    </w:p>
    <w:p>
      <w:r>
        <w:t xml:space="preserve">  version-asserting, written by the vendor's installer (not your wrapper), and proven on a clean   machine. Never </w:t>
      </w:r>
      <w:r>
        <w:rPr>
          <w:rFonts w:ascii="Consolas" w:hAnsi="Consolas"/>
          <w:sz w:val="19"/>
        </w:rPr>
        <w:t>Win32_Product</w:t>
      </w:r>
      <w:r>
        <w:t xml:space="preserve"> (it triggers MSI self-repair on every cycle), never a folder-only   check, never a shared runtime, never </w:t>
      </w:r>
      <w:r>
        <w:rPr>
          <w:rFonts w:ascii="Consolas" w:hAnsi="Consolas"/>
          <w:sz w:val="19"/>
        </w:rPr>
        <w:t>HKCU</w:t>
      </w:r>
      <w:r>
        <w:t xml:space="preserve"> for a system-context install.</w:t>
      </w:r>
    </w:p>
    <w:p>
      <w:pPr>
        <w:pStyle w:val="ListBullet"/>
      </w:pPr>
      <w:r>
        <w:rPr>
          <w:b/>
        </w:rPr>
        <w:t>One authoritative detection rule per app.</w:t>
      </w:r>
      <w:r>
        <w:t xml:space="preserve"> Combining rule types produces ambiguous failures</w:t>
      </w:r>
    </w:p>
    <w:p>
      <w:r>
        <w:t xml:space="preserve">  nobody can diagnose. If you genuinely need more than one, document why on the intake form and have   it countersigned.</w:t>
      </w:r>
    </w:p>
    <w:p>
      <w:pPr>
        <w:pStyle w:val="ListBullet"/>
      </w:pPr>
      <w:r>
        <w:rPr>
          <w:b/>
        </w:rPr>
        <w:t>Never map a non-zero exit code to Success.</w:t>
      </w:r>
      <w:r>
        <w:t xml:space="preserve"> </w:t>
      </w:r>
      <w:r>
        <w:rPr>
          <w:rFonts w:ascii="Consolas" w:hAnsi="Consolas"/>
          <w:sz w:val="19"/>
        </w:rPr>
        <w:t>1603</w:t>
      </w:r>
      <w:r>
        <w:t xml:space="preserve"> mapped to Success does not make a deployment</w:t>
      </w:r>
    </w:p>
    <w:p>
      <w:r>
        <w:t xml:space="preserve">  work; it deletes your only signal that it failed. Declare </w:t>
      </w:r>
      <w:r>
        <w:rPr>
          <w:rFonts w:ascii="Consolas" w:hAnsi="Consolas"/>
          <w:sz w:val="19"/>
        </w:rPr>
        <w:t>0</w:t>
      </w:r>
      <w:r>
        <w:t xml:space="preserve">, </w:t>
      </w:r>
      <w:r>
        <w:rPr>
          <w:rFonts w:ascii="Consolas" w:hAnsi="Consolas"/>
          <w:sz w:val="19"/>
        </w:rPr>
        <w:t>1707</w:t>
      </w:r>
      <w:r>
        <w:t xml:space="preserve">, </w:t>
      </w:r>
      <w:r>
        <w:rPr>
          <w:rFonts w:ascii="Consolas" w:hAnsi="Consolas"/>
          <w:sz w:val="19"/>
        </w:rPr>
        <w:t>3010</w:t>
      </w:r>
      <w:r>
        <w:t xml:space="preserve">, </w:t>
      </w:r>
      <w:r>
        <w:rPr>
          <w:rFonts w:ascii="Consolas" w:hAnsi="Consolas"/>
          <w:sz w:val="19"/>
        </w:rPr>
        <w:t>1641</w:t>
      </w:r>
      <w:r>
        <w:t xml:space="preserve">, </w:t>
      </w:r>
      <w:r>
        <w:rPr>
          <w:rFonts w:ascii="Consolas" w:hAnsi="Consolas"/>
          <w:sz w:val="19"/>
        </w:rPr>
        <w:t>1618</w:t>
      </w:r>
      <w:r>
        <w:t xml:space="preserve">   explicitly and add vendor codes only with a citation.</w:t>
      </w:r>
    </w:p>
    <w:p>
      <w:pPr>
        <w:pStyle w:val="ListBullet"/>
      </w:pPr>
      <w:r>
        <w:rPr>
          <w:b/>
        </w:rPr>
        <w:t>Let return codes and policy own reboots.</w:t>
      </w:r>
      <w:r>
        <w:t xml:space="preserve"> Use </w:t>
      </w:r>
      <w:r>
        <w:rPr>
          <w:rFonts w:ascii="Consolas" w:hAnsi="Consolas"/>
          <w:sz w:val="19"/>
        </w:rPr>
        <w:t>/norestart</w:t>
      </w:r>
      <w:r>
        <w:t xml:space="preserve">, set </w:t>
      </w:r>
      <w:r>
        <w:rPr>
          <w:b/>
        </w:rPr>
        <w:t>No specific action</w:t>
      </w:r>
      <w:r>
        <w:t xml:space="preserve"> by</w:t>
      </w:r>
    </w:p>
    <w:p>
      <w:r>
        <w:t xml:space="preserve">  default, and reserve forced restarts for unattended Ring 0/kiosk devices with the owner's written   agreement. Never schedule a reboot-forcing Required app to land during business hours.</w:t>
      </w:r>
    </w:p>
    <w:p>
      <w:pPr>
        <w:pStyle w:val="ListBullet"/>
      </w:pPr>
      <w:r>
        <w:rPr>
          <w:b/>
        </w:rPr>
        <w:t>The reviewer is never the packager.</w:t>
      </w:r>
      <w:r>
        <w:t xml:space="preserve"> Sign-off is a second person from </w:t>
      </w:r>
      <w:r>
        <w:rPr>
          <w:rFonts w:ascii="Consolas" w:hAnsi="Consolas"/>
          <w:sz w:val="19"/>
        </w:rPr>
        <w:t>ROLE – Package Approvers</w:t>
      </w:r>
    </w:p>
    <w:p>
      <w:r>
        <w:t xml:space="preserve">  who independently confirms the gates against what Intune actually shows, not against what the form   claims. If you cannot separate the roles, record it as an exception with a manager's   counter-signature — do not quietly skip the gate.</w:t>
      </w:r>
    </w:p>
    <w:p>
      <w:pPr>
        <w:pStyle w:val="ListBullet"/>
      </w:pPr>
      <w:r>
        <w:rPr>
          <w:b/>
        </w:rPr>
        <w:t>One exclusion group, applied to every Required assignment.</w:t>
      </w:r>
      <w:r>
        <w:t xml:space="preserve"> </w:t>
      </w:r>
      <w:r>
        <w:rPr>
          <w:rFonts w:ascii="Consolas" w:hAnsi="Consolas"/>
          <w:sz w:val="19"/>
        </w:rPr>
        <w:t>APP – Exclusions – Do Not Deploy</w:t>
      </w:r>
    </w:p>
    <w:p>
      <w:r>
        <w:t xml:space="preserve">  on every deployment means an emergency exclusion is a single membership change, not an edit to   fifty apps.</w:t>
      </w:r>
    </w:p>
    <w:p>
      <w:pPr>
        <w:pStyle w:val="ListBullet"/>
      </w:pPr>
      <w:r>
        <w:rPr>
          <w:b/>
        </w:rPr>
        <w:t>Never assign to All Devices or All Users.</w:t>
      </w:r>
      <w:r>
        <w:t xml:space="preserve"> They are not rings; they are the shortest path from a</w:t>
      </w:r>
    </w:p>
    <w:p>
      <w:r>
        <w:t xml:space="preserve">  mistake to a fleet-wide outage. Assign to </w:t>
      </w:r>
      <w:r>
        <w:rPr>
          <w:rFonts w:ascii="Consolas" w:hAnsi="Consolas"/>
          <w:sz w:val="19"/>
        </w:rPr>
        <w:t xml:space="preserve">APP – </w:t>
      </w:r>
      <w:r>
        <w:t xml:space="preserve"> purpose-named groups only, in ring order.</w:t>
      </w:r>
    </w:p>
    <w:p>
      <w:pPr>
        <w:pStyle w:val="ListBullet"/>
      </w:pPr>
      <w:r>
        <w:rPr>
          <w:b/>
        </w:rPr>
        <w:t>Retain the evidence, not just the package.</w:t>
      </w:r>
      <w:r>
        <w:t xml:space="preserve"> The intake form, the acceptance checklist, the</w:t>
      </w:r>
    </w:p>
    <w:p>
      <w:r>
        <w:t xml:space="preserve">  sign-off record, and the three-state detection proof live in </w:t>
      </w:r>
      <w:r>
        <w:rPr>
          <w:rFonts w:ascii="Consolas" w:hAnsi="Consolas"/>
          <w:sz w:val="19"/>
        </w:rPr>
        <w:t>Application Package Records</w:t>
      </w:r>
      <w:r>
        <w:t xml:space="preserve"> for the   app's lifetime. "Who approved this, when, against what test?" must have a filed answer.</w:t>
      </w:r>
    </w:p>
    <w:p>
      <w:pPr>
        <w:pStyle w:val="ListBullet"/>
      </w:pPr>
      <w:r>
        <w:rPr>
          <w:b/>
        </w:rPr>
        <w:t>Audit on a cadence, remediate with a preview.</w:t>
      </w:r>
      <w:r>
        <w:t xml:space="preserve"> Baseline before you announce, check new apps</w:t>
      </w:r>
    </w:p>
    <w:p>
      <w:r>
        <w:t xml:space="preserve">  monthly, audit the whole catalog quarterly, and re-verify the standard itself annually. Run the   metadata remediation script in its default preview mode first and only </w:t>
      </w:r>
      <w:r>
        <w:rPr>
          <w:rFonts w:ascii="Consolas" w:hAnsi="Consolas"/>
          <w:sz w:val="19"/>
        </w:rPr>
        <w:t>-Apply</w:t>
      </w:r>
      <w:r>
        <w:t xml:space="preserve"> after the diff is   reviewed.</w:t>
      </w:r>
    </w:p>
    <w:p>
      <w:pPr>
        <w:pStyle w:val="ListBullet"/>
      </w:pPr>
      <w:r>
        <w:rPr>
          <w:b/>
        </w:rPr>
        <w:t>Keep an honest exceptions register with expiry dates.</w:t>
      </w:r>
      <w:r>
        <w:t xml:space="preserve"> Not everything gets fixed; an exception</w:t>
      </w:r>
    </w:p>
    <w:p>
      <w:r>
        <w:t xml:space="preserve">  with no review date is a permanent hole pretending to be a decision. Every waiver names an owner, a   reason, and a date it will be revisited.</w:t>
      </w:r>
    </w:p>
    <w:p>
      <w:pPr>
        <w:pStyle w:val="ListBullet"/>
      </w:pPr>
      <w:r>
        <w:rPr>
          <w:b/>
        </w:rPr>
        <w:t>Re-verify Government-cloud format availability.</w:t>
      </w:r>
      <w:r>
        <w:t xml:space="preserve"> The Microsoft Store (new) app type and some app</w:t>
      </w:r>
    </w:p>
    <w:p>
      <w:r>
        <w:t xml:space="preserve">  features have parity gaps in US Government clouds and different portal hosts. Confirm availability   for your cloud before you commit the Store branch of the matrix, and re-check it at each annual   review. Verify for GCC High against Microsoft's documentation — never assume the Commercial answer.</w:t>
      </w:r>
    </w:p>
    <w:p>
      <w:pPr>
        <w:pStyle w:val="Heading1"/>
      </w:pPr>
      <w:r>
        <w:t>8. Deliverables Summary — Application Packaging &amp; Deployment Standards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why an app catalog decays without a standard, and what this fixes</w:t>
            </w:r>
          </w:p>
        </w:tc>
      </w:tr>
      <w:tr>
        <w:tc>
          <w:tcPr>
            <w:tcW w:type="dxa" w:w="4320"/>
          </w:tcPr>
          <w:p>
            <w:r>
              <w:t>1. Solution Overview</w:t>
            </w:r>
          </w:p>
        </w:tc>
        <w:tc>
          <w:tcPr>
            <w:tcW w:type="dxa" w:w="4320"/>
          </w:tcPr>
          <w:p>
            <w:r>
              <w:t>The standards layer above per-app packaging; four control points; the three app formats; what the standard produces</w:t>
            </w:r>
          </w:p>
        </w:tc>
      </w:tr>
      <w:tr>
        <w:tc>
          <w:tcPr>
            <w:tcW w:type="dxa" w:w="4320"/>
          </w:tcPr>
          <w:p>
            <w:r>
              <w:t>2. Requirements Guide</w:t>
            </w:r>
          </w:p>
        </w:tc>
        <w:tc>
          <w:tcPr>
            <w:tcW w:type="dxa" w:w="4320"/>
          </w:tcPr>
          <w:p>
            <w:r>
              <w:t>Every prerequisite (owner, two reviewers, Graph SDK/scopes, RBAC, evidence store, pilot population, Government Store position, taxonomy, baseline)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Create the tenant objects; the format decision matrix + tree; the packaging specification (naming, versioning, metadata); detection-rule standards + banned patterns; command/return-code/reboot standards; the intake template; the acceptance checklist; peer review &amp; sign-off; ring/assignment hygiene; enforcement &amp; audit</w:t>
            </w:r>
          </w:p>
        </w:tc>
      </w:tr>
      <w:tr>
        <w:tc>
          <w:tcPr>
            <w:tcW w:type="dxa" w:w="4320"/>
          </w:tcPr>
          <w:p>
            <w:r>
              <w:t>5. Testing Guide</w:t>
            </w:r>
          </w:p>
        </w:tc>
        <w:tc>
          <w:tcPr>
            <w:tcW w:type="dxa" w:w="4320"/>
          </w:tcPr>
          <w:p>
            <w:r>
              <w:t>Validates the standard is in place (Part A) and that a package passes through it (Part B), with pass/fail gates</w:t>
            </w:r>
          </w:p>
        </w:tc>
      </w:tr>
      <w:tr>
        <w:tc>
          <w:tcPr>
            <w:tcW w:type="dxa" w:w="4320"/>
          </w:tcPr>
          <w:p>
            <w:r>
              <w:t>6. Troubleshooting Guide</w:t>
            </w:r>
          </w:p>
        </w:tc>
        <w:tc>
          <w:tcPr>
            <w:tcW w:type="dxa" w:w="4320"/>
          </w:tcPr>
          <w:p>
            <w:r>
              <w:t>Field issues with the standard, the scripts, and packages that fail their gates</w:t>
            </w:r>
          </w:p>
        </w:tc>
      </w:tr>
      <w:tr>
        <w:tc>
          <w:tcPr>
            <w:tcW w:type="dxa" w:w="4320"/>
          </w:tcPr>
          <w:p>
            <w:r>
              <w:t>7. Best Practices</w:t>
            </w:r>
          </w:p>
        </w:tc>
        <w:tc>
          <w:tcPr>
            <w:tcW w:type="dxa" w:w="4320"/>
          </w:tcPr>
          <w:p>
            <w:r>
              <w:t>Field-proven rules that keep the catalog clean at scale</w:t>
            </w:r>
          </w:p>
        </w:tc>
      </w:tr>
    </w:tbl>
    <w:p>
      <w:pPr>
        <w:pStyle w:val="Heading2"/>
      </w:pPr>
      <w:r>
        <w:t>PowerShell scripts (Microsoft Graph, read-only by default)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APPSTD-Invoke-PackageStandardAudit.ps1</w:t>
            </w:r>
          </w:p>
        </w:tc>
        <w:tc>
          <w:tcPr>
            <w:tcW w:type="dxa" w:w="4320"/>
          </w:tcPr>
          <w:p>
            <w:r>
              <w:t>Scans every app for naming-convention, banned-word, publisher, version-stamp, description-standard, and legacy-LOB violations; console summary + optional CSV baseline (read-only)</w:t>
            </w:r>
          </w:p>
        </w:tc>
      </w:tr>
      <w:tr>
        <w:tc>
          <w:tcPr>
            <w:tcW w:type="dxa" w:w="4320"/>
          </w:tcPr>
          <w:p>
            <w:r>
              <w:rPr>
                <w:rFonts w:ascii="Consolas" w:hAnsi="Consolas"/>
                <w:sz w:val="19"/>
              </w:rPr>
              <w:t>APPSTD-Test-DetectionRuleQuality.ps1</w:t>
            </w:r>
          </w:p>
        </w:tc>
        <w:tc>
          <w:tcPr>
            <w:tcW w:type="dxa" w:w="4320"/>
          </w:tcPr>
          <w:p>
            <w:r>
              <w:t>Reads Win32 detection rules and flags the banned patterns B1–B10 (folder-only, no-version, shared runtime, per-user path in system context, multi-rule, acting/</w:t>
            </w:r>
            <w:r>
              <w:rPr>
                <w:rFonts w:ascii="Consolas" w:hAnsi="Consolas"/>
                <w:sz w:val="19"/>
              </w:rPr>
              <w:t>Win32_Product</w:t>
            </w:r>
            <w:r>
              <w:t>/</w:t>
            </w:r>
            <w:r>
              <w:rPr>
                <w:rFonts w:ascii="Consolas" w:hAnsi="Consolas"/>
                <w:sz w:val="19"/>
              </w:rPr>
              <w:t>Write-Host</w:t>
            </w:r>
            <w:r>
              <w:t xml:space="preserve"> scripts); the automated half of acceptance Gate 3 (read-only)</w:t>
            </w:r>
          </w:p>
        </w:tc>
      </w:tr>
      <w:tr>
        <w:tc>
          <w:tcPr>
            <w:tcW w:type="dxa" w:w="4320"/>
          </w:tcPr>
          <w:p>
            <w:r>
              <w:rPr>
                <w:rFonts w:ascii="Consolas" w:hAnsi="Consolas"/>
                <w:sz w:val="19"/>
              </w:rPr>
              <w:t>APPSTD-Get-AssignmentHygieneReport.ps1</w:t>
            </w:r>
          </w:p>
        </w:tc>
        <w:tc>
          <w:tcPr>
            <w:tcW w:type="dxa" w:w="4320"/>
          </w:tcPr>
          <w:p>
            <w:r>
              <w:t>Reports assignment violations: All Devices/All Users targeting, Required+Uninstall conflicts, duplicate same-intent assignments, missing standard exclusion group, and orphan apps (read-only)</w:t>
            </w:r>
          </w:p>
        </w:tc>
      </w:tr>
      <w:tr>
        <w:tc>
          <w:tcPr>
            <w:tcW w:type="dxa" w:w="4320"/>
          </w:tcPr>
          <w:p>
            <w:r>
              <w:rPr>
                <w:rFonts w:ascii="Consolas" w:hAnsi="Consolas"/>
                <w:sz w:val="19"/>
              </w:rPr>
              <w:t>APPSTD-Get-PackageMetadataCompleteness.ps1</w:t>
            </w:r>
          </w:p>
        </w:tc>
        <w:tc>
          <w:tcPr>
            <w:tcW w:type="dxa" w:w="4320"/>
          </w:tcPr>
          <w:p>
            <w:r>
              <w:t>Scores each app 0–100 on publisher, category, the three-line standardised description, developer/owner, info URL, and logo; lists apps below threshold (read-only)</w:t>
            </w:r>
          </w:p>
        </w:tc>
      </w:tr>
      <w:tr>
        <w:tc>
          <w:tcPr>
            <w:tcW w:type="dxa" w:w="4320"/>
          </w:tcPr>
          <w:p>
            <w:r>
              <w:rPr>
                <w:rFonts w:ascii="Consolas" w:hAnsi="Consolas"/>
                <w:sz w:val="19"/>
              </w:rPr>
              <w:t>APPSTD-Set-AppMetadataStandard.ps1</w:t>
            </w:r>
          </w:p>
        </w:tc>
        <w:tc>
          <w:tcPr>
            <w:tcW w:type="dxa" w:w="4320"/>
          </w:tcPr>
          <w:p>
            <w:r>
              <w:t xml:space="preserve">Normalises publisher, category, and the standardised description block from a CSV; </w:t>
            </w:r>
            <w:r>
              <w:rPr>
                <w:b/>
              </w:rPr>
              <w:t>preview by default</w:t>
            </w:r>
            <w:r>
              <w:t xml:space="preserve">, supports </w:t>
            </w:r>
            <w:r>
              <w:rPr>
                <w:rFonts w:ascii="Consolas" w:hAnsi="Consolas"/>
                <w:sz w:val="19"/>
              </w:rPr>
              <w:t>-WhatIf</w:t>
            </w:r>
            <w:r>
              <w:t xml:space="preserve">, changes nothing until </w:t>
            </w:r>
            <w:r>
              <w:rPr>
                <w:rFonts w:ascii="Consolas" w:hAnsi="Consolas"/>
                <w:sz w:val="19"/>
              </w:rPr>
              <w:t>-Apply</w:t>
            </w:r>
            <w:r>
              <w:t>; never touches detection, commands, or assignments</w:t>
            </w:r>
          </w:p>
        </w:tc>
      </w:tr>
    </w:tbl>
    <w:p>
      <w:pPr>
        <w:pStyle w:val="Heading2"/>
      </w:pPr>
      <w:r>
        <w:t>Reusable templates (inside the Implementation Guide)</w:t>
      </w:r>
    </w:p>
    <w:p>
      <w:pPr>
        <w:pStyle w:val="ListBullet"/>
      </w:pPr>
      <w:r>
        <w:rPr>
          <w:b/>
        </w:rPr>
        <w:t>Package Intake &amp; Specification Template</w:t>
      </w:r>
      <w:r>
        <w:t xml:space="preserve"> (Step 7) — the per-app, per-version form completed</w:t>
      </w:r>
    </w:p>
    <w:p>
      <w:r>
        <w:t xml:space="preserve">  before packaging.</w:t>
      </w:r>
    </w:p>
    <w:p>
      <w:pPr>
        <w:pStyle w:val="ListBullet"/>
      </w:pPr>
      <w:r>
        <w:rPr>
          <w:b/>
        </w:rPr>
        <w:t>Package Acceptance Checklist</w:t>
      </w:r>
      <w:r>
        <w:t xml:space="preserve"> (Step 8) — the five-gate quality gate every package must pass.</w:t>
      </w:r>
    </w:p>
    <w:p>
      <w:pPr>
        <w:pStyle w:val="ListBullet"/>
      </w:pPr>
      <w:r>
        <w:rPr>
          <w:b/>
        </w:rPr>
        <w:t>Package Sign-off Record</w:t>
      </w:r>
      <w:r>
        <w:t xml:space="preserve"> (Step 9) — the retained evidence of peer review and release approval.</w:t>
      </w:r>
    </w:p>
    <w:p>
      <w:pPr>
        <w:pStyle w:val="ListBullet"/>
      </w:pPr>
      <w:r>
        <w:rPr>
          <w:b/>
        </w:rPr>
        <w:t>Exceptions Register</w:t>
      </w:r>
      <w:r>
        <w:t xml:space="preserve"> (Step 10e) — the honest log of accepted waivers with expiry dates.</w:t>
      </w:r>
    </w:p>
    <w:p>
      <w:pPr>
        <w:pStyle w:val="Heading2"/>
      </w:pPr>
      <w:r>
        <w:t>What the buyer receives</w:t>
      </w:r>
    </w:p>
    <w:p>
      <w:pPr>
        <w:pStyle w:val="ListBullet"/>
      </w:pPr>
      <w:r>
        <w:t xml:space="preserve">This specification as a </w:t>
      </w:r>
      <w:r>
        <w:rPr>
          <w:b/>
        </w:rPr>
        <w:t>Word</w:t>
      </w:r>
      <w:r>
        <w:t xml:space="preserve"> document and a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standard following the model: </w:t>
      </w:r>
      <w:r>
        <w:rPr>
          <w:b/>
        </w:rPr>
        <w:t>Assess → Configure → Pilot → Validate → Expand.</w:t>
      </w:r>
    </w:p>
    <w:p>
      <w:pPr>
        <w:pStyle w:val="Heading2"/>
      </w:pPr>
      <w:r>
        <w:t>Outcome</w:t>
      </w:r>
    </w:p>
    <w:p>
      <w:r>
        <w:t xml:space="preserve">An organisation-wide packaging standard that keeps the app catalog consistent, auditable, and clean as it grows — every app correctly named and version-stamped, every detection rule provably correct, every release peer-reviewed and evidenced, every assignment hygienic, and the whole catalog audited on a cadence by the included scripts. This is the specification layer </w:t>
      </w:r>
      <w:r>
        <w:rPr>
          <w:b/>
        </w:rPr>
        <w:t>above</w:t>
      </w:r>
      <w:r>
        <w:t xml:space="preserve"> per-app packaging; it governs how every application is delivered, not how any single one is wrapped.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APPSTD-Get-AssignmentHygieneReport.ps1</w:t>
      </w:r>
    </w:p>
    <w:p>
      <w:r>
        <w:rPr>
          <w:b/>
        </w:rPr>
        <w:t>Purpose:</w:t>
      </w:r>
      <w:r>
        <w:t xml:space="preserve"> Read-only. Enumerates every managed Windows app and its assignments and applies the standard's ring/assignment hygiene rules (Implementation Step 9f): - H1  Assigned to All Devices or All Users (virtual groups)          -&gt; violation. - H2  Required AND Uninstall intent for overlapping targets          -&gt; conflict. - H3  Two or more assignments with the same intent (duplicate)       -&gt; ambiguity. - H4  Required assignment missing the 'APP – Exclusions – Do Not Deploy' exclusion. - H5  No assignments at all (orphan) — flagged, with age if available. HOW TO RUN powershell -ExecutionPolicy Bypass -File .\APPSTD-Get-AssignmentHygieneReport.ps1 powershell -ExecutionPolicy Bypass -File .\APPSTD-Get-AssignmentHygieneReport.ps1 -CsvPath C:\Temp\assignments.csv powershell -ExecutionPolicy Bypass -File .\APPSTD-Get-AssignmentHygieneReport.ps1 -ExclusionGroupName "APP – Exclusions – Do Not Deploy" Requires the Microsoft Graph PowerShell SDK, DeviceManagementApps.Read.All and Group.Read.All. EXPECTED RESULTS A per-app hygiene report and a summary count per rule. Nothing is changed — read-only. .NOTES Intune Solutions — read-only against Microsoft Graph. No changes are made to the tenant. &gt; [CmdletBinding()] param( [string]$CsvPath, [string]$ExclusionGroupName = 'APP – Exclusions – Do Not Deploy' )</w:t>
      </w:r>
    </w:p>
    <w:p>
      <w:r>
        <w:rPr>
          <w:b/>
        </w:rPr>
        <w:t>How to run:</w:t>
      </w:r>
      <w:r>
        <w:t xml:space="preserve"> powershell -ExecutionPolicy Bypass -File .\APPSTD-Get-AssignmentHygieneReport.ps1 powershell -ExecutionPolicy Bypass -File .\APPSTD-Get-AssignmentHygieneReport.ps1 -CsvPath C:\Temp\assignments.csv powershell -ExecutionPolicy Bypass -File .\APPSTD-Get-AssignmentHygieneReport.ps1 -ExclusionGroupName "APP – Exclusions – Do Not Deploy" Requires the Microsoft Graph PowerShell SDK, DeviceManagementApps.Read.All and Group.Read.All. EXPECTED RESULTS A per-app hygiene report and a summary count per rule. Nothing is changed — read-only. .NOTES Intune Solutions — read-only against Microsoft Graph. No changes are made to the tenant. &gt; [CmdletBinding()] param( [string]$CsvPath, [string]$ExclusionGroupName = 'APP – Exclusions – Do Not Deploy' )</w:t>
      </w:r>
    </w:p>
    <w:p>
      <w:pPr>
        <w:pStyle w:val="Heading2"/>
      </w:pPr>
      <w:r>
        <w:t>APPSTD-Get-PackageMetadataCompleteness.ps1</w:t>
      </w:r>
    </w:p>
    <w:p>
      <w:r>
        <w:rPr>
          <w:b/>
        </w:rPr>
        <w:t>Purpose:</w:t>
      </w:r>
      <w:r>
        <w:t xml:space="preserve"> Read-only. For every managed Windows app it scores the metadata fields the standard requires before release (Implementation Step 4d): - Publisher present and not a placeholder            (weight 20) - App category assigned                              (weight 20) - Description has the three mandatory lines          (weight 25) Business purpose: / Business owner: / Package record: - Developer (packager) set                           (weight 10) - Owner (business owner) set                         (weight 10) - Information URL set                                (weight 10) - Logo/icon present                                  (weight  5) Apps scoring below -MinimumScore are listed for remediation. Feed the CSV to APPSTD-Set-AppMetadataStandard.ps1 to normalise the mechanical gaps. HOW TO RUN powershell -ExecutionPolicy Bypass -File .\APPSTD-Get-PackageMetadataCompleteness.ps1 powershell -ExecutionPolicy Bypass -File .\APPSTD-Get-PackageMetadataCompleteness.ps1 -MinimumScore 100 -CsvPath C:\Temp\metadata.csv Requires the Microsoft Graph PowerShell SDK and DeviceManagementApps.Read.All. EXPECTED RESULTS A per-app score table and a list of apps below the threshold, plus a CSV for remediation. Nothing is changed — read-only. .NOTES Intune Solutions — read-only against Microsoft Graph. No changes are made to the tenant. &gt; [CmdletBinding()] param( [ValidateRange(0,100)][int]$MinimumScore = 100, [string]$CsvPath )</w:t>
      </w:r>
    </w:p>
    <w:p>
      <w:r>
        <w:rPr>
          <w:b/>
        </w:rPr>
        <w:t>How to run:</w:t>
      </w:r>
      <w:r>
        <w:t xml:space="preserve"> powershell -ExecutionPolicy Bypass -File .\APPSTD-Get-PackageMetadataCompleteness.ps1 powershell -ExecutionPolicy Bypass -File .\APPSTD-Get-PackageMetadataCompleteness.ps1 -MinimumScore 100 -CsvPath C:\Temp\metadata.csv Requires the Microsoft Graph PowerShell SDK and DeviceManagementApps.Read.All. EXPECTED RESULTS A per-app score table and a list of apps below the threshold, plus a CSV for remediation. Nothing is changed — read-only. .NOTES Intune Solutions — read-only against Microsoft Graph. No changes are made to the tenant. &gt; [CmdletBinding()] param( [ValidateRange(0,100)][int]$MinimumScore = 100, [string]$CsvPath )</w:t>
      </w:r>
    </w:p>
    <w:p>
      <w:pPr>
        <w:pStyle w:val="Heading2"/>
      </w:pPr>
      <w:r>
        <w:t>APPSTD-Invoke-PackageStandardAudit.ps1</w:t>
      </w:r>
    </w:p>
    <w:p>
      <w:r>
        <w:rPr>
          <w:b/>
        </w:rPr>
        <w:t>Purpose:</w:t>
      </w:r>
      <w:r>
        <w:t xml:space="preserve"> Read-only. Enumerates all managed apps via Microsoft Graph and scores each against the Application Packaging &amp; Deployment Standard: - Name matches "&lt;Publisher&gt; &lt;Product&gt; - &lt;Format&gt; - v&lt;Version&gt;" (en-dash separated). - Name is free of banned words (Test, New, Copy, TEMP, DO NOT USE, Final, dates, initials). - Publisher populated and not a placeholder (IT, Unknown, blank). - Category (app category) assigned. - Version present in the app name for versionable formats. Produces a per-app pass/fail summary and, optionally, a CSV baseline. Use it once to baseline before announcing the standard, monthly for new apps, and quarterly for the catalog. HOW TO RUN powershell -ExecutionPolicy Bypass -File .\APPSTD-Invoke-PackageStandardAudit.ps1 powershell -ExecutionPolicy Bypass -File .\APPSTD-Invoke-PackageStandardAudit.ps1 -CsvPath C:\Temp\baseline.csv powershell -ExecutionPolicy Bypass -File .\APPSTD-Invoke-PackageStandardAudit.ps1 -CreatedSinceDays 31 Requires the Microsoft Graph PowerShell SDK and DeviceManagementApps.Read.All. EXPECTED RESULTS A console summary (compliant vs non-compliant counts, top violations) and, with -CsvPath, a per-app CSV with a column per rule. Nothing is changed — this script only reads. .NOTES Intune Solutions — read-only against Microsoft Graph. No changes are made to the tenant. &gt; [CmdletBinding()] param( [string]$CsvPath, [int]$CreatedSinceDays, [switch]$WhatIfOnlySummary )</w:t>
      </w:r>
    </w:p>
    <w:p>
      <w:r>
        <w:rPr>
          <w:b/>
        </w:rPr>
        <w:t>How to run:</w:t>
      </w:r>
      <w:r>
        <w:t xml:space="preserve"> powershell -ExecutionPolicy Bypass -File .\APPSTD-Invoke-PackageStandardAudit.ps1 powershell -ExecutionPolicy Bypass -File .\APPSTD-Invoke-PackageStandardAudit.ps1 -CsvPath C:\Temp\baseline.csv powershell -ExecutionPolicy Bypass -File .\APPSTD-Invoke-PackageStandardAudit.ps1 -CreatedSinceDays 31 Requires the Microsoft Graph PowerShell SDK and DeviceManagementApps.Read.All. EXPECTED RESULTS A console summary (compliant vs non-compliant counts, top violations) and, with -CsvPath, a per-app CSV with a column per rule. Nothing is changed — this script only reads. .NOTES Intune Solutions — read-only against Microsoft Graph. No changes are made to the tenant. &gt; [CmdletBinding()] param( [string]$CsvPath, [int]$CreatedSinceDays, [switch]$WhatIfOnlySummary )</w:t>
      </w:r>
    </w:p>
    <w:p>
      <w:pPr>
        <w:pStyle w:val="Heading2"/>
      </w:pPr>
      <w:r>
        <w:t>APPSTD-Set-AppMetadataStandard.ps1</w:t>
      </w:r>
    </w:p>
    <w:p>
      <w:r>
        <w:rPr>
          <w:b/>
        </w:rPr>
        <w:t>Purpose:</w:t>
      </w:r>
      <w:r>
        <w:t xml:space="preserve"> The only write-capable script in this package, and it changes nothing until you explicitly pass -Apply. It supports -WhatIf. It normalises the mechanical, low-risk metadata gaps the audit finds: - Trims/repairs the Publisher field when a mapping is supplied. - Assigns an app category when supplied. - Rebuilds the three-line standardised Description (Business purpose / Business owner / Package record) from supplied values, PRESERVING any existing free-text below a marker. It does NOT touch detection rules, commands, assignments, or supersedence — those are deliberate, reviewed changes, never bulk-normalised. Input is a CSV you author (or the metadata report annotated with target values). Each row: AppName,Publisher,Category,BusinessPurpose,BusinessOwner,PackageRecord Blank cells are skipped (that field is left unchanged). HOW TO RUN 1) Preview (default — safe, no changes): powershell -ExecutionPolicy Bypass -File .\APPSTD-Set-AppMetadataStandard.ps1 -CsvPath .\fixes.csv 2) Preview a single app inline: powershell -ExecutionPolicy Bypass -File .\APPSTD-Set-AppMetadataStandard.ps1 -AppName "Acme ..." -Publisher "Acme Software Ltd." -Category "Business – Finance" 3) Apply, after the preview has been reviewed: powershell -ExecutionPolicy Bypass -File .\APPSTD-Set-AppMetadataStandard.ps1 -CsvPath .\fixes.csv -Apply Requires the Microsoft Graph PowerShell SDK, DeviceManagementApps.ReadWrite.All (for -Apply). EXPECTED RESULTS Default: a table of the exact changes that WOULD be made (old -&gt; new), nothing altered. With -Apply: the same table, then each change PATCHed to Graph with a per-app success line. .NOTES Intune Solutions — write-capable but PREVIEW BY DEFAULT (-WhatIf supported; -Apply required to change anything). Only metadata is touched; detection, commands, and assignments are never changed. &gt; [CmdletBinding(SupportsShouldProcess = $true, ConfirmImpact = 'High')] param( [string]$CsvPath, [string]$AppName, [string]$Publisher, [string]$Category, [string]$BusinessPurpose, [string]$BusinessOwner, [string]$PackageRecord, [switch]$Apply )</w:t>
      </w:r>
    </w:p>
    <w:p>
      <w:r>
        <w:rPr>
          <w:b/>
        </w:rPr>
        <w:t>How to run:</w:t>
      </w:r>
      <w:r>
        <w:t xml:space="preserve"> 1) Preview (default — safe, no changes): powershell -ExecutionPolicy Bypass -File .\APPSTD-Set-AppMetadataStandard.ps1 -CsvPath .\fixes.csv 2) Preview a single app inline: powershell -ExecutionPolicy Bypass -File .\APPSTD-Set-AppMetadataStandard.ps1 -AppName "Acme ..." -Publisher "Acme Software Ltd." -Category "Business – Finance" 3) Apply, after the preview has been reviewed: powershell -ExecutionPolicy Bypass -File .\APPSTD-Set-AppMetadataStandard.ps1 -CsvPath .\fixes.csv -Apply Requires the Microsoft Graph PowerShell SDK, DeviceManagementApps.ReadWrite.All (for -Apply). EXPECTED RESULTS Default: a table of the exact changes that WOULD be made (old -&gt; new), nothing altered. With -Apply: the same table, then each change PATCHed to Graph with a per-app success line. .NOTES Intune Solutions — write-capable but PREVIEW BY DEFAULT (-WhatIf supported; -Apply required to change anything). Only metadata is touched; detection, commands, and assignments are never changed. &gt; [CmdletBinding(SupportsShouldProcess = $true, ConfirmImpact = 'High')] param( [string]$CsvPath, [string]$AppName, [string]$Publisher, [string]$Category, [string]$BusinessPurpose, [string]$BusinessOwner, [string]$PackageRecord, [switch]$Apply )</w:t>
      </w:r>
    </w:p>
    <w:p>
      <w:pPr>
        <w:pStyle w:val="Heading2"/>
      </w:pPr>
      <w:r>
        <w:t>APPSTD-Test-DetectionRuleQuality.ps1</w:t>
      </w:r>
    </w:p>
    <w:p>
      <w:r>
        <w:rPr>
          <w:b/>
        </w:rPr>
        <w:t>Purpose:</w:t>
      </w:r>
      <w:r>
        <w:t xml:space="preserve"> Read-only. For each Win32 app (or one named app) it reads the detectionRules and evaluates: - B1  File-exists rule with no version/size check on a versionable app. - B2  Detection targets a folder (no file name). - B4/B5 Registry/file detection on a shared runtime or generic marker path. - B6  Per-user path (HKCU / %AppData% / %LocalAppData%) for a system-context install. - B7  More than one detection rule type combined. - B8/B9/B10 Detection SCRIPT that appears to write/act, lacks an exit path, uses Write-Host, or calls Win32_Product (MSI self-repair). Also confirms the acceptability signal that the rule asserts a version where one is expected. This is the automated half of Acceptance-Checklist Gate 3; the reviewer still initials §5a. HOW TO RUN powershell -ExecutionPolicy Bypass -File .\APPSTD-Test-DetectionRuleQuality.ps1 powershell -ExecutionPolicy Bypass -File .\APPSTD-Test-DetectionRuleQuality.ps1 -AppName "Acme Software Ltd. Acme Invoice Client – Win32 – v7.3.1" powershell -ExecutionPolicy Bypass -File .\APPSTD-Test-DetectionRuleQuality.ps1 -CsvPath C:\Temp\detection.csv Requires the Microsoft Graph PowerShell SDK and DeviceManagementApps.Read.All. EXPECTED RESULTS Per app: PASS with 0 findings, or a list of the banned-pattern codes triggered. A clean result (0 findings) is what Gate 3.2 requires before sign-off. .NOTES Intune Solutions — read-only against Microsoft Graph. No changes are made to the tenant. &gt; [CmdletBinding()] param( [string]$AppName, [string]$CsvPath )</w:t>
      </w:r>
    </w:p>
    <w:p>
      <w:r>
        <w:rPr>
          <w:b/>
        </w:rPr>
        <w:t>How to run:</w:t>
      </w:r>
      <w:r>
        <w:t xml:space="preserve"> powershell -ExecutionPolicy Bypass -File .\APPSTD-Test-DetectionRuleQuality.ps1 powershell -ExecutionPolicy Bypass -File .\APPSTD-Test-DetectionRuleQuality.ps1 -AppName "Acme Software Ltd. Acme Invoice Client – Win32 – v7.3.1" powershell -ExecutionPolicy Bypass -File .\APPSTD-Test-DetectionRuleQuality.ps1 -CsvPath C:\Temp\detection.csv Requires the Microsoft Graph PowerShell SDK and DeviceManagementApps.Read.All. EXPECTED RESULTS Per app: PASS with 0 findings, or a list of the banned-pattern codes triggered. A clean result (0 findings) is what Gate 3.2 requires before sign-off. .NOTES Intune Solutions — read-only against Microsoft Graph. No changes are made to the tenant. &gt; [CmdletBinding()] param( [string]$AppName, [string]$CsvPath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