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zhqdf24ltc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CHAPTER 3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METHODOLOGY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This chapter deals with the project design and methods used in making the control system and the human-machine interface of the USV. The figure below shows the project design flowchart for the implementation of the project.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2628900" cy="34099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32450" y="322025"/>
                          <a:ext cx="2628900" cy="3409950"/>
                          <a:chOff x="2232450" y="322025"/>
                          <a:chExt cx="2606100" cy="3395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232450" y="322025"/>
                            <a:ext cx="2606100" cy="481800"/>
                          </a:xfrm>
                          <a:prstGeom prst="flowChartAlternate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  Firmware Design	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232450" y="1293200"/>
                            <a:ext cx="2606100" cy="481800"/>
                          </a:xfrm>
                          <a:prstGeom prst="flowChartAlternate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Hardware Design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232450" y="2264363"/>
                            <a:ext cx="2606100" cy="481800"/>
                          </a:xfrm>
                          <a:prstGeom prst="flowChartAlternate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Software Design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232450" y="3235525"/>
                            <a:ext cx="2606100" cy="481800"/>
                          </a:xfrm>
                          <a:prstGeom prst="flowChartAlternate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Testing, Troubleshooting/Debugging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392850" y="871510"/>
                            <a:ext cx="285300" cy="3540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392850" y="1842685"/>
                            <a:ext cx="285300" cy="3540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392850" y="2813847"/>
                            <a:ext cx="285300" cy="3540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628900" cy="34099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3409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3.1 Project Design Flow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