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Executive brief: profit-aware retention targeting</w:t>
      </w:r>
    </w:p>
    <w:p>
      <w:r>
        <w:rPr>
          <w:b/>
          <w:color w:val="0B0B0B"/>
        </w:rPr>
        <w:t>To:</w:t>
      </w:r>
      <w:r>
        <w:rPr>
          <w:b w:val="0"/>
          <w:color w:val="0B0B0B"/>
        </w:rPr>
        <w:t xml:space="preserve"> Head of Customer Retention | </w:t>
      </w:r>
      <w:r>
        <w:rPr>
          <w:b/>
          <w:color w:val="0B0B0B"/>
        </w:rPr>
        <w:t>From:</w:t>
      </w:r>
      <w:r>
        <w:rPr>
          <w:b w:val="0"/>
          <w:color w:val="0B0B0B"/>
        </w:rPr>
        <w:t xml:space="preserve"> Retention analytics team | </w:t>
      </w:r>
      <w:r>
        <w:rPr>
          <w:b/>
          <w:color w:val="0B0B0B"/>
        </w:rPr>
        <w:t>Decision requested:</w:t>
      </w:r>
      <w:r>
        <w:rPr>
          <w:b w:val="0"/>
          <w:color w:val="0B0B0B"/>
        </w:rPr>
        <w:t xml:space="preserve"> approve a 90-day retention pilot</w:t>
      </w:r>
    </w:p>
    <w:p>
      <w:pPr>
        <w:pStyle w:val="Heading2"/>
      </w:pPr>
      <w:r>
        <w:t>Recommendation</w:t>
      </w:r>
    </w:p>
    <w:p>
      <w:r>
        <w:rPr>
          <w:b w:val="0"/>
          <w:color w:val="0B0B0B"/>
        </w:rPr>
        <w:t xml:space="preserve">Stop allocating the retention budget to "the customers most likely to leave". Allocate it to the customers for whom </w:t>
      </w:r>
      <w:r>
        <w:rPr>
          <w:b/>
          <w:color w:val="0B0B0B"/>
        </w:rPr>
        <w:t>churn risk x customer value x the offer's save rate</w:t>
      </w:r>
      <w:r>
        <w:rPr>
          <w:b w:val="0"/>
          <w:color w:val="0B0B0B"/>
        </w:rPr>
        <w:t xml:space="preserve"> most exceeds the cost of the offer, and give each customer an offer their segment qualifies for. Start with a </w:t>
      </w:r>
      <w:r>
        <w:rPr>
          <w:b/>
          <w:color w:val="0B0B0B"/>
        </w:rPr>
        <w:t>randomised pilot</w:t>
      </w:r>
      <w:r>
        <w:rPr>
          <w:b w:val="0"/>
          <w:color w:val="0B0B0B"/>
        </w:rPr>
        <w:t xml:space="preserve">: one wave of 1,690 customers (24% of the 7,043-customer base), with half held out as a control group. Scale up only if the measured save rate clears the </w:t>
      </w:r>
      <w:r>
        <w:rPr>
          <w:b/>
          <w:color w:val="0B0B0B"/>
        </w:rPr>
        <w:t>11.8% break-even</w:t>
      </w:r>
      <w:r>
        <w:rPr>
          <w:b w:val="0"/>
          <w:color w:val="0B0B0B"/>
        </w:rPr>
        <w:t>.</w:t>
      </w:r>
    </w:p>
    <w:p>
      <w:pPr>
        <w:pStyle w:val="Heading2"/>
      </w:pPr>
      <w:r>
        <w:t>Why: the same budget returns more</w:t>
      </w:r>
    </w:p>
    <w:p>
      <w:r>
        <w:rPr>
          <w:b w:val="0"/>
          <w:color w:val="0B0B0B"/>
        </w:rPr>
        <w:t>Results for 1,409 held-out customers with a fixed $3,500 budget (enough to offer 10% of them the standard offer):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Option</w:t>
            </w:r>
          </w:p>
        </w:tc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Customers contacted</w:t>
            </w:r>
          </w:p>
        </w:tc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Expected net value</w:t>
            </w:r>
          </w:p>
        </w:tc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ROI</w:t>
            </w:r>
          </w:p>
        </w:tc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Precision among contacted</w:t>
            </w:r>
          </w:p>
        </w:tc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High-risk/high-value coverage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  <w:color w:val="0B0B0B"/>
                <w:sz w:val="18"/>
              </w:rPr>
              <w:t>Do nothing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$0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n/a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n/a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0.0%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  <w:color w:val="0B0B0B"/>
                <w:sz w:val="18"/>
              </w:rPr>
              <w:t>Call highest churn risk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140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$1,098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31%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70.0%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3.9%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 w:val="0"/>
                <w:color w:val="0B0B0B"/>
                <w:sz w:val="18"/>
              </w:rPr>
              <w:t>Expected value, standard offer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140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$2,130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61%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62.1%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 w:val="0"/>
                <w:color w:val="0B0B0B"/>
                <w:sz w:val="18"/>
              </w:rPr>
              <w:t>96.1%</w:t>
            </w:r>
          </w:p>
        </w:tc>
      </w:tr>
      <w:tr>
        <w:tc>
          <w:tcPr>
            <w:tcW w:type="dxa" w:w="1625"/>
          </w:tcPr>
          <w:p>
            <w:r/>
            <w:r>
              <w:rPr>
                <w:b/>
                <w:color w:val="0B0B0B"/>
                <w:sz w:val="18"/>
              </w:rPr>
              <w:t>Expected value + segment offers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color w:val="0B0B0B"/>
                <w:sz w:val="18"/>
              </w:rPr>
              <w:t>152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color w:val="0B0B0B"/>
                <w:sz w:val="18"/>
              </w:rPr>
              <w:t>$2,420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color w:val="0B0B0B"/>
                <w:sz w:val="18"/>
              </w:rPr>
              <w:t>69%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color w:val="0B0B0B"/>
                <w:sz w:val="18"/>
              </w:rPr>
              <w:t>59.9%</w:t>
            </w:r>
          </w:p>
        </w:tc>
        <w:tc>
          <w:tcPr>
            <w:tcW w:type="dxa" w:w="1625"/>
          </w:tcPr>
          <w:p>
            <w:pPr>
              <w:jc w:val="right"/>
            </w:pPr>
            <w:r/>
            <w:r>
              <w:rPr>
                <w:b/>
                <w:color w:val="0B0B0B"/>
                <w:sz w:val="18"/>
              </w:rPr>
              <w:t>100.0%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b/>
          <w:color w:val="0B0B0B"/>
        </w:rPr>
        <w:t>Better targeting earns $1,032 more (94%) for the same spend.</w:t>
      </w:r>
      <w:r>
        <w:rPr>
          <w:b w:val="0"/>
          <w:color w:val="0B0B0B"/>
        </w:rPr>
        <w:t xml:space="preserve"> Using what these customers actually did, the gain is $1,308 (95% interval $509 to $2,153).</w:t>
      </w:r>
    </w:p>
    <w:p>
      <w:pPr>
        <w:pStyle w:val="ListBullet"/>
        <w:spacing w:after="20"/>
      </w:pPr>
      <w:r>
        <w:rPr>
          <w:b/>
          <w:color w:val="0B0B0B"/>
        </w:rPr>
        <w:t>Why:</w:t>
      </w:r>
      <w:r>
        <w:rPr>
          <w:b w:val="0"/>
          <w:color w:val="0B0B0B"/>
        </w:rPr>
        <w:t xml:space="preserve"> risk-only targeting spends the budget on high-risk customers whose remaining value is too small to repay an offer. It reaches only 4% of the high-risk, high-value customers, against 100% for the recommended rule. It has higher precision but less value.</w:t>
      </w:r>
    </w:p>
    <w:p>
      <w:pPr>
        <w:pStyle w:val="ListBullet"/>
        <w:spacing w:after="20"/>
      </w:pPr>
      <w:r>
        <w:rPr>
          <w:b/>
          <w:color w:val="0B0B0B"/>
        </w:rPr>
        <w:t>Segment offers add $290</w:t>
      </w:r>
      <w:r>
        <w:rPr>
          <w:b w:val="0"/>
          <w:color w:val="0B0B0B"/>
        </w:rPr>
        <w:t xml:space="preserve"> under the assumed save rates. Checked against actual outcomes the gain is not distinguishable from zero (-$27), so the pilot must test the offers, not just the list.</w:t>
      </w:r>
    </w:p>
    <w:p>
      <w:pPr>
        <w:pStyle w:val="Heading2"/>
      </w:pPr>
      <w:r>
        <w:t>How much to spend</w:t>
      </w:r>
    </w:p>
    <w:p>
      <w:r>
        <w:rPr>
          <w:b w:val="0"/>
          <w:color w:val="0B0B0B"/>
        </w:rPr>
        <w:t xml:space="preserve">Each extra budget step returns less (figure). We keep only the steps that still earn at least a 10% marginal return; this was decided on validation data. That rule recommends a budget of </w:t>
      </w:r>
      <w:r>
        <w:rPr>
          <w:b/>
          <w:color w:val="0B0B0B"/>
        </w:rPr>
        <w:t>24% of the base</w:t>
      </w:r>
      <w:r>
        <w:rPr>
          <w:b w:val="0"/>
          <w:color w:val="0B0B0B"/>
        </w:rPr>
        <w:t>. On the test customers this means 310 offers for $8,450, an expected net value of $3,692 (ROI 44%). Above about 27% of the base, no remaining customer has positive expected value, so further budget should not be spent.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9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t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How sure are we?</w:t>
      </w:r>
    </w:p>
    <w:p>
      <w:pPr>
        <w:pStyle w:val="ListBullet"/>
        <w:spacing w:after="20"/>
      </w:pPr>
      <w:r>
        <w:rPr>
          <w:b/>
          <w:color w:val="0B0B0B"/>
        </w:rPr>
        <w:t>The model ranks customers well:</w:t>
      </w:r>
      <w:r>
        <w:rPr>
          <w:b w:val="0"/>
          <w:color w:val="0B0B0B"/>
        </w:rPr>
        <w:t xml:space="preserve"> ROC-AUC 0.83, PR-AUC 0.62 (random contact: 0.27). Probabilities are off by 2.0% on average. It predicts who leaves, not who an offer would keep.</w:t>
      </w:r>
    </w:p>
    <w:p>
      <w:pPr>
        <w:pStyle w:val="ListBullet"/>
        <w:spacing w:after="20"/>
      </w:pPr>
      <w:r>
        <w:rPr>
          <w:b/>
          <w:color w:val="0B0B0B"/>
        </w:rPr>
        <w:t>Break-even:</w:t>
      </w:r>
      <w:r>
        <w:rPr>
          <w:b w:val="0"/>
          <w:color w:val="0B0B0B"/>
        </w:rPr>
        <w:t xml:space="preserve"> the plan stays profitable while the true save rate is above </w:t>
      </w:r>
      <w:r>
        <w:rPr>
          <w:b/>
          <w:color w:val="0B0B0B"/>
        </w:rPr>
        <w:t>11.8%</w:t>
      </w:r>
      <w:r>
        <w:rPr>
          <w:b w:val="0"/>
          <w:color w:val="0B0B0B"/>
        </w:rPr>
        <w:t>; we assume 20%. Below 8.9% nobody is worth contacting.</w:t>
      </w:r>
    </w:p>
    <w:p>
      <w:pPr>
        <w:pStyle w:val="ListBullet"/>
        <w:spacing w:after="20"/>
      </w:pPr>
      <w:r>
        <w:rPr>
          <w:b/>
          <w:color w:val="0B0B0B"/>
        </w:rPr>
        <w:t>Scenarios:</w:t>
      </w:r>
      <w:r>
        <w:rPr>
          <w:b w:val="0"/>
          <w:color w:val="0B0B0B"/>
        </w:rPr>
        <w:t xml:space="preserve"> expected net value is $0 pessimistic (no campaign is run), $2,420 base and $18,525 optimistic. A list frozen under the pessimistic case would lose $2,797.</w:t>
      </w:r>
    </w:p>
    <w:p>
      <w:pPr>
        <w:pStyle w:val="ListBullet"/>
        <w:spacing w:after="20"/>
      </w:pPr>
      <w:r>
        <w:rPr>
          <w:b/>
          <w:color w:val="0B0B0B"/>
        </w:rPr>
        <w:t>Biggest uncertainties:</w:t>
      </w:r>
      <w:r>
        <w:rPr>
          <w:b w:val="0"/>
          <w:color w:val="0B0B0B"/>
        </w:rPr>
        <w:t xml:space="preserve"> save rate of the standard offer and value horizon (months).</w:t>
      </w:r>
    </w:p>
    <w:p>
      <w:pPr>
        <w:pStyle w:val="Heading2"/>
      </w:pPr>
      <w:r>
        <w:t>Risks and guardrails</w:t>
      </w:r>
    </w:p>
    <w:p>
      <w:pPr>
        <w:pStyle w:val="ListBullet"/>
        <w:spacing w:after="20"/>
      </w:pPr>
      <w:r>
        <w:rPr>
          <w:b/>
          <w:color w:val="0B0B0B"/>
        </w:rPr>
        <w:t>No causal evidence yet.</w:t>
      </w:r>
      <w:r>
        <w:rPr>
          <w:b w:val="0"/>
          <w:color w:val="0B0B0B"/>
        </w:rPr>
        <w:t xml:space="preserve"> Save rates are documented assumptions. Contacting customers can even raise churn, so the pilot keeps a random control group.</w:t>
      </w:r>
    </w:p>
    <w:p>
      <w:pPr>
        <w:pStyle w:val="ListBullet"/>
        <w:spacing w:after="20"/>
      </w:pPr>
      <w:r>
        <w:rPr>
          <w:b/>
          <w:color w:val="0B0B0B"/>
        </w:rPr>
        <w:t>Sample data.</w:t>
      </w:r>
      <w:r>
        <w:rPr>
          <w:b w:val="0"/>
          <w:color w:val="0B0B0B"/>
        </w:rPr>
        <w:t xml:space="preserve"> The IBM sample describes a fictional US company with 26.5% churn; real US carriers lose about 1% of postpaid customers per month. The results show that the method works, not how big the prize is. Retrain on our own data before rollout.</w:t>
      </w:r>
    </w:p>
    <w:p>
      <w:pPr>
        <w:pStyle w:val="ListBullet"/>
        <w:spacing w:after="20"/>
      </w:pPr>
      <w:r>
        <w:rPr>
          <w:b/>
          <w:color w:val="0B0B0B"/>
        </w:rPr>
        <w:t>Fairness and experience.</w:t>
      </w:r>
      <w:r>
        <w:rPr>
          <w:b w:val="0"/>
          <w:color w:val="0B0B0B"/>
        </w:rPr>
        <w:t xml:space="preserve"> Senior customers are contacted 3.7x as often as others, because they are higher-risk and pay more; age and gender are not model inputs. Loyal, low-risk customers rarely get offers, so watch for "loyalty penalty" complaints.</w:t>
      </w:r>
    </w:p>
    <w:p>
      <w:pPr>
        <w:pStyle w:val="ListBullet"/>
        <w:spacing w:after="20"/>
      </w:pPr>
      <w:r>
        <w:rPr>
          <w:b/>
          <w:color w:val="0B0B0B"/>
        </w:rPr>
        <w:t>Compliance (Vietnam).</w:t>
      </w:r>
      <w:r>
        <w:rPr>
          <w:b w:val="0"/>
          <w:color w:val="0B0B0B"/>
        </w:rPr>
        <w:t xml:space="preserve"> Prior consent and a Do-Not-Call check are required. Advertising calls are limited to one per 24 hours, between 08:00 and 17:00 (Decree 91/2020). A data-protection impact assessment is required under the Personal Data Protection Law 2025.</w:t>
      </w:r>
    </w:p>
    <w:p>
      <w:pPr>
        <w:pStyle w:val="Heading2"/>
      </w:pPr>
      <w:r>
        <w:t>Decisions requested</w:t>
      </w:r>
    </w:p>
    <w:p>
      <w:pPr>
        <w:pStyle w:val="ListNumber"/>
        <w:spacing w:after="20"/>
      </w:pPr>
      <w:r>
        <w:rPr>
          <w:b w:val="0"/>
          <w:color w:val="0B0B0B"/>
        </w:rPr>
        <w:t>Approve one pilot wave: 845 customers contacted and 845 held out. Offer and contact budget about $23,033.</w:t>
      </w:r>
    </w:p>
    <w:p>
      <w:pPr>
        <w:pStyle w:val="ListNumber"/>
        <w:spacing w:after="20"/>
      </w:pPr>
      <w:r>
        <w:rPr>
          <w:b w:val="0"/>
          <w:color w:val="0B0B0B"/>
        </w:rPr>
        <w:t>Name owners: Retention (offers and script), Call centre (capacity), Finance (margin and offer cost), Legal/DPO (consent and DPIA).</w:t>
      </w:r>
    </w:p>
    <w:p>
      <w:pPr>
        <w:pStyle w:val="ListNumber"/>
        <w:spacing w:after="20"/>
      </w:pPr>
      <w:r>
        <w:rPr>
          <w:b w:val="0"/>
          <w:color w:val="0B0B0B"/>
        </w:rPr>
        <w:t>Agree the go/no-go rule now. Scale to 24% of the base only if, after 90 days, the lower 95% bound of the measured save rate is above 11.8%.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0B0B0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0B0B0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