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BT2 – CƠ HỘI KINH DOANH</w:t>
        <w:br/>
        <w:t>VÒNG TAY MẪU CÓ SẴN</w:t>
      </w:r>
    </w:p>
    <w:p>
      <w:r>
        <w:t>Người biên soạn: Phong – Communication &amp; Documentation Lead | 19/10/2026</w:t>
      </w:r>
    </w:p>
    <w:p>
      <w:r>
        <w:t>Căn cứ kết luận BT1 mới nhất: nhóm chọn hướng vòng tay mẫu có sẵn; chưa chốt mã vòng hoặc nhà cung cấp. Số liệu được trích từ bản đề xuất nhóm cung cấp, có ghi giới hạn và nguồn.</w:t>
      </w:r>
    </w:p>
    <w:p>
      <w:pPr>
        <w:pStyle w:val="Heading1"/>
      </w:pPr>
      <w:r>
        <w:t>1. Problem/Opportunity Statement</w:t>
      </w:r>
    </w:p>
    <w:p>
      <w:r>
        <w:t>Nhóm xác định cơ hội thử nghiệm kinh doanh vòng tay mẫu có sẵn cho sinh viên tại TP.HCM. Theo tài liệu đề xuất của nhóm, khảo sát ngày 18–19/10/2026 có 28 phản hồi; 27 người là sinh viên và 26 người thuộc nhóm 18–22 tuổi. Đây là căn cứ ban đầu để xác định khách hàng, chưa đại diện toàn thị trường.</w:t>
      </w:r>
    </w:p>
    <w:p>
      <w:r>
        <w:t>Trong mẫu khảo sát, 19/28 người thích kiểu đơn giản, 26/28 quan tâm chất liệu, 21/28 quan tâm giá và 10/28 ngần ngại vì chưa tìm được mẫu phù hợp. Nhu cầu cần giải quyết là chọn vòng hợp sở thích, có thông tin rõ ràng và vừa tay, để đeo hằng ngày hoặc làm quà.</w:t>
      </w:r>
    </w:p>
    <w:p>
      <w:r>
        <w:t>Nhóm chọn hướng bán vòng tay mẫu có sẵn, ưu tiên kiểu đơn giản; mã hàng và nhà cung cấp chưa được chốt. Giá trị đề xuất là ảnh sản phẩm thật, thông tin chất liệu và kích thước rõ, kiểm tra dây/khóa trước giao và hỗ trợ lựa chọn theo nhu cầu.</w:t>
      </w:r>
    </w:p>
    <w:p>
      <w:r>
        <w:t>Nhóm dự kiến tiếp cận qua mạng lưới sinh viên, Facebook/Instagram và giới thiệu trực tiếp; có thể dùng nội dung TikTok để khách xem cách đeo. Kênh bán cần được thử, không mặc định kênh được ưa thích sẽ tạo đơn.</w:t>
      </w:r>
    </w:p>
    <w:p>
      <w:r>
        <w:t>Các số liệu hiện được trích từ bản tổng hợp của nhóm, chưa đối soát phản hồi gốc. Tuần 2, nhóm dự kiến cho 5–10 khách mục tiêu xem mẫu và mức giá có căn cứ, ghi lựa chọn, lý do từ chối và hành động đặt mua thực tế để kiểm chứng nhu cầu.</w:t>
      </w:r>
    </w:p>
    <w:p>
      <w:r>
        <w:t>Độ dài phần mô tả: 269 từ theo khoảng trắng. Nguồn: MC-00, MC-01. Đây là phần 200–300 từ theo yêu cầu; các mục còn lại là phân tích và phụ lục.</w:t>
      </w:r>
    </w:p>
    <w:p>
      <w:r>
        <w:br w:type="page"/>
      </w:r>
    </w:p>
    <w:p>
      <w:pPr>
        <w:pStyle w:val="Heading1"/>
      </w:pPr>
      <w:r>
        <w:t>2. Khách hàng mục tiêu</w:t>
      </w:r>
    </w:p>
    <w:tbl>
      <w:tblPr>
        <w:tblStyle w:val="TableGrid"/>
        <w:tblW w:type="auto" w:w="0"/>
        <w:tblLayout w:type="fixed"/>
        <w:tblLook w:firstColumn="1" w:firstRow="1" w:lastColumn="0" w:lastRow="0" w:noHBand="0" w:noVBand="1" w:val="04A0"/>
      </w:tblPr>
      <w:tblGrid>
        <w:gridCol w:w="1984"/>
        <w:gridCol w:w="3458"/>
        <w:gridCol w:w="4592"/>
      </w:tblGrid>
      <w:tr>
        <w:trPr>
          <w:tblHeader/>
          <w:cantSplit/>
        </w:trPr>
        <w:tc>
          <w:tcPr>
            <w:tcW w:type="dxa" w:w="1984"/>
            <w:shd w:fill="154C5B"/>
          </w:tcPr>
          <w:p>
            <w:pPr>
              <w:spacing w:after="60" w:line="245" w:lineRule="auto"/>
            </w:pPr>
            <w:r>
              <w:rPr>
                <w:b/>
                <w:color w:val="FFFFFF"/>
                <w:sz w:val="17"/>
              </w:rPr>
              <w:t>Thành phần</w:t>
            </w:r>
          </w:p>
        </w:tc>
        <w:tc>
          <w:tcPr>
            <w:tcW w:type="dxa" w:w="3458"/>
            <w:shd w:fill="154C5B"/>
          </w:tcPr>
          <w:p>
            <w:pPr>
              <w:spacing w:after="60" w:line="245" w:lineRule="auto"/>
            </w:pPr>
            <w:r>
              <w:rPr>
                <w:b/>
                <w:color w:val="FFFFFF"/>
                <w:sz w:val="17"/>
              </w:rPr>
              <w:t>Mô tả</w:t>
            </w:r>
          </w:p>
        </w:tc>
        <w:tc>
          <w:tcPr>
            <w:tcW w:type="dxa" w:w="4592"/>
            <w:shd w:fill="154C5B"/>
          </w:tcPr>
          <w:p>
            <w:pPr>
              <w:spacing w:after="60" w:line="245" w:lineRule="auto"/>
            </w:pPr>
            <w:r>
              <w:rPr>
                <w:b/>
                <w:color w:val="FFFFFF"/>
                <w:sz w:val="17"/>
              </w:rPr>
              <w:t>Căn cứ và giới hạn</w:t>
            </w:r>
          </w:p>
        </w:tc>
      </w:tr>
      <w:tr>
        <w:trPr>
          <w:cantSplit/>
        </w:trPr>
        <w:tc>
          <w:tcPr>
            <w:tcW w:type="dxa" w:w="1984"/>
          </w:tcPr>
          <w:p>
            <w:pPr>
              <w:spacing w:after="60" w:line="245" w:lineRule="auto"/>
            </w:pPr>
            <w:r>
              <w:rPr>
                <w:sz w:val="17"/>
              </w:rPr>
              <w:t>Phạm vi khách hàng</w:t>
            </w:r>
          </w:p>
        </w:tc>
        <w:tc>
          <w:tcPr>
            <w:tcW w:type="dxa" w:w="3458"/>
          </w:tcPr>
          <w:p>
            <w:pPr>
              <w:spacing w:after="60" w:line="245" w:lineRule="auto"/>
            </w:pPr>
            <w:r>
              <w:rPr>
                <w:sz w:val="17"/>
              </w:rPr>
              <w:t>Ưu tiên sinh viên 18–22 tuổi trong mạng lưới nhóm tại TP.HCM.</w:t>
            </w:r>
          </w:p>
        </w:tc>
        <w:tc>
          <w:tcPr>
            <w:tcW w:type="dxa" w:w="4592"/>
          </w:tcPr>
          <w:p>
            <w:pPr>
              <w:spacing w:after="60" w:line="245" w:lineRule="auto"/>
            </w:pPr>
            <w:r>
              <w:rPr>
                <w:sz w:val="17"/>
              </w:rPr>
              <w:t>27/28 là sinh viên; 26/28 thuộc nhóm 18–22 tuổi [MC-01]. TP.HCM là địa bàn nhóm đã cung cấp, chưa biết địa bàn từng phản hồi.</w:t>
            </w:r>
          </w:p>
        </w:tc>
      </w:tr>
      <w:tr>
        <w:trPr>
          <w:cantSplit/>
        </w:trPr>
        <w:tc>
          <w:tcPr>
            <w:tcW w:type="dxa" w:w="1984"/>
            <w:shd w:fill="EFF5F4"/>
          </w:tcPr>
          <w:p>
            <w:pPr>
              <w:spacing w:after="60" w:line="245" w:lineRule="auto"/>
            </w:pPr>
            <w:r>
              <w:rPr>
                <w:sz w:val="17"/>
              </w:rPr>
              <w:t>Người mua làm quà</w:t>
            </w:r>
          </w:p>
        </w:tc>
        <w:tc>
          <w:tcPr>
            <w:tcW w:type="dxa" w:w="3458"/>
            <w:shd w:fill="EFF5F4"/>
          </w:tcPr>
          <w:p>
            <w:pPr>
              <w:spacing w:after="60" w:line="245" w:lineRule="auto"/>
            </w:pPr>
            <w:r>
              <w:rPr>
                <w:sz w:val="17"/>
              </w:rPr>
              <w:t>Cần món quà hợp sở thích, dễ lựa chọn và vừa tay người nhận.</w:t>
            </w:r>
          </w:p>
        </w:tc>
        <w:tc>
          <w:tcPr>
            <w:tcW w:type="dxa" w:w="4592"/>
            <w:shd w:fill="EFF5F4"/>
          </w:tcPr>
          <w:p>
            <w:pPr>
              <w:spacing w:after="60" w:line="245" w:lineRule="auto"/>
            </w:pPr>
            <w:r>
              <w:rPr>
                <w:sz w:val="17"/>
              </w:rPr>
              <w:t>14/28 chọn mục đích làm quà; 9/14 thích kiểu đơn giản [MC-01]. Nhu cầu cụ thể cần kiểm với mẫu thật.</w:t>
            </w:r>
          </w:p>
        </w:tc>
      </w:tr>
      <w:tr>
        <w:trPr>
          <w:cantSplit/>
        </w:trPr>
        <w:tc>
          <w:tcPr>
            <w:tcW w:type="dxa" w:w="1984"/>
          </w:tcPr>
          <w:p>
            <w:pPr>
              <w:spacing w:after="60" w:line="245" w:lineRule="auto"/>
            </w:pPr>
            <w:r>
              <w:rPr>
                <w:sz w:val="17"/>
              </w:rPr>
              <w:t>Người mua để đeo</w:t>
            </w:r>
          </w:p>
        </w:tc>
        <w:tc>
          <w:tcPr>
            <w:tcW w:type="dxa" w:w="3458"/>
          </w:tcPr>
          <w:p>
            <w:pPr>
              <w:spacing w:after="60" w:line="245" w:lineRule="auto"/>
            </w:pPr>
            <w:r>
              <w:rPr>
                <w:sz w:val="17"/>
              </w:rPr>
              <w:t>Cần phụ kiện đơn giản, dễ phối; muốn biết chất liệu và kích thước.</w:t>
            </w:r>
          </w:p>
        </w:tc>
        <w:tc>
          <w:tcPr>
            <w:tcW w:type="dxa" w:w="4592"/>
          </w:tcPr>
          <w:p>
            <w:pPr>
              <w:spacing w:after="60" w:line="245" w:lineRule="auto"/>
            </w:pPr>
            <w:r>
              <w:rPr>
                <w:sz w:val="17"/>
              </w:rPr>
              <w:t>12/28 chọn mục đích đeo hằng ngày/phối trang phục; 8/12 thích kiểu đơn giản [MC-01].</w:t>
            </w:r>
          </w:p>
        </w:tc>
      </w:tr>
      <w:tr>
        <w:trPr>
          <w:cantSplit/>
        </w:trPr>
        <w:tc>
          <w:tcPr>
            <w:tcW w:type="dxa" w:w="1984"/>
            <w:shd w:fill="EFF5F4"/>
          </w:tcPr>
          <w:p>
            <w:pPr>
              <w:spacing w:after="60" w:line="245" w:lineRule="auto"/>
            </w:pPr>
            <w:r>
              <w:rPr>
                <w:sz w:val="17"/>
              </w:rPr>
              <w:t>Ưu tiên chung trong mẫu</w:t>
            </w:r>
          </w:p>
        </w:tc>
        <w:tc>
          <w:tcPr>
            <w:tcW w:type="dxa" w:w="3458"/>
            <w:shd w:fill="EFF5F4"/>
          </w:tcPr>
          <w:p>
            <w:pPr>
              <w:spacing w:after="60" w:line="245" w:lineRule="auto"/>
            </w:pPr>
            <w:r>
              <w:rPr>
                <w:sz w:val="17"/>
              </w:rPr>
              <w:t>Chất liệu, giá và độ bền; hình ảnh và thông tin phải đủ để khách tự đánh giá.</w:t>
            </w:r>
          </w:p>
        </w:tc>
        <w:tc>
          <w:tcPr>
            <w:tcW w:type="dxa" w:w="4592"/>
            <w:shd w:fill="EFF5F4"/>
          </w:tcPr>
          <w:p>
            <w:pPr>
              <w:spacing w:after="60" w:line="245" w:lineRule="auto"/>
            </w:pPr>
            <w:r>
              <w:rPr>
                <w:sz w:val="17"/>
              </w:rPr>
              <w:t>26/28 quan tâm chất liệu; 21/28 quan tâm giá; 19/28 quan tâm độ bền [MC-01].</w:t>
            </w:r>
          </w:p>
        </w:tc>
      </w:tr>
      <w:tr>
        <w:trPr>
          <w:cantSplit/>
        </w:trPr>
        <w:tc>
          <w:tcPr>
            <w:tcW w:type="dxa" w:w="1984"/>
          </w:tcPr>
          <w:p>
            <w:pPr>
              <w:spacing w:after="60" w:line="245" w:lineRule="auto"/>
            </w:pPr>
            <w:r>
              <w:rPr>
                <w:sz w:val="17"/>
              </w:rPr>
              <w:t>Thông tin chưa được xác định</w:t>
            </w:r>
          </w:p>
        </w:tc>
        <w:tc>
          <w:tcPr>
            <w:tcW w:type="dxa" w:w="3458"/>
          </w:tcPr>
          <w:p>
            <w:pPr>
              <w:spacing w:after="60" w:line="245" w:lineRule="auto"/>
            </w:pPr>
            <w:r>
              <w:rPr>
                <w:sz w:val="17"/>
              </w:rPr>
              <w:t>Không gán thêm thu nhập, giới tính, lịch sử mua hoặc sức mua thực tế.</w:t>
            </w:r>
          </w:p>
        </w:tc>
        <w:tc>
          <w:tcPr>
            <w:tcW w:type="dxa" w:w="4592"/>
          </w:tcPr>
          <w:p>
            <w:pPr>
              <w:spacing w:after="60" w:line="245" w:lineRule="auto"/>
            </w:pPr>
            <w:r>
              <w:rPr>
                <w:sz w:val="17"/>
              </w:rPr>
              <w:t>Chưa có dữ liệu gốc để kiểm cách lấy mẫu, câu hỏi, phản hồi trùng và mối liên hệ giữa các lựa chọn.</w:t>
            </w:r>
          </w:p>
        </w:tc>
      </w:tr>
    </w:tbl>
    <w:p>
      <w:pPr>
        <w:spacing w:after="20"/>
      </w:pPr>
    </w:p>
    <w:p>
      <w:r>
        <w:t>Hai nhóm mục đích mua là cách mô tả theo tài liệu khảo sát, không mặc định là hai nhóm loại trừ nhau. Chưa biết địa bàn từng người trả lời hoặc cơ chế tuyển mẫu; định hướng TP.HCM dựa trên địa bàn hoạt động của nhóm.</w:t>
      </w:r>
    </w:p>
    <w:p>
      <w:r>
        <w:br w:type="page"/>
      </w:r>
    </w:p>
    <w:p>
      <w:pPr>
        <w:pStyle w:val="Heading1"/>
      </w:pPr>
      <w:r>
        <w:t>3. Trả lời các câu hỏi bắt buộc</w:t>
      </w:r>
    </w:p>
    <w:p>
      <w:pPr>
        <w:pStyle w:val="Heading2"/>
      </w:pPr>
      <w:r>
        <w:t>3.1. Ai có khả năng mua sản phẩm và vì sao?</w:t>
      </w:r>
    </w:p>
    <w:p>
      <w:r>
        <w:t>Nhóm ưu tiên sinh viên 18–22 tuổi trong mạng lưới tại TP.HCM, với hai mục đích nổi bật trong mẫu: mua làm quà và mua để đeo hằng ngày/phối trang phục. Căn cứ là số liệu Huy tổng hợp: 27/28 người trả lời là sinh viên, 26/28 thuộc nhóm 18–22 tuổi; 14/28 chọn mua làm quà, 12/28 chọn đeo hằng ngày [MC-01]. Đây là nhóm có nhu cầu được tự khai, chưa phải danh sách khách chắc chắn sẽ mua.</w:t>
      </w:r>
    </w:p>
    <w:p>
      <w:pPr>
        <w:pStyle w:val="Heading2"/>
      </w:pPr>
      <w:r>
        <w:t>3.2. Bằng chứng nào cho thấy có nhu cầu? Bằng chứng đó có giới hạn gì?</w:t>
      </w:r>
    </w:p>
    <w:p>
      <w:r>
        <w:t>Bằng chứng sơ bộ là khảo sát 28 phản hồi ngày 18–19/10/2026, được nhóm dẫn trong tài liệu: 19/28 thích kiểu đơn giản, 26/28 quan tâm chất liệu và 10/28 còn ngần ngại vì chưa tìm được mẫu phù hợp [MC-01]. Các chỉ số hỗ trợ hướng chọn mẫu và thông tin cần cung cấp. Giới hạn: mẫu nhỏ, chủ yếu sinh viên; chưa có dữ liệu gốc để kiểm cách chọn mẫu, tính duy nhất và cấu trúc câu hỏi; sở thích/ý định không tương đương đơn mua. Chưa có phản hồi trực tiếp với các mã V1–V5.</w:t>
      </w:r>
    </w:p>
    <w:p>
      <w:pPr>
        <w:pStyle w:val="Heading2"/>
      </w:pPr>
      <w:r>
        <w:t>3.3. Khách hàng hiện mua sản phẩm tương tự ở đâu và với mức giá nào?</w:t>
      </w:r>
    </w:p>
    <w:p>
      <w:r>
        <w:t>Bản tổng hợp chưa cho biết lịch sử mua thực tế. Nó ghi kênh ưu tiên: nhóm mua quà chọn Shopee 5/14, trực tiếp 4/14, TikTok Shop 3/14; nhóm đeo hằng ngày chọn trực tiếp 7/12, Shopee 4/12, Facebook/Instagram 1/12 [MC-01]. Sản phẩm tương tự được nhóm ghi nhận ở Pinky Shop: mô tả 30.000đ/chiếc, 50.000đ/bộ 2 nhưng ô giá hiển thị 50.000đ còn cần làm rõ [MC-02]. Tại Imoon Jewelry VN, bảng của nhóm ghi 170.000–199.000đ tùy mẫu [MC-03]; chất liệu/phân khúc chưa tương đồng nên không so giá ngang. Đây là thông tin niêm yết nhóm trích, chưa phải giá khách đã trả.</w:t>
      </w:r>
    </w:p>
    <w:p>
      <w:pPr>
        <w:pStyle w:val="Heading2"/>
      </w:pPr>
      <w:r>
        <w:t>3.4. Lý do nào khiến khách hàng chọn nhóm thay vì đối thủ?</w:t>
      </w:r>
    </w:p>
    <w:p>
      <w:r>
        <w:t>Giá trị nhóm dự kiến cung cấp là danh mục mẫu có sẵn dễ chọn, ảnh thật, thông tin chất liệu/kích thước rõ, kiểm tra dây/khóa trước giao và hỗ trợ chọn theo mục đích sử dụng. Nội dung này bám các ưu tiên về chất liệu, giá, độ bền và kiểu đơn giản trong khảo sát [MC-01]. Nhóm chưa có bằng chứng làm tốt hơn đối thủ hoặc khách chấp nhận giá bán dự kiến; các điểm trên là đề xuất giá trị cần thử với khách, không phải lợi thế đã được chứng minh.</w:t>
      </w:r>
    </w:p>
    <w:p>
      <w:pPr>
        <w:pStyle w:val="Heading2"/>
      </w:pPr>
      <w:r>
        <w:t>3.5. Nhóm sẽ kiểm chứng nhu cầu bằng cách nào trong tuần 2?</w:t>
      </w:r>
    </w:p>
    <w:p>
      <w:r>
        <w:t>Trước hết, Bằng và Hưng xác nhận mẫu, chất liệu, giá đơn nhỏ, tồn hàng và phí giao; chưa nhập nếu chưa giải quyết được điều kiện giá sỉ [MC-04]. Huy và Nam dự kiến mời 5–10 khách mục tiêu xem cùng mẫu và mức giá có căn cứ, ghi lựa chọn, lý do từ chối, mức giá chấp nhận và ý định mua; Danh hỗ trợ ảnh/nội dung. Nếu có đặt mua, Nam lưu trạng thái đơn thật, tách khỏi lượt thích/hỏi giá. Phong tổng hợp chứng cứ, Đạt kiểm và Nghĩa quyết định giữ/đổi mẫu hoặc tiếp tục thử. Đây là kế hoạch đề xuất, chưa phải hoạt động đã diễn ra.</w:t>
      </w:r>
    </w:p>
    <w:p>
      <w:r>
        <w:br w:type="page"/>
      </w:r>
    </w:p>
    <w:p>
      <w:pPr>
        <w:pStyle w:val="Heading1"/>
      </w:pPr>
      <w:r>
        <w:t>4. Kiểm chứng nhu cầu trong tuần 2</w:t>
      </w:r>
    </w:p>
    <w:p>
      <w:r>
        <w:t>Kế hoạch đề xuất để nhóm xác nhận; chưa ghi là đã triển khai. Các đầu mối theo file phân công hiện có. Chưa tự đặt lịch ngày, ngân sách, số đơn, tỷ lệ hay ngưỡng đạt.</w:t>
      </w:r>
    </w:p>
    <w:tbl>
      <w:tblPr>
        <w:tblStyle w:val="TableGrid"/>
        <w:tblW w:type="auto" w:w="0"/>
        <w:tblLayout w:type="fixed"/>
        <w:tblLook w:firstColumn="1" w:firstRow="1" w:lastColumn="0" w:lastRow="0" w:noHBand="0" w:noVBand="1" w:val="04A0"/>
      </w:tblPr>
      <w:tblGrid>
        <w:gridCol w:w="2041"/>
        <w:gridCol w:w="4025"/>
        <w:gridCol w:w="3969"/>
      </w:tblGrid>
      <w:tr>
        <w:trPr>
          <w:tblHeader/>
          <w:cantSplit/>
        </w:trPr>
        <w:tc>
          <w:tcPr>
            <w:tcW w:type="dxa" w:w="2041"/>
            <w:shd w:fill="154C5B"/>
          </w:tcPr>
          <w:p>
            <w:pPr>
              <w:spacing w:after="60" w:line="245" w:lineRule="auto"/>
            </w:pPr>
            <w:r>
              <w:rPr>
                <w:b/>
                <w:color w:val="FFFFFF"/>
                <w:sz w:val="17"/>
              </w:rPr>
              <w:t>Bước / đầu mối</w:t>
            </w:r>
          </w:p>
        </w:tc>
        <w:tc>
          <w:tcPr>
            <w:tcW w:type="dxa" w:w="4025"/>
            <w:shd w:fill="154C5B"/>
          </w:tcPr>
          <w:p>
            <w:pPr>
              <w:spacing w:after="60" w:line="245" w:lineRule="auto"/>
            </w:pPr>
            <w:r>
              <w:rPr>
                <w:b/>
                <w:color w:val="FFFFFF"/>
                <w:sz w:val="17"/>
              </w:rPr>
              <w:t>Cách làm</w:t>
            </w:r>
          </w:p>
        </w:tc>
        <w:tc>
          <w:tcPr>
            <w:tcW w:type="dxa" w:w="3969"/>
            <w:shd w:fill="154C5B"/>
          </w:tcPr>
          <w:p>
            <w:pPr>
              <w:spacing w:after="60" w:line="245" w:lineRule="auto"/>
            </w:pPr>
            <w:r>
              <w:rPr>
                <w:b/>
                <w:color w:val="FFFFFF"/>
                <w:sz w:val="17"/>
              </w:rPr>
              <w:t>Minh chứng và tình trạng</w:t>
            </w:r>
          </w:p>
        </w:tc>
      </w:tr>
      <w:tr>
        <w:trPr>
          <w:cantSplit/>
        </w:trPr>
        <w:tc>
          <w:tcPr>
            <w:tcW w:type="dxa" w:w="2041"/>
          </w:tcPr>
          <w:p>
            <w:pPr>
              <w:spacing w:after="60" w:line="245" w:lineRule="auto"/>
            </w:pPr>
            <w:r>
              <w:rPr>
                <w:sz w:val="17"/>
              </w:rPr>
              <w:t>Xác nhận nguồn hàng trước test</w:t>
              <w:br/>
              <w:t>Bằng, Hưng</w:t>
            </w:r>
          </w:p>
        </w:tc>
        <w:tc>
          <w:tcPr>
            <w:tcW w:type="dxa" w:w="4025"/>
          </w:tcPr>
          <w:p>
            <w:pPr>
              <w:spacing w:after="60" w:line="245" w:lineRule="auto"/>
            </w:pPr>
            <w:r>
              <w:rPr>
                <w:sz w:val="17"/>
              </w:rPr>
              <w:t>Chốt thông tin mẫu có thể mua, chất liệu, cỡ, giá ở lượng mua thực, tồn hàng và phí giao. Nếu dùng ảnh shop phải ghi rõ nguồn, chưa gọi là ảnh mẫu của nhóm.</w:t>
            </w:r>
          </w:p>
        </w:tc>
        <w:tc>
          <w:tcPr>
            <w:tcW w:type="dxa" w:w="3969"/>
          </w:tcPr>
          <w:p>
            <w:pPr>
              <w:spacing w:after="60" w:line="245" w:lineRule="auto"/>
            </w:pPr>
            <w:r>
              <w:rPr>
                <w:sz w:val="17"/>
              </w:rPr>
              <w:t>Báo giá/trao đổi có ngày; ảnh có nguồn; cấu hình và điều kiện mua được shop xác nhận.</w:t>
              <w:br/>
              <w:t>Chưa có báo giá đơn nhỏ hoặc mẫu cuối được xác nhận trong đầu vào.</w:t>
            </w:r>
          </w:p>
        </w:tc>
      </w:tr>
      <w:tr>
        <w:trPr>
          <w:cantSplit/>
        </w:trPr>
        <w:tc>
          <w:tcPr>
            <w:tcW w:type="dxa" w:w="2041"/>
            <w:shd w:fill="EFF5F4"/>
          </w:tcPr>
          <w:p>
            <w:pPr>
              <w:spacing w:after="60" w:line="245" w:lineRule="auto"/>
            </w:pPr>
            <w:r>
              <w:rPr>
                <w:sz w:val="17"/>
              </w:rPr>
              <w:t>Cho khách xem mẫu và hỏi nhu cầu</w:t>
              <w:br/>
              <w:t>Huy, Nam</w:t>
            </w:r>
          </w:p>
        </w:tc>
        <w:tc>
          <w:tcPr>
            <w:tcW w:type="dxa" w:w="4025"/>
            <w:shd w:fill="EFF5F4"/>
          </w:tcPr>
          <w:p>
            <w:pPr>
              <w:spacing w:after="60" w:line="245" w:lineRule="auto"/>
            </w:pPr>
            <w:r>
              <w:rPr>
                <w:sz w:val="17"/>
              </w:rPr>
              <w:t>Tiếp cận 5–10 khách tiềm năng theo gợi ý của đề; hỏi mục đích, lựa chọn mẫu, cỡ/chất liệu quan tâm, mức giá chấp nhận và lý do từ chối. Ghi rõ người từng tham gia khảo sát cũ nếu khảo sát lại.</w:t>
            </w:r>
          </w:p>
        </w:tc>
        <w:tc>
          <w:tcPr>
            <w:tcW w:type="dxa" w:w="3969"/>
            <w:shd w:fill="EFF5F4"/>
          </w:tcPr>
          <w:p>
            <w:pPr>
              <w:spacing w:after="60" w:line="245" w:lineRule="auto"/>
            </w:pPr>
            <w:r>
              <w:rPr>
                <w:sz w:val="17"/>
              </w:rPr>
              <w:t>Phiếu theo mã người tham gia, thời điểm, mẫu/giá đã xem, câu trả lời; xin phép ghi nhận.</w:t>
              <w:br/>
              <w:t>Cỡ mẫu này là kế hoạch kiểm chứng, không phải phản hồi đã thu.</w:t>
            </w:r>
          </w:p>
        </w:tc>
      </w:tr>
      <w:tr>
        <w:trPr>
          <w:cantSplit/>
        </w:trPr>
        <w:tc>
          <w:tcPr>
            <w:tcW w:type="dxa" w:w="2041"/>
          </w:tcPr>
          <w:p>
            <w:pPr>
              <w:spacing w:after="60" w:line="245" w:lineRule="auto"/>
            </w:pPr>
            <w:r>
              <w:rPr>
                <w:sz w:val="17"/>
              </w:rPr>
              <w:t>Kiểm tra đề xuất giá trị</w:t>
              <w:br/>
              <w:t>Danh, Nam; Huy tổng hợp</w:t>
            </w:r>
          </w:p>
        </w:tc>
        <w:tc>
          <w:tcPr>
            <w:tcW w:type="dxa" w:w="4025"/>
          </w:tcPr>
          <w:p>
            <w:pPr>
              <w:spacing w:after="60" w:line="245" w:lineRule="auto"/>
            </w:pPr>
            <w:r>
              <w:rPr>
                <w:sz w:val="17"/>
              </w:rPr>
              <w:t>Cho khách xem ảnh/thông tin cụ thể và phương án tương tự; hỏi lý do chọn nhóm hoặc chọn nơi khác, không gợi ý câu trả lời.</w:t>
            </w:r>
          </w:p>
        </w:tc>
        <w:tc>
          <w:tcPr>
            <w:tcW w:type="dxa" w:w="3969"/>
          </w:tcPr>
          <w:p>
            <w:pPr>
              <w:spacing w:after="60" w:line="245" w:lineRule="auto"/>
            </w:pPr>
            <w:r>
              <w:rPr>
                <w:sz w:val="17"/>
              </w:rPr>
              <w:t>Ghi nguyên ý kiến về mẫu, chất liệu, giá, cách nhận; nguồn và giá đối thủ cùng thời điểm/cấu hình khi có.</w:t>
              <w:br/>
              <w:t>Không ghi nhóm vượt trội nếu chỉ là nhận xét nội bộ.</w:t>
            </w:r>
          </w:p>
        </w:tc>
      </w:tr>
      <w:tr>
        <w:trPr>
          <w:cantSplit/>
        </w:trPr>
        <w:tc>
          <w:tcPr>
            <w:tcW w:type="dxa" w:w="2041"/>
            <w:shd w:fill="EFF5F4"/>
          </w:tcPr>
          <w:p>
            <w:pPr>
              <w:spacing w:after="60" w:line="245" w:lineRule="auto"/>
            </w:pPr>
            <w:r>
              <w:rPr>
                <w:sz w:val="17"/>
              </w:rPr>
              <w:t>Theo dõi hành động mua</w:t>
              <w:br/>
              <w:t>Nam, Hưng</w:t>
            </w:r>
          </w:p>
        </w:tc>
        <w:tc>
          <w:tcPr>
            <w:tcW w:type="dxa" w:w="4025"/>
            <w:shd w:fill="EFF5F4"/>
          </w:tcPr>
          <w:p>
            <w:pPr>
              <w:spacing w:after="60" w:line="245" w:lineRule="auto"/>
            </w:pPr>
            <w:r>
              <w:rPr>
                <w:sz w:val="17"/>
              </w:rPr>
              <w:t>Chỉ công bố điều kiện có thể thực hiện; ghi riêng hỏi giá, quan tâm, xác nhận đặt, cọc, giao, hủy. Không thu cọc khi nhóm chưa thống nhất khả năng thực hiện và điều kiện giao dịch.</w:t>
            </w:r>
          </w:p>
        </w:tc>
        <w:tc>
          <w:tcPr>
            <w:tcW w:type="dxa" w:w="3969"/>
            <w:shd w:fill="EFF5F4"/>
          </w:tcPr>
          <w:p>
            <w:pPr>
              <w:spacing w:after="60" w:line="245" w:lineRule="auto"/>
            </w:pPr>
            <w:r>
              <w:rPr>
                <w:sz w:val="17"/>
              </w:rPr>
              <w:t>Mã đơn, mẫu/giá, thời điểm, trạng thái và chứng từ nếu phát sinh; ẩn thông tin riêng ở bản nộp.</w:t>
              <w:br/>
              <w:t>Chưa có số đơn, tỷ lệ chuyển đổi hoặc doanh thu để báo cáo.</w:t>
            </w:r>
          </w:p>
        </w:tc>
      </w:tr>
      <w:tr>
        <w:trPr>
          <w:cantSplit/>
        </w:trPr>
        <w:tc>
          <w:tcPr>
            <w:tcW w:type="dxa" w:w="2041"/>
          </w:tcPr>
          <w:p>
            <w:pPr>
              <w:spacing w:after="60" w:line="245" w:lineRule="auto"/>
            </w:pPr>
            <w:r>
              <w:rPr>
                <w:sz w:val="17"/>
              </w:rPr>
              <w:t>Tổng hợp và quyết định</w:t>
              <w:br/>
              <w:t>Phong tổng hợp; Đạt kiểm; Nghĩa quyết định</w:t>
            </w:r>
          </w:p>
        </w:tc>
        <w:tc>
          <w:tcPr>
            <w:tcW w:type="dxa" w:w="4025"/>
          </w:tcPr>
          <w:p>
            <w:pPr>
              <w:spacing w:after="60" w:line="245" w:lineRule="auto"/>
            </w:pPr>
            <w:r>
              <w:rPr>
                <w:sz w:val="17"/>
              </w:rPr>
              <w:t>Đối chiếu lựa chọn, lý do từ chối, mức giá, nguồn hàng và hành động mua. Giữ mẫu, sửa đề xuất hoặc thử tiếp dựa trên dữ liệu thu được.</w:t>
            </w:r>
          </w:p>
        </w:tc>
        <w:tc>
          <w:tcPr>
            <w:tcW w:type="dxa" w:w="3969"/>
          </w:tcPr>
          <w:p>
            <w:pPr>
              <w:spacing w:after="60" w:line="245" w:lineRule="auto"/>
            </w:pPr>
            <w:r>
              <w:rPr>
                <w:sz w:val="17"/>
              </w:rPr>
              <w:t>Bảng kết quả thực; minh chứng nguồn; biên bản quyết định có người/ngày xác nhận.</w:t>
              <w:br/>
              <w:t>Chưa tự đặt ngưỡng đạt, chỉ tiêu doanh số hoặc lịch ngày khi nhóm chưa chốt.</w:t>
            </w:r>
          </w:p>
        </w:tc>
      </w:tr>
    </w:tbl>
    <w:p>
      <w:pPr>
        <w:spacing w:after="20"/>
      </w:pPr>
    </w:p>
    <w:p>
      <w:pPr>
        <w:pStyle w:val="Heading2"/>
      </w:pPr>
      <w:r>
        <w:t>Phiếu ghi nhận dùng khi thực hiện</w:t>
      </w:r>
    </w:p>
    <w:p>
      <w:r>
        <w:t>Mã người tham gia; ngày; đối tượng; lần đầu/khảo sát lại; mẫu và ảnh đã xem; nguồn ảnh; giá/điều kiện đã thông báo; lựa chọn; mức giá chấp nhận; lý do chọn/từ chối; trạng thái hành động mua; ghi chú đồng ý lưu phản hồi. Chưa điền số người, câu trả lời hoặc kết quả giả.</w:t>
      </w:r>
    </w:p>
    <w:p>
      <w:r>
        <w:br w:type="page"/>
      </w:r>
    </w:p>
    <w:p>
      <w:pPr>
        <w:pStyle w:val="Heading1"/>
      </w:pPr>
      <w:r>
        <w:t>5. Phụ lục bằng chứng</w:t>
      </w:r>
    </w:p>
    <w:p>
      <w:pPr>
        <w:pStyle w:val="Heading2"/>
      </w:pPr>
      <w:r>
        <w:t>A. Trích số liệu khảo sát của nhóm</w:t>
      </w:r>
    </w:p>
    <w:p>
      <w:r>
        <w:t>Theo MC-00: 28 phản hồi ngày 18–19/10/2026. Bảng dưới đây trích từ báo cáo tổng hợp; không phải dữ liệu từng người và chưa thay việc đối soát phản hồi gốc.</w:t>
      </w:r>
    </w:p>
    <w:tbl>
      <w:tblPr>
        <w:tblStyle w:val="TableGrid"/>
        <w:tblW w:type="auto" w:w="0"/>
        <w:tblLayout w:type="fixed"/>
        <w:tblLook w:firstColumn="1" w:firstRow="1" w:lastColumn="0" w:lastRow="0" w:noHBand="0" w:noVBand="1" w:val="04A0"/>
      </w:tblPr>
      <w:tblGrid>
        <w:gridCol w:w="4592"/>
        <w:gridCol w:w="1247"/>
        <w:gridCol w:w="1247"/>
        <w:gridCol w:w="2948"/>
      </w:tblGrid>
      <w:tr>
        <w:trPr>
          <w:tblHeader/>
          <w:cantSplit/>
        </w:trPr>
        <w:tc>
          <w:tcPr>
            <w:tcW w:type="dxa" w:w="4592"/>
            <w:shd w:fill="154C5B"/>
          </w:tcPr>
          <w:p>
            <w:pPr>
              <w:spacing w:after="60" w:line="245" w:lineRule="auto"/>
            </w:pPr>
            <w:r>
              <w:rPr>
                <w:b/>
                <w:color w:val="FFFFFF"/>
                <w:sz w:val="17"/>
              </w:rPr>
              <w:t>Chỉ báo</w:t>
            </w:r>
          </w:p>
        </w:tc>
        <w:tc>
          <w:tcPr>
            <w:tcW w:type="dxa" w:w="1247"/>
            <w:shd w:fill="154C5B"/>
          </w:tcPr>
          <w:p>
            <w:pPr>
              <w:spacing w:after="60" w:line="245" w:lineRule="auto"/>
            </w:pPr>
            <w:r>
              <w:rPr>
                <w:b/>
                <w:color w:val="FFFFFF"/>
                <w:sz w:val="17"/>
              </w:rPr>
              <w:t>Số người / mẫu số</w:t>
            </w:r>
          </w:p>
        </w:tc>
        <w:tc>
          <w:tcPr>
            <w:tcW w:type="dxa" w:w="1247"/>
            <w:shd w:fill="154C5B"/>
          </w:tcPr>
          <w:p>
            <w:pPr>
              <w:spacing w:after="60" w:line="245" w:lineRule="auto"/>
            </w:pPr>
            <w:r>
              <w:rPr>
                <w:b/>
                <w:color w:val="FFFFFF"/>
                <w:sz w:val="17"/>
              </w:rPr>
              <w:t>Tỷ lệ báo cáo</w:t>
            </w:r>
          </w:p>
        </w:tc>
        <w:tc>
          <w:tcPr>
            <w:tcW w:type="dxa" w:w="2948"/>
            <w:shd w:fill="154C5B"/>
          </w:tcPr>
          <w:p>
            <w:pPr>
              <w:spacing w:after="60" w:line="245" w:lineRule="auto"/>
            </w:pPr>
            <w:r>
              <w:rPr>
                <w:b/>
                <w:color w:val="FFFFFF"/>
                <w:sz w:val="17"/>
              </w:rPr>
              <w:t>Vị trí trong MC-00</w:t>
            </w:r>
          </w:p>
        </w:tc>
      </w:tr>
      <w:tr>
        <w:trPr>
          <w:cantSplit/>
        </w:trPr>
        <w:tc>
          <w:tcPr>
            <w:tcW w:type="dxa" w:w="4592"/>
          </w:tcPr>
          <w:p>
            <w:pPr>
              <w:spacing w:after="60" w:line="245" w:lineRule="auto"/>
            </w:pPr>
            <w:r>
              <w:rPr>
                <w:sz w:val="17"/>
              </w:rPr>
              <w:t>Người trả lời là sinh viên</w:t>
            </w:r>
          </w:p>
        </w:tc>
        <w:tc>
          <w:tcPr>
            <w:tcW w:type="dxa" w:w="1247"/>
          </w:tcPr>
          <w:p>
            <w:pPr>
              <w:spacing w:after="60" w:line="245" w:lineRule="auto"/>
            </w:pPr>
            <w:r>
              <w:rPr>
                <w:sz w:val="17"/>
              </w:rPr>
              <w:t>27/28</w:t>
            </w:r>
          </w:p>
        </w:tc>
        <w:tc>
          <w:tcPr>
            <w:tcW w:type="dxa" w:w="1247"/>
          </w:tcPr>
          <w:p>
            <w:pPr>
              <w:spacing w:after="60" w:line="245" w:lineRule="auto"/>
            </w:pPr>
            <w:r>
              <w:rPr>
                <w:sz w:val="17"/>
              </w:rPr>
              <w:t>96,4%</w:t>
            </w:r>
          </w:p>
        </w:tc>
        <w:tc>
          <w:tcPr>
            <w:tcW w:type="dxa" w:w="2948"/>
          </w:tcPr>
          <w:p>
            <w:pPr>
              <w:spacing w:after="60" w:line="245" w:lineRule="auto"/>
            </w:pPr>
            <w:r>
              <w:rPr>
                <w:sz w:val="17"/>
              </w:rPr>
              <w:t>Mục 2.1 – đoạn mở đầu</w:t>
            </w:r>
          </w:p>
        </w:tc>
      </w:tr>
      <w:tr>
        <w:trPr>
          <w:cantSplit/>
        </w:trPr>
        <w:tc>
          <w:tcPr>
            <w:tcW w:type="dxa" w:w="4592"/>
            <w:shd w:fill="EFF5F4"/>
          </w:tcPr>
          <w:p>
            <w:pPr>
              <w:spacing w:after="60" w:line="245" w:lineRule="auto"/>
            </w:pPr>
            <w:r>
              <w:rPr>
                <w:sz w:val="17"/>
              </w:rPr>
              <w:t>Người trả lời thuộc nhóm 18–22 tuổi</w:t>
            </w:r>
          </w:p>
        </w:tc>
        <w:tc>
          <w:tcPr>
            <w:tcW w:type="dxa" w:w="1247"/>
            <w:shd w:fill="EFF5F4"/>
          </w:tcPr>
          <w:p>
            <w:pPr>
              <w:spacing w:after="60" w:line="245" w:lineRule="auto"/>
            </w:pPr>
            <w:r>
              <w:rPr>
                <w:sz w:val="17"/>
              </w:rPr>
              <w:t>26/28</w:t>
            </w:r>
          </w:p>
        </w:tc>
        <w:tc>
          <w:tcPr>
            <w:tcW w:type="dxa" w:w="1247"/>
            <w:shd w:fill="EFF5F4"/>
          </w:tcPr>
          <w:p>
            <w:pPr>
              <w:spacing w:after="60" w:line="245" w:lineRule="auto"/>
            </w:pPr>
            <w:r>
              <w:rPr>
                <w:sz w:val="17"/>
              </w:rPr>
              <w:t>92,9%</w:t>
            </w:r>
          </w:p>
        </w:tc>
        <w:tc>
          <w:tcPr>
            <w:tcW w:type="dxa" w:w="2948"/>
            <w:shd w:fill="EFF5F4"/>
          </w:tcPr>
          <w:p>
            <w:pPr>
              <w:spacing w:after="60" w:line="245" w:lineRule="auto"/>
            </w:pPr>
            <w:r>
              <w:rPr>
                <w:sz w:val="17"/>
              </w:rPr>
              <w:t>Mục 2.1 – đoạn mở đầu</w:t>
            </w:r>
          </w:p>
        </w:tc>
      </w:tr>
      <w:tr>
        <w:trPr>
          <w:cantSplit/>
        </w:trPr>
        <w:tc>
          <w:tcPr>
            <w:tcW w:type="dxa" w:w="4592"/>
          </w:tcPr>
          <w:p>
            <w:pPr>
              <w:spacing w:after="60" w:line="245" w:lineRule="auto"/>
            </w:pPr>
            <w:r>
              <w:rPr>
                <w:sz w:val="17"/>
              </w:rPr>
              <w:t>Thích kiểu đơn giản, ít chi tiết</w:t>
            </w:r>
          </w:p>
        </w:tc>
        <w:tc>
          <w:tcPr>
            <w:tcW w:type="dxa" w:w="1247"/>
          </w:tcPr>
          <w:p>
            <w:pPr>
              <w:spacing w:after="60" w:line="245" w:lineRule="auto"/>
            </w:pPr>
            <w:r>
              <w:rPr>
                <w:sz w:val="17"/>
              </w:rPr>
              <w:t>19/28</w:t>
            </w:r>
          </w:p>
        </w:tc>
        <w:tc>
          <w:tcPr>
            <w:tcW w:type="dxa" w:w="1247"/>
          </w:tcPr>
          <w:p>
            <w:pPr>
              <w:spacing w:after="60" w:line="245" w:lineRule="auto"/>
            </w:pPr>
            <w:r>
              <w:rPr>
                <w:sz w:val="17"/>
              </w:rPr>
              <w:t>67,9%</w:t>
            </w:r>
          </w:p>
        </w:tc>
        <w:tc>
          <w:tcPr>
            <w:tcW w:type="dxa" w:w="2948"/>
          </w:tcPr>
          <w:p>
            <w:pPr>
              <w:spacing w:after="60" w:line="245" w:lineRule="auto"/>
            </w:pPr>
            <w:r>
              <w:rPr>
                <w:sz w:val="17"/>
              </w:rPr>
              <w:t>Mục 1.1 – bảng phương án vòng tay</w:t>
            </w:r>
          </w:p>
        </w:tc>
      </w:tr>
      <w:tr>
        <w:trPr>
          <w:cantSplit/>
        </w:trPr>
        <w:tc>
          <w:tcPr>
            <w:tcW w:type="dxa" w:w="4592"/>
            <w:shd w:fill="EFF5F4"/>
          </w:tcPr>
          <w:p>
            <w:pPr>
              <w:spacing w:after="60" w:line="245" w:lineRule="auto"/>
            </w:pPr>
            <w:r>
              <w:rPr>
                <w:sz w:val="17"/>
              </w:rPr>
              <w:t>Quan tâm chất liệu</w:t>
            </w:r>
          </w:p>
        </w:tc>
        <w:tc>
          <w:tcPr>
            <w:tcW w:type="dxa" w:w="1247"/>
            <w:shd w:fill="EFF5F4"/>
          </w:tcPr>
          <w:p>
            <w:pPr>
              <w:spacing w:after="60" w:line="245" w:lineRule="auto"/>
            </w:pPr>
            <w:r>
              <w:rPr>
                <w:sz w:val="17"/>
              </w:rPr>
              <w:t>26/28</w:t>
            </w:r>
          </w:p>
        </w:tc>
        <w:tc>
          <w:tcPr>
            <w:tcW w:type="dxa" w:w="1247"/>
            <w:shd w:fill="EFF5F4"/>
          </w:tcPr>
          <w:p>
            <w:pPr>
              <w:spacing w:after="60" w:line="245" w:lineRule="auto"/>
            </w:pPr>
            <w:r>
              <w:rPr>
                <w:sz w:val="17"/>
              </w:rPr>
              <w:t>92,9%</w:t>
            </w:r>
          </w:p>
        </w:tc>
        <w:tc>
          <w:tcPr>
            <w:tcW w:type="dxa" w:w="2948"/>
            <w:shd w:fill="EFF5F4"/>
          </w:tcPr>
          <w:p>
            <w:pPr>
              <w:spacing w:after="60" w:line="245" w:lineRule="auto"/>
            </w:pPr>
            <w:r>
              <w:rPr>
                <w:sz w:val="17"/>
              </w:rPr>
              <w:t>Đoạn đánh giá sau mục 1.1</w:t>
            </w:r>
          </w:p>
        </w:tc>
      </w:tr>
      <w:tr>
        <w:trPr>
          <w:cantSplit/>
        </w:trPr>
        <w:tc>
          <w:tcPr>
            <w:tcW w:type="dxa" w:w="4592"/>
          </w:tcPr>
          <w:p>
            <w:pPr>
              <w:spacing w:after="60" w:line="245" w:lineRule="auto"/>
            </w:pPr>
            <w:r>
              <w:rPr>
                <w:sz w:val="17"/>
              </w:rPr>
              <w:t>Quan tâm giá</w:t>
            </w:r>
          </w:p>
        </w:tc>
        <w:tc>
          <w:tcPr>
            <w:tcW w:type="dxa" w:w="1247"/>
          </w:tcPr>
          <w:p>
            <w:pPr>
              <w:spacing w:after="60" w:line="245" w:lineRule="auto"/>
            </w:pPr>
            <w:r>
              <w:rPr>
                <w:sz w:val="17"/>
              </w:rPr>
              <w:t>21/28</w:t>
            </w:r>
          </w:p>
        </w:tc>
        <w:tc>
          <w:tcPr>
            <w:tcW w:type="dxa" w:w="1247"/>
          </w:tcPr>
          <w:p>
            <w:pPr>
              <w:spacing w:after="60" w:line="245" w:lineRule="auto"/>
            </w:pPr>
            <w:r>
              <w:rPr>
                <w:sz w:val="17"/>
              </w:rPr>
              <w:t>75%</w:t>
            </w:r>
          </w:p>
        </w:tc>
        <w:tc>
          <w:tcPr>
            <w:tcW w:type="dxa" w:w="2948"/>
          </w:tcPr>
          <w:p>
            <w:pPr>
              <w:spacing w:after="60" w:line="245" w:lineRule="auto"/>
            </w:pPr>
            <w:r>
              <w:rPr>
                <w:sz w:val="17"/>
              </w:rPr>
              <w:t>Đoạn đánh giá sau mục 1.1</w:t>
            </w:r>
          </w:p>
        </w:tc>
      </w:tr>
      <w:tr>
        <w:trPr>
          <w:cantSplit/>
        </w:trPr>
        <w:tc>
          <w:tcPr>
            <w:tcW w:type="dxa" w:w="4592"/>
            <w:shd w:fill="EFF5F4"/>
          </w:tcPr>
          <w:p>
            <w:pPr>
              <w:spacing w:after="60" w:line="245" w:lineRule="auto"/>
            </w:pPr>
            <w:r>
              <w:rPr>
                <w:sz w:val="17"/>
              </w:rPr>
              <w:t>Quan tâm độ bền</w:t>
            </w:r>
          </w:p>
        </w:tc>
        <w:tc>
          <w:tcPr>
            <w:tcW w:type="dxa" w:w="1247"/>
            <w:shd w:fill="EFF5F4"/>
          </w:tcPr>
          <w:p>
            <w:pPr>
              <w:spacing w:after="60" w:line="245" w:lineRule="auto"/>
            </w:pPr>
            <w:r>
              <w:rPr>
                <w:sz w:val="17"/>
              </w:rPr>
              <w:t>19/28</w:t>
            </w:r>
          </w:p>
        </w:tc>
        <w:tc>
          <w:tcPr>
            <w:tcW w:type="dxa" w:w="1247"/>
            <w:shd w:fill="EFF5F4"/>
          </w:tcPr>
          <w:p>
            <w:pPr>
              <w:spacing w:after="60" w:line="245" w:lineRule="auto"/>
            </w:pPr>
            <w:r>
              <w:rPr>
                <w:sz w:val="17"/>
              </w:rPr>
              <w:t>67,9%</w:t>
            </w:r>
          </w:p>
        </w:tc>
        <w:tc>
          <w:tcPr>
            <w:tcW w:type="dxa" w:w="2948"/>
            <w:shd w:fill="EFF5F4"/>
          </w:tcPr>
          <w:p>
            <w:pPr>
              <w:spacing w:after="60" w:line="245" w:lineRule="auto"/>
            </w:pPr>
            <w:r>
              <w:rPr>
                <w:sz w:val="17"/>
              </w:rPr>
              <w:t>Đoạn đánh giá sau mục 1.1</w:t>
            </w:r>
          </w:p>
        </w:tc>
      </w:tr>
      <w:tr>
        <w:trPr>
          <w:cantSplit/>
        </w:trPr>
        <w:tc>
          <w:tcPr>
            <w:tcW w:type="dxa" w:w="4592"/>
          </w:tcPr>
          <w:p>
            <w:pPr>
              <w:spacing w:after="60" w:line="245" w:lineRule="auto"/>
            </w:pPr>
            <w:r>
              <w:rPr>
                <w:sz w:val="17"/>
              </w:rPr>
              <w:t>Ngần ngại vì chưa tìm được mẫu phù hợp</w:t>
            </w:r>
          </w:p>
        </w:tc>
        <w:tc>
          <w:tcPr>
            <w:tcW w:type="dxa" w:w="1247"/>
          </w:tcPr>
          <w:p>
            <w:pPr>
              <w:spacing w:after="60" w:line="245" w:lineRule="auto"/>
            </w:pPr>
            <w:r>
              <w:rPr>
                <w:sz w:val="17"/>
              </w:rPr>
              <w:t>10/28</w:t>
            </w:r>
          </w:p>
        </w:tc>
        <w:tc>
          <w:tcPr>
            <w:tcW w:type="dxa" w:w="1247"/>
          </w:tcPr>
          <w:p>
            <w:pPr>
              <w:spacing w:after="60" w:line="245" w:lineRule="auto"/>
            </w:pPr>
            <w:r>
              <w:rPr>
                <w:sz w:val="17"/>
              </w:rPr>
              <w:t>35,7%</w:t>
            </w:r>
          </w:p>
        </w:tc>
        <w:tc>
          <w:tcPr>
            <w:tcW w:type="dxa" w:w="2948"/>
          </w:tcPr>
          <w:p>
            <w:pPr>
              <w:spacing w:after="60" w:line="245" w:lineRule="auto"/>
            </w:pPr>
            <w:r>
              <w:rPr>
                <w:sz w:val="17"/>
              </w:rPr>
              <w:t>Mục 1.1 – điểm thận trọng; BT1 cuối</w:t>
            </w:r>
          </w:p>
        </w:tc>
      </w:tr>
      <w:tr>
        <w:trPr>
          <w:cantSplit/>
        </w:trPr>
        <w:tc>
          <w:tcPr>
            <w:tcW w:type="dxa" w:w="4592"/>
            <w:shd w:fill="EFF5F4"/>
          </w:tcPr>
          <w:p>
            <w:pPr>
              <w:spacing w:after="60" w:line="245" w:lineRule="auto"/>
            </w:pPr>
            <w:r>
              <w:rPr>
                <w:sz w:val="17"/>
              </w:rPr>
              <w:t>Chọn mục đích mua làm quà</w:t>
            </w:r>
          </w:p>
        </w:tc>
        <w:tc>
          <w:tcPr>
            <w:tcW w:type="dxa" w:w="1247"/>
            <w:shd w:fill="EFF5F4"/>
          </w:tcPr>
          <w:p>
            <w:pPr>
              <w:spacing w:after="60" w:line="245" w:lineRule="auto"/>
            </w:pPr>
            <w:r>
              <w:rPr>
                <w:sz w:val="17"/>
              </w:rPr>
              <w:t>14/28</w:t>
            </w:r>
          </w:p>
        </w:tc>
        <w:tc>
          <w:tcPr>
            <w:tcW w:type="dxa" w:w="1247"/>
            <w:shd w:fill="EFF5F4"/>
          </w:tcPr>
          <w:p>
            <w:pPr>
              <w:spacing w:after="60" w:line="245" w:lineRule="auto"/>
            </w:pPr>
            <w:r>
              <w:rPr>
                <w:sz w:val="17"/>
              </w:rPr>
              <w:t>50%</w:t>
            </w:r>
          </w:p>
        </w:tc>
        <w:tc>
          <w:tcPr>
            <w:tcW w:type="dxa" w:w="2948"/>
            <w:shd w:fill="EFF5F4"/>
          </w:tcPr>
          <w:p>
            <w:pPr>
              <w:spacing w:after="60" w:line="245" w:lineRule="auto"/>
            </w:pPr>
            <w:r>
              <w:rPr>
                <w:sz w:val="17"/>
              </w:rPr>
              <w:t>Mục 1.1; mục 2.1 – chân dung A</w:t>
            </w:r>
          </w:p>
        </w:tc>
      </w:tr>
      <w:tr>
        <w:trPr>
          <w:cantSplit/>
        </w:trPr>
        <w:tc>
          <w:tcPr>
            <w:tcW w:type="dxa" w:w="4592"/>
          </w:tcPr>
          <w:p>
            <w:pPr>
              <w:spacing w:after="60" w:line="245" w:lineRule="auto"/>
            </w:pPr>
            <w:r>
              <w:rPr>
                <w:sz w:val="17"/>
              </w:rPr>
              <w:t>Chọn mục đích đeo hằng ngày/phối trang phục</w:t>
            </w:r>
          </w:p>
        </w:tc>
        <w:tc>
          <w:tcPr>
            <w:tcW w:type="dxa" w:w="1247"/>
          </w:tcPr>
          <w:p>
            <w:pPr>
              <w:spacing w:after="60" w:line="245" w:lineRule="auto"/>
            </w:pPr>
            <w:r>
              <w:rPr>
                <w:sz w:val="17"/>
              </w:rPr>
              <w:t>12/28</w:t>
            </w:r>
          </w:p>
        </w:tc>
        <w:tc>
          <w:tcPr>
            <w:tcW w:type="dxa" w:w="1247"/>
          </w:tcPr>
          <w:p>
            <w:pPr>
              <w:spacing w:after="60" w:line="245" w:lineRule="auto"/>
            </w:pPr>
            <w:r>
              <w:rPr>
                <w:sz w:val="17"/>
              </w:rPr>
              <w:t>42,9%</w:t>
            </w:r>
          </w:p>
        </w:tc>
        <w:tc>
          <w:tcPr>
            <w:tcW w:type="dxa" w:w="2948"/>
          </w:tcPr>
          <w:p>
            <w:pPr>
              <w:spacing w:after="60" w:line="245" w:lineRule="auto"/>
            </w:pPr>
            <w:r>
              <w:rPr>
                <w:sz w:val="17"/>
              </w:rPr>
              <w:t>Mục 1.1; mục 2.1 – chân dung B</w:t>
            </w:r>
          </w:p>
        </w:tc>
      </w:tr>
      <w:tr>
        <w:trPr>
          <w:cantSplit/>
        </w:trPr>
        <w:tc>
          <w:tcPr>
            <w:tcW w:type="dxa" w:w="4592"/>
            <w:shd w:fill="EFF5F4"/>
          </w:tcPr>
          <w:p>
            <w:pPr>
              <w:spacing w:after="60" w:line="245" w:lineRule="auto"/>
            </w:pPr>
            <w:r>
              <w:rPr>
                <w:sz w:val="17"/>
              </w:rPr>
              <w:t>Chọn tùy chỉnh là yếu tố ảnh hưởng quyết định mua</w:t>
            </w:r>
          </w:p>
        </w:tc>
        <w:tc>
          <w:tcPr>
            <w:tcW w:type="dxa" w:w="1247"/>
            <w:shd w:fill="EFF5F4"/>
          </w:tcPr>
          <w:p>
            <w:pPr>
              <w:spacing w:after="60" w:line="245" w:lineRule="auto"/>
            </w:pPr>
            <w:r>
              <w:rPr>
                <w:sz w:val="17"/>
              </w:rPr>
              <w:t>4/28</w:t>
            </w:r>
          </w:p>
        </w:tc>
        <w:tc>
          <w:tcPr>
            <w:tcW w:type="dxa" w:w="1247"/>
            <w:shd w:fill="EFF5F4"/>
          </w:tcPr>
          <w:p>
            <w:pPr>
              <w:spacing w:after="60" w:line="245" w:lineRule="auto"/>
            </w:pPr>
            <w:r>
              <w:rPr>
                <w:sz w:val="17"/>
              </w:rPr>
              <w:t>14,3%</w:t>
            </w:r>
          </w:p>
        </w:tc>
        <w:tc>
          <w:tcPr>
            <w:tcW w:type="dxa" w:w="2948"/>
            <w:shd w:fill="EFF5F4"/>
          </w:tcPr>
          <w:p>
            <w:pPr>
              <w:spacing w:after="60" w:line="245" w:lineRule="auto"/>
            </w:pPr>
            <w:r>
              <w:rPr>
                <w:sz w:val="17"/>
              </w:rPr>
              <w:t>Mục 1.1 – điểm thận trọng</w:t>
            </w:r>
          </w:p>
        </w:tc>
      </w:tr>
      <w:tr>
        <w:trPr>
          <w:cantSplit/>
        </w:trPr>
        <w:tc>
          <w:tcPr>
            <w:tcW w:type="dxa" w:w="4592"/>
          </w:tcPr>
          <w:p>
            <w:pPr>
              <w:spacing w:after="60" w:line="245" w:lineRule="auto"/>
            </w:pPr>
            <w:r>
              <w:rPr>
                <w:sz w:val="17"/>
              </w:rPr>
              <w:t>Chân dung mua quà trả lời “Có lẽ sẽ mua” trong 3 tháng</w:t>
            </w:r>
          </w:p>
        </w:tc>
        <w:tc>
          <w:tcPr>
            <w:tcW w:type="dxa" w:w="1247"/>
          </w:tcPr>
          <w:p>
            <w:pPr>
              <w:spacing w:after="60" w:line="245" w:lineRule="auto"/>
            </w:pPr>
            <w:r>
              <w:rPr>
                <w:sz w:val="17"/>
              </w:rPr>
              <w:t>4/14</w:t>
            </w:r>
          </w:p>
        </w:tc>
        <w:tc>
          <w:tcPr>
            <w:tcW w:type="dxa" w:w="1247"/>
          </w:tcPr>
          <w:p>
            <w:pPr>
              <w:spacing w:after="60" w:line="245" w:lineRule="auto"/>
            </w:pPr>
            <w:r>
              <w:rPr>
                <w:sz w:val="17"/>
              </w:rPr>
              <w:t>28,6%</w:t>
            </w:r>
          </w:p>
        </w:tc>
        <w:tc>
          <w:tcPr>
            <w:tcW w:type="dxa" w:w="2948"/>
          </w:tcPr>
          <w:p>
            <w:pPr>
              <w:spacing w:after="60" w:line="245" w:lineRule="auto"/>
            </w:pPr>
            <w:r>
              <w:rPr>
                <w:sz w:val="17"/>
              </w:rPr>
              <w:t>Mục 2.1 – chân dung A</w:t>
            </w:r>
          </w:p>
        </w:tc>
      </w:tr>
      <w:tr>
        <w:trPr>
          <w:cantSplit/>
        </w:trPr>
        <w:tc>
          <w:tcPr>
            <w:tcW w:type="dxa" w:w="4592"/>
            <w:shd w:fill="EFF5F4"/>
          </w:tcPr>
          <w:p>
            <w:pPr>
              <w:spacing w:after="60" w:line="245" w:lineRule="auto"/>
            </w:pPr>
            <w:r>
              <w:rPr>
                <w:sz w:val="17"/>
              </w:rPr>
              <w:t>Chân dung đeo hằng ngày trả lời “Có lẽ sẽ mua” trong 3 tháng</w:t>
            </w:r>
          </w:p>
        </w:tc>
        <w:tc>
          <w:tcPr>
            <w:tcW w:type="dxa" w:w="1247"/>
            <w:shd w:fill="EFF5F4"/>
          </w:tcPr>
          <w:p>
            <w:pPr>
              <w:spacing w:after="60" w:line="245" w:lineRule="auto"/>
            </w:pPr>
            <w:r>
              <w:rPr>
                <w:sz w:val="17"/>
              </w:rPr>
              <w:t>6/12</w:t>
            </w:r>
          </w:p>
        </w:tc>
        <w:tc>
          <w:tcPr>
            <w:tcW w:type="dxa" w:w="1247"/>
            <w:shd w:fill="EFF5F4"/>
          </w:tcPr>
          <w:p>
            <w:pPr>
              <w:spacing w:after="60" w:line="245" w:lineRule="auto"/>
            </w:pPr>
            <w:r>
              <w:rPr>
                <w:sz w:val="17"/>
              </w:rPr>
              <w:t>50%</w:t>
            </w:r>
          </w:p>
        </w:tc>
        <w:tc>
          <w:tcPr>
            <w:tcW w:type="dxa" w:w="2948"/>
            <w:shd w:fill="EFF5F4"/>
          </w:tcPr>
          <w:p>
            <w:pPr>
              <w:spacing w:after="60" w:line="245" w:lineRule="auto"/>
            </w:pPr>
            <w:r>
              <w:rPr>
                <w:sz w:val="17"/>
              </w:rPr>
              <w:t>Mục 2.1 – chân dung B</w:t>
            </w:r>
          </w:p>
        </w:tc>
      </w:tr>
    </w:tbl>
    <w:p>
      <w:pPr>
        <w:spacing w:after="20"/>
      </w:pPr>
    </w:p>
    <w:p>
      <w:pPr>
        <w:pStyle w:val="ListBullet"/>
      </w:pPr>
      <w:r>
        <w:t>Có bằng chứng sơ bộ ở cấp bản tổng hợp nhóm và đường dẫn khảo sát; không ghi là “chưa có bằng chứng”. Tuy nhiên, chưa được đối soát tệp phản hồi gốc nên không khẳng định dữ liệu đã được kiểm toán hoặc đại diện thị trường.</w:t>
      </w:r>
    </w:p>
    <w:p>
      <w:pPr>
        <w:pStyle w:val="ListBullet"/>
      </w:pPr>
      <w:r>
        <w:t>Chưa biết cách chọn mẫu, địa bàn từng phản hồi, cấu trúc câu hỏi và tính duy nhất của người trả lời. Không giả định hai nhóm mục đích mua loại trừ nhau, không cộng tỷ lệ câu hỏi khác nhau thành thị phần.</w:t>
      </w:r>
    </w:p>
    <w:p>
      <w:pPr>
        <w:pStyle w:val="ListBullet"/>
      </w:pPr>
      <w:r>
        <w:t>Sở thích, mức chi trả tối đa tự khai, kênh ưu tiên và câu trả lời “Có lẽ sẽ mua” đều chưa phải lịch sử mua, cam kết trả tiền hoặc đơn hàng thực.</w:t>
      </w:r>
    </w:p>
    <w:p>
      <w:pPr>
        <w:pStyle w:val="ListBullet"/>
      </w:pPr>
      <w:r>
        <w:t>Không dùng giá nhập/ship/bao bì, phí sàn 10%, doanh thu hoặc lãi giả định trong BT1 làm kết quả thực tế ở BT2. Các báo cáo thị trường và nhận xét hạn chế đối thủ chưa có chứng cứ chi tiết không được dùng làm kết luận chính.</w:t>
      </w:r>
    </w:p>
    <w:p>
      <w:r>
        <w:br w:type="page"/>
      </w:r>
    </w:p>
    <w:p>
      <w:pPr>
        <w:pStyle w:val="Heading2"/>
      </w:pPr>
      <w:r>
        <w:t>B. Giá và nơi bán sản phẩm tương tự</w:t>
      </w:r>
    </w:p>
    <w:tbl>
      <w:tblPr>
        <w:tblStyle w:val="TableGrid"/>
        <w:tblW w:type="auto" w:w="0"/>
        <w:tblLayout w:type="fixed"/>
        <w:tblLook w:firstColumn="1" w:firstRow="1" w:lastColumn="0" w:lastRow="0" w:noHBand="0" w:noVBand="1" w:val="04A0"/>
      </w:tblPr>
      <w:tblGrid>
        <w:gridCol w:w="2381"/>
        <w:gridCol w:w="2721"/>
        <w:gridCol w:w="4932"/>
      </w:tblGrid>
      <w:tr>
        <w:trPr>
          <w:tblHeader/>
          <w:cantSplit/>
        </w:trPr>
        <w:tc>
          <w:tcPr>
            <w:tcW w:type="dxa" w:w="2381"/>
            <w:shd w:fill="154C5B"/>
          </w:tcPr>
          <w:p>
            <w:pPr>
              <w:spacing w:after="60" w:line="245" w:lineRule="auto"/>
            </w:pPr>
            <w:r>
              <w:rPr>
                <w:b/>
                <w:color w:val="FFFFFF"/>
                <w:sz w:val="17"/>
              </w:rPr>
              <w:t>Sản phẩm</w:t>
            </w:r>
          </w:p>
        </w:tc>
        <w:tc>
          <w:tcPr>
            <w:tcW w:type="dxa" w:w="2721"/>
            <w:shd w:fill="154C5B"/>
          </w:tcPr>
          <w:p>
            <w:pPr>
              <w:spacing w:after="60" w:line="245" w:lineRule="auto"/>
            </w:pPr>
            <w:r>
              <w:rPr>
                <w:b/>
                <w:color w:val="FFFFFF"/>
                <w:sz w:val="17"/>
              </w:rPr>
              <w:t>Giá nhóm ghi nhận</w:t>
            </w:r>
          </w:p>
        </w:tc>
        <w:tc>
          <w:tcPr>
            <w:tcW w:type="dxa" w:w="4932"/>
            <w:shd w:fill="154C5B"/>
          </w:tcPr>
          <w:p>
            <w:pPr>
              <w:spacing w:after="60" w:line="245" w:lineRule="auto"/>
            </w:pPr>
            <w:r>
              <w:rPr>
                <w:b/>
                <w:color w:val="FFFFFF"/>
                <w:sz w:val="17"/>
              </w:rPr>
              <w:t>Nguồn / giới hạn</w:t>
            </w:r>
          </w:p>
        </w:tc>
      </w:tr>
      <w:tr>
        <w:trPr>
          <w:cantSplit/>
        </w:trPr>
        <w:tc>
          <w:tcPr>
            <w:tcW w:type="dxa" w:w="2381"/>
          </w:tcPr>
          <w:p>
            <w:pPr>
              <w:spacing w:after="60" w:line="245" w:lineRule="auto"/>
            </w:pPr>
            <w:r>
              <w:rPr>
                <w:sz w:val="17"/>
              </w:rPr>
              <w:t>Pinky Shop – vòng tay handmade</w:t>
            </w:r>
          </w:p>
        </w:tc>
        <w:tc>
          <w:tcPr>
            <w:tcW w:type="dxa" w:w="2721"/>
          </w:tcPr>
          <w:p>
            <w:pPr>
              <w:spacing w:after="60" w:line="245" w:lineRule="auto"/>
            </w:pPr>
            <w:r>
              <w:rPr>
                <w:sz w:val="17"/>
              </w:rPr>
              <w:t>30.000đ/chiếc; 50.000đ/bộ 2 theo mô tả; ô giá 50.000đ cần làm rõ</w:t>
            </w:r>
          </w:p>
        </w:tc>
        <w:tc>
          <w:tcPr>
            <w:tcW w:type="dxa" w:w="4932"/>
          </w:tcPr>
          <w:p>
            <w:pPr>
              <w:spacing w:after="60" w:line="245" w:lineRule="auto"/>
            </w:pPr>
            <w:r>
              <w:rPr>
                <w:sz w:val="17"/>
              </w:rPr>
              <w:t>Website người bán, theo ghi nhận của nhóm ngày 19/10/2026 [MC-02]</w:t>
              <w:br/>
              <w:t>Có thể tham khảo mức giá, cách trình bày và dịch vụ. Không mặc định giá/cấu hình còn hiệu lực.</w:t>
            </w:r>
          </w:p>
        </w:tc>
      </w:tr>
      <w:tr>
        <w:trPr>
          <w:cantSplit/>
        </w:trPr>
        <w:tc>
          <w:tcPr>
            <w:tcW w:type="dxa" w:w="2381"/>
            <w:shd w:fill="EFF5F4"/>
          </w:tcPr>
          <w:p>
            <w:pPr>
              <w:spacing w:after="60" w:line="245" w:lineRule="auto"/>
            </w:pPr>
            <w:r>
              <w:rPr>
                <w:sz w:val="17"/>
              </w:rPr>
              <w:t>Imoon Jewelry VN – charm nơ Imoon064</w:t>
            </w:r>
          </w:p>
        </w:tc>
        <w:tc>
          <w:tcPr>
            <w:tcW w:type="dxa" w:w="2721"/>
            <w:shd w:fill="EFF5F4"/>
          </w:tcPr>
          <w:p>
            <w:pPr>
              <w:spacing w:after="60" w:line="245" w:lineRule="auto"/>
            </w:pPr>
            <w:r>
              <w:rPr>
                <w:sz w:val="17"/>
              </w:rPr>
              <w:t>199.000đ</w:t>
            </w:r>
          </w:p>
        </w:tc>
        <w:tc>
          <w:tcPr>
            <w:tcW w:type="dxa" w:w="4932"/>
            <w:shd w:fill="EFF5F4"/>
          </w:tcPr>
          <w:p>
            <w:pPr>
              <w:spacing w:after="60" w:line="245" w:lineRule="auto"/>
            </w:pPr>
            <w:r>
              <w:rPr>
                <w:sz w:val="17"/>
              </w:rPr>
              <w:t>ShopeeAnalytics, theo bảng nhóm; dữ liệu cập nhật 18/10, tra cứu 19/10/2026 [MC-03]</w:t>
              <w:br/>
              <w:t>Chưa có đối chiếu chất liệu/quy cách. Link là trang shop phân tích, chưa phải trang mua từng mã.</w:t>
            </w:r>
          </w:p>
        </w:tc>
      </w:tr>
      <w:tr>
        <w:trPr>
          <w:cantSplit/>
        </w:trPr>
        <w:tc>
          <w:tcPr>
            <w:tcW w:type="dxa" w:w="2381"/>
          </w:tcPr>
          <w:p>
            <w:pPr>
              <w:spacing w:after="60" w:line="245" w:lineRule="auto"/>
            </w:pPr>
            <w:r>
              <w:rPr>
                <w:sz w:val="17"/>
              </w:rPr>
              <w:t>Imoon Jewelry VN – Eternal Twist 017</w:t>
            </w:r>
          </w:p>
        </w:tc>
        <w:tc>
          <w:tcPr>
            <w:tcW w:type="dxa" w:w="2721"/>
          </w:tcPr>
          <w:p>
            <w:pPr>
              <w:spacing w:after="60" w:line="245" w:lineRule="auto"/>
            </w:pPr>
            <w:r>
              <w:rPr>
                <w:sz w:val="17"/>
              </w:rPr>
              <w:t>170.000đ</w:t>
            </w:r>
          </w:p>
        </w:tc>
        <w:tc>
          <w:tcPr>
            <w:tcW w:type="dxa" w:w="4932"/>
          </w:tcPr>
          <w:p>
            <w:pPr>
              <w:spacing w:after="60" w:line="245" w:lineRule="auto"/>
            </w:pPr>
            <w:r>
              <w:rPr>
                <w:sz w:val="17"/>
              </w:rPr>
              <w:t>Cùng nguồn [MC-03]</w:t>
              <w:br/>
              <w:t>Phân khúc giá cao hơn; không dùng để chứng minh mẫu nhóm rẻ hơn khi khác chất liệu/chất lượng.</w:t>
            </w:r>
          </w:p>
        </w:tc>
      </w:tr>
      <w:tr>
        <w:trPr>
          <w:cantSplit/>
        </w:trPr>
        <w:tc>
          <w:tcPr>
            <w:tcW w:type="dxa" w:w="2381"/>
            <w:shd w:fill="EFF5F4"/>
          </w:tcPr>
          <w:p>
            <w:pPr>
              <w:spacing w:after="60" w:line="245" w:lineRule="auto"/>
            </w:pPr>
            <w:r>
              <w:rPr>
                <w:sz w:val="17"/>
              </w:rPr>
              <w:t>Imoon Jewelry VN – Loving Loop</w:t>
            </w:r>
          </w:p>
        </w:tc>
        <w:tc>
          <w:tcPr>
            <w:tcW w:type="dxa" w:w="2721"/>
            <w:shd w:fill="EFF5F4"/>
          </w:tcPr>
          <w:p>
            <w:pPr>
              <w:spacing w:after="60" w:line="245" w:lineRule="auto"/>
            </w:pPr>
            <w:r>
              <w:rPr>
                <w:sz w:val="17"/>
              </w:rPr>
              <w:t>199.000đ</w:t>
            </w:r>
          </w:p>
        </w:tc>
        <w:tc>
          <w:tcPr>
            <w:tcW w:type="dxa" w:w="4932"/>
            <w:shd w:fill="EFF5F4"/>
          </w:tcPr>
          <w:p>
            <w:pPr>
              <w:spacing w:after="60" w:line="245" w:lineRule="auto"/>
            </w:pPr>
            <w:r>
              <w:rPr>
                <w:sz w:val="17"/>
              </w:rPr>
              <w:t>Cùng nguồn [MC-03]</w:t>
              <w:br/>
              <w:t>Giá được trích từ tài liệu nhóm, chưa xác nhận tại giỏ hàng hoặc bằng chứng mua.</w:t>
            </w:r>
          </w:p>
        </w:tc>
      </w:tr>
    </w:tbl>
    <w:p>
      <w:pPr>
        <w:spacing w:after="20"/>
      </w:pPr>
    </w:p>
    <w:p>
      <w:r>
        <w:t>Giá 20.000/28.000/22.000/30.000đ của V1/V3/V4/V5 trong BT1 là giá bán dự kiến, chưa phải giá khách đã trả. Tài liệu còn nêu shop tham khảo yêu cầu đơn sỉ đầu từ 500.000đ, trong khi trần tiền hàng theo BT1 là 333.333đ. Cần xác nhận giá đơn nhỏ/nguồn khác và mẫu cụ thể trước cam kết bán; không tự tăng lượng nhập để đạt ngưỡng sỉ.</w:t>
      </w:r>
    </w:p>
    <w:p>
      <w:r>
        <w:br w:type="page"/>
      </w:r>
    </w:p>
    <w:p>
      <w:pPr>
        <w:pStyle w:val="Heading2"/>
      </w:pPr>
      <w:r>
        <w:t>C. Nguồn và mức kiểm tra</w:t>
      </w:r>
    </w:p>
    <w:p>
      <w:pPr>
        <w:pStyle w:val="Heading2"/>
      </w:pPr>
      <w:r>
        <w:t>MC-00 – Tài liệu đề xuất nhóm đã gửi</w:t>
      </w:r>
    </w:p>
    <w:p>
      <w:r>
        <w:t>Đề xuất và đánh giá hai ý tưởng kinh doanh.docx; phần BT1 cuối, Kết luận và minh chứng; mục 1.1–2.1. Đã đọc tệp; đây là nguồn trực tiếp của phần biên soạn. Không phải tệp phản hồi khảo sát gốc.</w:t>
      </w:r>
    </w:p>
    <w:p>
      <w:r>
        <w:t>Tệp nguyên bản đính kèm tại nguon/De_xuat_va_danh_gia_hai_y_tuong_kinh_doanh.docx</w:t>
      </w:r>
    </w:p>
    <w:p>
      <w:pPr>
        <w:pStyle w:val="Heading2"/>
      </w:pPr>
      <w:r>
        <w:t>MC-01 – Khảo sát 28 phản hồi</w:t>
      </w:r>
    </w:p>
    <w:p>
      <w:r>
        <w:t>Theo tài liệu nhóm: KHẢO SÁT NHU CẦU VÀ SỞ THÍCH ĐỐI VỚI SẢN PHẨM VÒNG TAY; ngày 18–19/10/2026. Có số liệu tổng hợp và đường dẫn trong MC-00; chưa đối soát phản hồi từng dòng. Báo cáo Huy: https://docs.google.com/document/d/1jwXTaQb7m9PWvq7EIzg-FlviYEeFF9uSj2N2M_j0cMs/edit</w:t>
      </w:r>
    </w:p>
    <w:p>
      <w:hyperlink r:id="rId11">
        <w:r>
          <w:rPr>
            <w:color w:val="0563C1"/>
          </w:rPr>
          <w:t>Mở nguồn MC-01</w:t>
        </w:r>
      </w:hyperlink>
    </w:p>
    <w:p>
      <w:pPr>
        <w:pStyle w:val="Heading2"/>
      </w:pPr>
      <w:r>
        <w:t>MC-02 – Giá đối thủ Pinky Shop</w:t>
      </w:r>
    </w:p>
    <w:p>
      <w:r>
        <w:t>Bảng đối thủ trong MC-00 ghi kiểm tra ngày 19/10/2026. Trích theo nhóm; chưa kiểm lại trang trực tuyến. Giá mô tả và ô giá chưa thống nhất, cần xác nhận cấu hình.</w:t>
      </w:r>
    </w:p>
    <w:p>
      <w:hyperlink r:id="rId12">
        <w:r>
          <w:rPr>
            <w:color w:val="0563C1"/>
          </w:rPr>
          <w:t>Mở nguồn MC-02</w:t>
        </w:r>
      </w:hyperlink>
    </w:p>
    <w:p>
      <w:pPr>
        <w:pStyle w:val="Heading2"/>
      </w:pPr>
      <w:r>
        <w:t>MC-03 – Giá sản phẩm Imoon Jewelry VN</w:t>
      </w:r>
    </w:p>
    <w:p>
      <w:r>
        <w:t>Bảng trong MC-00: cập nhật dữ liệu 18/10/2026, tra cứu 19/10/2026. Trích qua nguồn phân tích trung gian; chưa kiểm số liệu và trang mua gốc; chưa tương đương chất liệu/phân khúc.</w:t>
      </w:r>
    </w:p>
    <w:p>
      <w:hyperlink r:id="rId13">
        <w:r>
          <w:rPr>
            <w:color w:val="0563C1"/>
          </w:rPr>
          <w:t>Mở nguồn MC-03</w:t>
        </w:r>
      </w:hyperlink>
    </w:p>
    <w:p>
      <w:pPr>
        <w:pStyle w:val="Heading2"/>
      </w:pPr>
      <w:r>
        <w:t>MC-04 – Bảng nguồn hàng và điều kiện mua</w:t>
      </w:r>
    </w:p>
    <w:p>
      <w:r>
        <w:t>Nguồn hàng của Bằng và kết luận BT1 trong MC-00. Giá/ship vẫn chưa được shop xác nhận. Trang shop được nhóm dẫn: https://thitruongsi.com/shop/shopsaigongiare</w:t>
      </w:r>
    </w:p>
    <w:p>
      <w:hyperlink r:id="rId14">
        <w:r>
          <w:rPr>
            <w:color w:val="0563C1"/>
          </w:rPr>
          <w:t>Mở nguồn MC-04</w:t>
        </w:r>
      </w:hyperlink>
    </w:p>
    <w:p>
      <w:r>
        <w:t>Bản phản hồi khảo sát: https://docs.google.com/spreadsheets/d/1QwlVGw-IAmg7L8-Fj_mSl5AvJCLn3d8_rE5vhqovTLg/edit?usp=sharing</w:t>
      </w:r>
    </w:p>
    <w:p>
      <w:r>
        <w:t>Báo cáo Huy: https://docs.google.com/document/d/1jwXTaQb7m9PWvq7EIzg-FlviYEeFF9uSj2N2M_j0cMs/edit</w:t>
      </w:r>
    </w:p>
    <w:p>
      <w:r>
        <w:t>Bảng nguồn hàng Bằng: https://docs.google.com/document/d/1TAmvjtI3dSP5u61aGzVY6nOwLfs-agWbrJtpsi2dJkM/edit</w:t>
      </w:r>
    </w:p>
    <w:p>
      <w:pPr>
        <w:pStyle w:val="Heading2"/>
      </w:pPr>
      <w:r>
        <w:t>D. Bổ sung để đối soát trước khi nộp</w:t>
      </w:r>
    </w:p>
    <w:p>
      <w:pPr>
        <w:pStyle w:val="ListBullet"/>
      </w:pPr>
      <w:r>
        <w:t>Bản xuất Excel/CSV khảo sát gốc hoặc ảnh câu hỏi/bảng trả lời, ẩn thông tin riêng không cần thiết.</w:t>
      </w:r>
    </w:p>
    <w:p>
      <w:pPr>
        <w:pStyle w:val="ListBullet"/>
      </w:pPr>
      <w:r>
        <w:t>Ảnh/link chụp đối thủ và điều kiện nguồn hàng có thời điểm, phân loại và phí cụ thể.</w:t>
      </w:r>
    </w:p>
    <w:p>
      <w:pPr>
        <w:pStyle w:val="ListBullet"/>
      </w:pPr>
      <w:r>
        <w:t>Kết quả kiểm chứng tuần 2 và xác nhận quyết định sau khi nhóm thực hiện.</w:t>
      </w:r>
    </w:p>
    <w:p>
      <w:r>
        <w:t>Các nguồn trực tuyến chưa truy cập được trong phiên biên soạn. Số liệu khảo sát/giá được trích từ tệp nhóm gửi; không khẳng định đã mở và kiểm tra từng nguồn gốc.</w:t>
      </w:r>
    </w:p>
    <w:sectPr w:rsidR="00FC693F" w:rsidRPr="0006063C" w:rsidSect="00034616">
      <w:headerReference w:type="default" r:id="rId9"/>
      <w:footerReference w:type="default" r:id="rId10"/>
      <w:pgSz w:w="11906" w:h="16838"/>
      <w:pgMar w:top="935" w:right="935" w:bottom="935" w:left="935"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Nguồn nhóm cung cấp • 19/10/2026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BT2 • CƠ HỘI KINH DOANH • CD LEAD PHONG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7" w:lineRule="auto" w:after="100"/>
    </w:pPr>
    <w:rPr>
      <w:rFonts w:ascii="DejaVu Sans" w:hAnsi="DejaVu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154C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154C5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54C5B"/>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google.com/spreadsheets/d/1QwlVGw-IAmg7L8-Fj_mSl5AvJCLn3d8_rE5vhqovTLg/edit?usp=sharing" TargetMode="External"/><Relationship Id="rId12" Type="http://schemas.openxmlformats.org/officeDocument/2006/relationships/hyperlink" Target="https://www.quatanglambangtay.com/vong-tay-handmade-p5952.html" TargetMode="External"/><Relationship Id="rId13" Type="http://schemas.openxmlformats.org/officeDocument/2006/relationships/hyperlink" Target="https://www.shopeeanalytics.com/vn/shop/?shop=1665481614" TargetMode="External"/><Relationship Id="rId14" Type="http://schemas.openxmlformats.org/officeDocument/2006/relationships/hyperlink" Target="https://docs.google.com/document/d/1TAmvjtI3dSP5u61aGzVY6nOwLfs-agWbrJtpsi2dJkM/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