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6666"/>
          <w:sz w:val="22"/>
        </w:rPr>
        <w:t>HỆ THỐNG QUẢN LÝ CÔNG TY MAY</w:t>
      </w:r>
    </w:p>
    <w:p>
      <w:r>
        <w:rPr>
          <w:b/>
          <w:color w:val="5B3E7A"/>
          <w:sz w:val="44"/>
        </w:rPr>
        <w:t>HƯỚNG DẪN NHANH</w:t>
      </w:r>
    </w:p>
    <w:p>
      <w:r>
        <w:rPr>
          <w:b/>
          <w:color w:val="333333"/>
          <w:sz w:val="32"/>
        </w:rPr>
        <w:t>Dành cho: NHÂN SỰ &amp; TÍNH LƯƠNG</w:t>
      </w:r>
    </w:p>
    <w:p>
      <w:r>
        <w:rPr>
          <w:i/>
          <w:color w:val="666666"/>
          <w:sz w:val="21"/>
        </w:rPr>
        <w:t>Quy trình cuối tháng và cấu hình chế độ</w:t>
      </w:r>
    </w:p>
    <w:p>
      <w:pPr>
        <w:pBdr>
          <w:bottom w:val="single" w:sz="12" w:color="5B3E7A" w:space="1"/>
        </w:pBdr>
      </w:pPr>
    </w:p>
    <w:p>
      <w:pPr>
        <w:pStyle w:val="Heading2"/>
      </w:pPr>
      <w:r>
        <w:rPr>
          <w:color w:val="5B3E7A"/>
          <w:sz w:val="26"/>
        </w:rPr>
        <w:t>Quy trình cuối tháng (theo thứ tự)</w:t>
      </w:r>
    </w:p>
    <w:p>
      <w:pPr>
        <w:pStyle w:val="ListNumber"/>
      </w:pPr>
      <w:r>
        <w:t>Tổng hợp công: Nhân Sự &amp; Lương → Tổng Hợp Công Hàng Loạt. Chọn tháng, phòng ban → hệ thống tạo và tính tổng hợp công cho toàn xưởng.</w:t>
      </w:r>
    </w:p>
    <w:p>
      <w:pPr>
        <w:pStyle w:val="ListNumber"/>
      </w:pPr>
      <w:r>
        <w:t>Tạo bảng lương: Nhân Sự &amp; Lương → Tạo Bảng Lương Hàng Loạt. Chọn tháng, phòng ban, tích 'Tính Lương Ngay' → hệ thống tạo phiếu cho mọi nhân viên, chép số liệu từ tháng trước và tính luôn.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450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izard_luo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50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Hình: Tạo Bảng Lương Hàng Loạt</w:t>
      </w:r>
    </w:p>
    <w:p>
      <w:pPr>
        <w:pStyle w:val="ListNumber"/>
      </w:pPr>
      <w:r>
        <w:t>Rà soát &amp; điều chỉnh từng phiếu nếu cần (lương cơ bản, phụ cấp, người phụ thuộc...).</w:t>
      </w:r>
    </w:p>
    <w:p>
      <w:pPr>
        <w:pStyle w:val="ListNumber"/>
      </w:pPr>
      <w:r>
        <w:t>Xác nhận và Trả lương. Có thể chọn nhiều phiếu và dùng 'Tính Lương (Đã Chọn)' trên danh sách.</w:t>
      </w:r>
    </w:p>
    <w:p>
      <w:pPr>
        <w:ind w:left="216"/>
      </w:pPr>
      <w:r>
        <w:rPr>
          <w:color w:val="2E6B2E"/>
          <w:sz w:val="19"/>
        </w:rPr>
        <w:t>💡 Sau khi phiếu lương Đã Xác Nhận/Đã Trả, sản lượng và đơn nghỉ của tháng đó bị khóa để bảo toàn số liệu. Mỗi nhân viên chỉ có 1 phiếu lương/tháng (chống trả 2 lần).</w:t>
      </w:r>
    </w:p>
    <w:p>
      <w:pPr>
        <w:pStyle w:val="Heading2"/>
      </w:pPr>
      <w:r>
        <w:rPr>
          <w:color w:val="5B3E7A"/>
          <w:sz w:val="26"/>
        </w:rPr>
        <w:t>Cơ chế tính lương (theo quy định VN 2026)</w:t>
      </w:r>
    </w:p>
    <w:p>
      <w:pPr>
        <w:pStyle w:val="ListBullet"/>
      </w:pPr>
      <w:r>
        <w:t>Tăng ca 150/200/300% (ngày thường/nghỉ tuần/lễ) — hệ số cấu hình được.</w:t>
      </w:r>
    </w:p>
    <w:p>
      <w:pPr>
        <w:pStyle w:val="ListBullet"/>
      </w:pPr>
      <w:r>
        <w:t>Bảo hiểm: NLĐ 8/1,5/1%; DN đóng phần tương ứng; có trần đóng; bật/tắt theo từng NV.</w:t>
      </w:r>
    </w:p>
    <w:p>
      <w:pPr>
        <w:pStyle w:val="ListBullet"/>
      </w:pPr>
      <w:r>
        <w:t>Thuế TNCN lũy tiến; giảm trừ bản thân 15,5tr, phụ thuộc 6,2tr/người; miễn thuế ăn trưa, điện thoại, phụ trội tăng ca.</w:t>
      </w:r>
    </w:p>
    <w:p>
      <w:pPr>
        <w:pStyle w:val="ListBullet"/>
      </w:pPr>
      <w:r>
        <w:t>Nghỉ phép hưởng lương + trợ cấp BHXH (ốm 75%/thai sản 100%) tự vào phiếu; thưởng đã duyệt tự chảy vào lương.</w:t>
      </w:r>
    </w:p>
    <w:p>
      <w:pPr>
        <w:pStyle w:val="Heading2"/>
      </w:pPr>
      <w:r>
        <w:rPr>
          <w:color w:val="5B3E7A"/>
          <w:sz w:val="26"/>
        </w:rPr>
        <w:t>Cấu hình &amp; Báo cáo</w:t>
      </w:r>
    </w:p>
    <w:p>
      <w:pPr>
        <w:pStyle w:val="ListBullet"/>
      </w:pPr>
      <w:r>
        <w:t>Chỉnh mức nhà nước: Cấu Hình → Lương &amp; Phúc Lợi (lương cơ sở, tối thiểu vùng, giảm trừ, hệ số OT, bật/tắt khấu trừ thuế...).</w:t>
      </w:r>
    </w:p>
    <w:p>
      <w:pPr>
        <w:pStyle w:val="ListBullet"/>
      </w:pPr>
      <w:r>
        <w:t>Xuất báo cáo: Nhân Sự &amp; Lương → Bảng Kê BHXH Tháng (số liệu lập D02-TS) và Tổng Hợp Thuế TNCN Năm (phục vụ quyết toán).</w:t>
      </w:r>
    </w:p>
    <w:p>
      <w:pPr>
        <w:pStyle w:val="ListBullet"/>
      </w:pPr>
      <w:r>
        <w:t>In Bảng lương ký nhận: chọn nhiều phiếu → In (một dòng mỗi người, có cột ký).</w:t>
      </w:r>
    </w:p>
    <w:p>
      <w:pPr>
        <w:ind w:left="216"/>
      </w:pPr>
      <w:r>
        <w:rPr>
          <w:color w:val="2E6B2E"/>
          <w:sz w:val="19"/>
        </w:rPr>
        <w:t>💡 Số dư phép năm mỗi nhân viên: 12 ngày + 1 ngày cho mỗi 5 năm thâm niên; vào giữa năm tính theo tỷ lệ. Duyệt phép năm bị chặn nếu vượt số dư.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