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666666"/>
          <w:sz w:val="22"/>
        </w:rPr>
        <w:t>HỆ THỐNG QUẢN LÝ CÔNG TY MAY</w:t>
      </w:r>
    </w:p>
    <w:p>
      <w:r>
        <w:rPr>
          <w:b/>
          <w:color w:val="5B3E7A"/>
          <w:sz w:val="44"/>
        </w:rPr>
        <w:t>HƯỚNG DẪN NHANH</w:t>
      </w:r>
    </w:p>
    <w:p>
      <w:r>
        <w:rPr>
          <w:b/>
          <w:color w:val="333333"/>
          <w:sz w:val="32"/>
        </w:rPr>
        <w:t>Dành cho: KẾ TOÁN</w:t>
      </w:r>
    </w:p>
    <w:p>
      <w:r>
        <w:rPr>
          <w:i/>
          <w:color w:val="666666"/>
          <w:sz w:val="21"/>
        </w:rPr>
        <w:t>Hóa đơn, thanh toán và báo cáo tài chính</w:t>
      </w:r>
    </w:p>
    <w:p>
      <w:pPr>
        <w:pBdr>
          <w:bottom w:val="single" w:sz="12" w:color="5B3E7A" w:space="1"/>
        </w:pBdr>
      </w:pPr>
    </w:p>
    <w:p>
      <w:pPr>
        <w:pStyle w:val="Heading2"/>
      </w:pPr>
      <w:r>
        <w:rPr>
          <w:color w:val="5B3E7A"/>
          <w:sz w:val="26"/>
        </w:rPr>
        <w:t>Tạo hóa đơn</w:t>
      </w:r>
    </w:p>
    <w:p>
      <w:r>
        <w:rPr>
          <w:b/>
        </w:rPr>
        <w:t>Cách 1 — từ đơn hàng (nhanh nhất):</w:t>
      </w:r>
    </w:p>
    <w:p>
      <w:pPr>
        <w:pStyle w:val="ListNumber"/>
      </w:pPr>
      <w:r>
        <w:t>Mở đơn hàng đã xác nhận, nhấn Tạo Hóa Đơn.</w:t>
      </w:r>
    </w:p>
    <w:p>
      <w:pPr>
        <w:pStyle w:val="ListNumber"/>
      </w:pPr>
      <w:r>
        <w:t>Hệ thống sinh sẵn hóa đơn với khách hàng và các dòng lấy từ đơn — kiểm tra rồi Xác Nhận.</w:t>
      </w:r>
    </w:p>
    <w:p>
      <w:r>
        <w:rPr>
          <w:b/>
        </w:rPr>
        <w:t>Cách 2 — tạo thủ công:</w:t>
      </w:r>
    </w:p>
    <w:p>
      <w:pPr>
        <w:pStyle w:val="ListNumber"/>
      </w:pPr>
      <w:r>
        <w:t>Vào Kế Toán → Hóa Đơn, nhấn Mới, chọn loại (bán/mua) và khách hàng.</w:t>
      </w:r>
    </w:p>
    <w:p>
      <w:pPr>
        <w:pStyle w:val="ListNumber"/>
      </w:pPr>
      <w:r>
        <w:t>Có thể chọn đơn hàng liên quan để tự điền khách và các dòng.</w:t>
      </w:r>
    </w:p>
    <w:p>
      <w:pPr>
        <w:pStyle w:val="ListNumber"/>
      </w:pPr>
      <w:r>
        <w:t>Nhập/điều chỉnh các dòng (mô tả, số lượng, đơn giá), chọn loại thuế, Xác Nhận.</w:t>
      </w:r>
    </w:p>
    <w:p>
      <w:pPr>
        <w:ind w:left="216"/>
      </w:pPr>
      <w:r>
        <w:rPr>
          <w:color w:val="2E6B2E"/>
          <w:sz w:val="19"/>
        </w:rPr>
        <w:t>💡 Hóa đơn đã xác nhận sẽ khóa các dòng để khớp với sổ kế toán. Muốn sửa, đưa hóa đơn về Nháp trước. Hóa đơn đã thanh toán không thể sửa hay xóa.</w:t>
      </w:r>
    </w:p>
    <w:p>
      <w:pPr>
        <w:pStyle w:val="Heading2"/>
      </w:pPr>
      <w:r>
        <w:rPr>
          <w:color w:val="5B3E7A"/>
          <w:sz w:val="26"/>
        </w:rPr>
        <w:t>Ghi nhận thanh toán</w:t>
      </w:r>
    </w:p>
    <w:p>
      <w:pPr>
        <w:pStyle w:val="ListNumber"/>
      </w:pPr>
      <w:r>
        <w:t>Trên hóa đơn, tạo phiếu thanh toán và nhập số tiền/ngày.</w:t>
      </w:r>
    </w:p>
    <w:p>
      <w:pPr>
        <w:pStyle w:val="ListNumber"/>
      </w:pPr>
      <w:r>
        <w:t>Xác nhận thanh toán — hệ thống cập nhật số còn nợ và trạng thái (Chưa/ một phần/ Đã thanh toán).</w:t>
      </w:r>
    </w:p>
    <w:p>
      <w:pPr>
        <w:pStyle w:val="ListBullet"/>
      </w:pPr>
      <w:r>
        <w:t>Chỉ hóa đơn Đã Xác Nhận mới ghi nhận thanh toán được.</w:t>
      </w:r>
    </w:p>
    <w:p>
      <w:pPr>
        <w:pStyle w:val="Heading2"/>
      </w:pPr>
      <w:r>
        <w:rPr>
          <w:color w:val="5B3E7A"/>
          <w:sz w:val="26"/>
        </w:rPr>
        <w:t>Báo cáo tài chính</w:t>
      </w:r>
    </w:p>
    <w:p>
      <w:pPr>
        <w:pStyle w:val="ListBullet"/>
      </w:pPr>
      <w:r>
        <w:t>Doanh Thu: Báo Cáo → Doanh Thu (theo khách hàng, mã hàng, tháng).</w:t>
      </w:r>
    </w:p>
    <w:p>
      <w:pPr>
        <w:pStyle w:val="ListBullet"/>
      </w:pPr>
      <w:r>
        <w:t>Chi Phí Nhân Công: Báo Cáo → Chi Phí Nhân Công (gồm phần doanh nghiệp đóng — dùng tính giá CM).</w:t>
      </w:r>
    </w:p>
    <w:p>
      <w:pPr>
        <w:pStyle w:val="ListBullet"/>
      </w:pPr>
      <w:r>
        <w:t>Công nợ/hóa đơn quá hạn: danh sách hóa đơn có tô màu cảnh báo theo hạn thanh toán.</w:t>
      </w:r>
    </w:p>
    <w:p>
      <w:pPr>
        <w:pStyle w:val="ListBullet"/>
      </w:pPr>
      <w:r>
        <w:t>Phối hợp bộ phận Nhân sự: Bảng Kê BHXH Tháng và Tổng Hợp Thuế TNCN Năm để nộp cơ quan.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