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8"/>
          <w:szCs w:val="28"/>
        </w:rPr>
        <w:t xml:space="preserve">EXECUTIVE SUMMARY</w:t>
      </w:r>
    </w:p>
    <w:p>
      <w:pPr>
        <w:spacing w:after="20"/>
        <w:jc w:val="center"/>
      </w:pPr>
      <w:r>
        <w:rPr>
          <w:rFonts w:ascii="Times New Roman" w:cs="Times New Roman" w:eastAsia="Times New Roman" w:hAnsi="Times New Roman"/>
          <w:b/>
          <w:bCs/>
          <w:i/>
          <w:iCs/>
          <w:sz w:val="22"/>
          <w:szCs w:val="22"/>
        </w:rPr>
        <w:t xml:space="preserve">Asking-Price Estimation and Market Intelligence for Vietnam’s Secondary Housing Market</w:t>
      </w:r>
    </w:p>
    <w:p>
      <w:pPr>
        <w:pBdr>
          <w:bottom w:val="single" w:color="000000" w:sz="6" w:space="4"/>
        </w:pBdr>
        <w:spacing w:after="60"/>
        <w:jc w:val="center"/>
      </w:pPr>
      <w:r>
        <w:rPr>
          <w:rFonts w:ascii="Times New Roman" w:cs="Times New Roman" w:eastAsia="Times New Roman" w:hAnsi="Times New Roman"/>
          <w:i/>
          <w:iCs/>
          <w:sz w:val="19"/>
          <w:szCs w:val="19"/>
        </w:rPr>
        <w:t xml:space="preserve">Group 1 - Advanced Business Analytics K62 DB  |  Foreign Trade University  |  Hanoi - 10/2026</w:t>
      </w:r>
    </w:p>
    <w:p>
      <w:pPr>
        <w:keepNext/>
        <w:spacing w:after="40" w:before="100"/>
      </w:pPr>
      <w:r>
        <w:rPr>
          <w:rFonts w:ascii="Times New Roman" w:cs="Times New Roman" w:eastAsia="Times New Roman" w:hAnsi="Times New Roman"/>
          <w:b/>
          <w:bCs/>
          <w:sz w:val="23"/>
          <w:szCs w:val="23"/>
        </w:rPr>
        <w:t xml:space="preserve">1. Problem and Solution</w:t>
      </w:r>
    </w:p>
    <w:p>
      <w:pPr>
        <w:spacing w:after="60" w:before="0" w:line="250"/>
        <w:jc w:val="both"/>
      </w:pPr>
      <w:r>
        <w:rPr>
          <w:rFonts w:ascii="Times New Roman" w:cs="Times New Roman" w:eastAsia="Times New Roman" w:hAnsi="Times New Roman"/>
          <w:sz w:val="23"/>
          <w:szCs w:val="23"/>
        </w:rPr>
        <w:t xml:space="preserve">Buyers, brokers and lenders in Hanoi and Ho Chi Minh City (HCMC) have no consistent public reference for judging the asking price of an independently listed resale home. Mogi.vn provides area-level asking prices but lacks listing-level valuations, stale-listing alerts and district comparisons, and existing tools mainly serve apartment projects or banks. Our platform combines three engines: a </w:t>
      </w:r>
      <w:r>
        <w:rPr>
          <w:rFonts w:ascii="Times New Roman" w:cs="Times New Roman" w:eastAsia="Times New Roman" w:hAnsi="Times New Roman"/>
          <w:b/>
          <w:bCs/>
          <w:sz w:val="23"/>
          <w:szCs w:val="23"/>
        </w:rPr>
        <w:t xml:space="preserve">Fair Value Engine</w:t>
      </w:r>
      <w:r>
        <w:rPr>
          <w:rFonts w:ascii="Times New Roman" w:cs="Times New Roman" w:eastAsia="Times New Roman" w:hAnsi="Times New Roman"/>
          <w:sz w:val="23"/>
          <w:szCs w:val="23"/>
        </w:rPr>
        <w:t xml:space="preserve"> (asking-price reference with a 90% range), a </w:t>
      </w:r>
      <w:r>
        <w:rPr>
          <w:rFonts w:ascii="Times New Roman" w:cs="Times New Roman" w:eastAsia="Times New Roman" w:hAnsi="Times New Roman"/>
          <w:b/>
          <w:bCs/>
          <w:sz w:val="23"/>
          <w:szCs w:val="23"/>
        </w:rPr>
        <w:t xml:space="preserve">Stale Listing Radar</w:t>
      </w:r>
      <w:r>
        <w:rPr>
          <w:rFonts w:ascii="Times New Roman" w:cs="Times New Roman" w:eastAsia="Times New Roman" w:hAnsi="Times New Roman"/>
          <w:sz w:val="23"/>
          <w:szCs w:val="23"/>
        </w:rPr>
        <w:t xml:space="preserve"> (ranks listings likely to stay online more than 180 days) and a </w:t>
      </w:r>
      <w:r>
        <w:rPr>
          <w:rFonts w:ascii="Times New Roman" w:cs="Times New Roman" w:eastAsia="Times New Roman" w:hAnsi="Times New Roman"/>
          <w:b/>
          <w:bCs/>
          <w:sz w:val="23"/>
          <w:szCs w:val="23"/>
        </w:rPr>
        <w:t xml:space="preserve">Market Map</w:t>
      </w:r>
      <w:r>
        <w:rPr>
          <w:rFonts w:ascii="Times New Roman" w:cs="Times New Roman" w:eastAsia="Times New Roman" w:hAnsi="Times New Roman"/>
          <w:sz w:val="23"/>
          <w:szCs w:val="23"/>
        </w:rPr>
        <w:t xml:space="preserve"> (district segments). Since estimates rely on asking prices rather than transaction prices, human review remains necessary.</w:t>
      </w:r>
    </w:p>
    <w:p>
      <w:pPr>
        <w:keepNext/>
        <w:spacing w:after="40" w:before="100"/>
      </w:pPr>
      <w:r>
        <w:rPr>
          <w:rFonts w:ascii="Times New Roman" w:cs="Times New Roman" w:eastAsia="Times New Roman" w:hAnsi="Times New Roman"/>
          <w:b/>
          <w:bCs/>
          <w:sz w:val="23"/>
          <w:szCs w:val="23"/>
        </w:rPr>
        <w:t xml:space="preserve">2. Data</w:t>
      </w:r>
    </w:p>
    <w:p>
      <w:pPr>
        <w:spacing w:after="60" w:before="0" w:line="250"/>
        <w:jc w:val="both"/>
      </w:pPr>
      <w:r>
        <w:rPr>
          <w:rFonts w:ascii="Times New Roman" w:cs="Times New Roman" w:eastAsia="Times New Roman" w:hAnsi="Times New Roman"/>
          <w:sz w:val="23"/>
          <w:szCs w:val="23"/>
        </w:rPr>
        <w:t xml:space="preserve">The prototype joins </w:t>
      </w:r>
      <w:r>
        <w:rPr>
          <w:rFonts w:ascii="Times New Roman" w:cs="Times New Roman" w:eastAsia="Times New Roman" w:hAnsi="Times New Roman"/>
          <w:b/>
          <w:bCs/>
          <w:sz w:val="23"/>
          <w:szCs w:val="23"/>
        </w:rPr>
        <w:t xml:space="preserve">5,268 clean mogi.vn listings</w:t>
      </w:r>
      <w:r>
        <w:rPr>
          <w:rFonts w:ascii="Times New Roman" w:cs="Times New Roman" w:eastAsia="Times New Roman" w:hAnsi="Times New Roman"/>
          <w:sz w:val="23"/>
          <w:szCs w:val="23"/>
        </w:rPr>
        <w:t xml:space="preserve"> (2,638 Hanoi, 2,630 HCMC; 51 districts), kept from 6,000 collected (88%), with </w:t>
      </w:r>
      <w:r>
        <w:rPr>
          <w:rFonts w:ascii="Times New Roman" w:cs="Times New Roman" w:eastAsia="Times New Roman" w:hAnsi="Times New Roman"/>
          <w:b/>
          <w:bCs/>
          <w:sz w:val="23"/>
          <w:szCs w:val="23"/>
        </w:rPr>
        <w:t xml:space="preserve">34,321 OpenStreetMap points</w:t>
      </w:r>
      <w:r>
        <w:rPr>
          <w:rFonts w:ascii="Times New Roman" w:cs="Times New Roman" w:eastAsia="Times New Roman" w:hAnsi="Times New Roman"/>
          <w:sz w:val="23"/>
          <w:szCs w:val="23"/>
        </w:rPr>
        <w:t xml:space="preserve"> in eight layers (metro, bus stops, schools, universities, hospitals, parks, markets, water). The two sources share no ID, so they are joined by coordinates into one property table that feeds all three engines. Cleaning removed 219 near-duplicate postings plus out-of-range areas, placeholder prices and extreme prices per m². Missing values are filled with the typical value for the property type and flagged, and listing age is measured from the listing ID because 59% of sellers re-post. </w:t>
      </w:r>
      <w:r>
        <w:rPr>
          <w:rFonts w:ascii="Times New Roman" w:cs="Times New Roman" w:eastAsia="Times New Roman" w:hAnsi="Times New Roman"/>
          <w:b/>
          <w:bCs/>
          <w:sz w:val="23"/>
          <w:szCs w:val="23"/>
        </w:rPr>
        <w:t xml:space="preserve">Limits:</w:t>
      </w:r>
      <w:r>
        <w:rPr>
          <w:rFonts w:ascii="Times New Roman" w:cs="Times New Roman" w:eastAsia="Times New Roman" w:hAnsi="Times New Roman"/>
          <w:sz w:val="23"/>
          <w:szCs w:val="23"/>
        </w:rPr>
        <w:t xml:space="preserve"> prices are asking prices, and all listings come from one portal on one day. The data is enough for a prototype, not for lending.</w:t>
      </w:r>
    </w:p>
    <w:p>
      <w:pPr>
        <w:keepNext/>
        <w:spacing w:after="40" w:before="100"/>
      </w:pPr>
      <w:r>
        <w:rPr>
          <w:rFonts w:ascii="Times New Roman" w:cs="Times New Roman" w:eastAsia="Times New Roman" w:hAnsi="Times New Roman"/>
          <w:b/>
          <w:bCs/>
          <w:sz w:val="23"/>
          <w:szCs w:val="23"/>
        </w:rPr>
        <w:t xml:space="preserve">3. Method</w:t>
      </w:r>
    </w:p>
    <w:p>
      <w:pPr>
        <w:pStyle w:val="ListParagraph"/>
        <w:numPr>
          <w:ilvl w:val="0"/>
          <w:numId w:val="2"/>
        </w:numPr>
        <w:spacing w:after="30" w:line="250"/>
        <w:jc w:val="both"/>
      </w:pPr>
      <w:r>
        <w:rPr>
          <w:rFonts w:ascii="Times New Roman" w:cs="Times New Roman" w:eastAsia="Times New Roman" w:hAnsi="Times New Roman"/>
          <w:b/>
          <w:bCs/>
          <w:sz w:val="23"/>
          <w:szCs w:val="23"/>
        </w:rPr>
        <w:t xml:space="preserve">Fair Value Engine:</w:t>
      </w:r>
      <w:r>
        <w:rPr>
          <w:rFonts w:ascii="Times New Roman" w:cs="Times New Roman" w:eastAsia="Times New Roman" w:hAnsi="Times New Roman"/>
          <w:sz w:val="23"/>
          <w:szCs w:val="23"/>
        </w:rPr>
        <w:t xml:space="preserve"> OLS hedonic regression as an interpretable baseline, plus XGBoost to capture nonlinear relationships; SHAP values explain estimates and prediction intervals communicate uncertainty.</w:t>
      </w:r>
    </w:p>
    <w:p>
      <w:pPr>
        <w:pStyle w:val="ListParagraph"/>
        <w:numPr>
          <w:ilvl w:val="0"/>
          <w:numId w:val="2"/>
        </w:numPr>
        <w:spacing w:after="30" w:line="250"/>
        <w:jc w:val="both"/>
      </w:pPr>
      <w:r>
        <w:rPr>
          <w:rFonts w:ascii="Times New Roman" w:cs="Times New Roman" w:eastAsia="Times New Roman" w:hAnsi="Times New Roman"/>
          <w:b/>
          <w:bCs/>
          <w:sz w:val="23"/>
          <w:szCs w:val="23"/>
        </w:rPr>
        <w:t xml:space="preserve">Stale Listing Radar:</w:t>
      </w:r>
      <w:r>
        <w:rPr>
          <w:rFonts w:ascii="Times New Roman" w:cs="Times New Roman" w:eastAsia="Times New Roman" w:hAnsi="Times New Roman"/>
          <w:sz w:val="23"/>
          <w:szCs w:val="23"/>
        </w:rPr>
        <w:t xml:space="preserve"> classification of listings above and below 180 days, benchmarked against a price-gap rule and logistic regression, with XGBoost on top. Held-out evaluation, out-of-fold price gaps and the exclusion of age-related inputs prevent leakage.</w:t>
      </w:r>
    </w:p>
    <w:p>
      <w:pPr>
        <w:pStyle w:val="ListParagraph"/>
        <w:numPr>
          <w:ilvl w:val="0"/>
          <w:numId w:val="2"/>
        </w:numPr>
        <w:spacing w:after="30" w:line="250"/>
        <w:jc w:val="both"/>
      </w:pPr>
      <w:r>
        <w:rPr>
          <w:rFonts w:ascii="Times New Roman" w:cs="Times New Roman" w:eastAsia="Times New Roman" w:hAnsi="Times New Roman"/>
          <w:b/>
          <w:bCs/>
          <w:sz w:val="23"/>
          <w:szCs w:val="23"/>
        </w:rPr>
        <w:t xml:space="preserve">Market Map:</w:t>
      </w:r>
      <w:r>
        <w:rPr>
          <w:rFonts w:ascii="Times New Roman" w:cs="Times New Roman" w:eastAsia="Times New Roman" w:hAnsi="Times New Roman"/>
          <w:sz w:val="23"/>
          <w:szCs w:val="23"/>
        </w:rPr>
        <w:t xml:space="preserve"> K-Means on standardised district profiles (price, listing age, accessibility, housing mix, valuation gap, volume), checked against Ward hierarchical clustering.</w:t>
      </w:r>
    </w:p>
    <w:p>
      <w:pPr>
        <w:spacing w:after="60" w:before="30" w:line="250"/>
        <w:jc w:val="both"/>
      </w:pPr>
      <w:r>
        <w:rPr>
          <w:rFonts w:ascii="Times New Roman" w:cs="Times New Roman" w:eastAsia="Times New Roman" w:hAnsi="Times New Roman"/>
          <w:sz w:val="23"/>
          <w:szCs w:val="23"/>
        </w:rPr>
        <w:t xml:space="preserve">Tools are Python (pandas, GeoPandas, scikit-learn, XGBoost, SHAP), with a Streamlit dashboard and a standalone HTML version that matches the Python results on 500 test listings.</w:t>
      </w:r>
    </w:p>
    <w:p>
      <w:pPr>
        <w:keepNext/>
        <w:spacing w:after="40" w:before="100"/>
      </w:pPr>
      <w:r>
        <w:rPr>
          <w:rFonts w:ascii="Times New Roman" w:cs="Times New Roman" w:eastAsia="Times New Roman" w:hAnsi="Times New Roman"/>
          <w:b/>
          <w:bCs/>
          <w:sz w:val="23"/>
          <w:szCs w:val="23"/>
        </w:rPr>
        <w:t xml:space="preserve">4. Prototype Results</w:t>
      </w:r>
    </w:p>
    <w:p>
      <w:pPr>
        <w:spacing w:after="50" w:before="0" w:line="250"/>
        <w:jc w:val="both"/>
      </w:pPr>
      <w:r>
        <w:rPr>
          <w:rFonts w:ascii="Times New Roman" w:cs="Times New Roman" w:eastAsia="Times New Roman" w:hAnsi="Times New Roman"/>
          <w:sz w:val="23"/>
          <w:szCs w:val="23"/>
        </w:rPr>
        <w:t xml:space="preserve">The prototype meets two of the four project targets. Figures are measured on unseen data, except the OLS R² and the silhouette.</w:t>
      </w:r>
    </w:p>
    <w:tbl>
      <w:tblPr>
        <w:tblW w:type="dxa" w:w="97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400"/>
        <w:gridCol w:w="1800"/>
      </w:tblGrid>
      <w:tr>
        <w:trPr>
          <w:tblHeader/>
        </w:trPr>
        <w:tc>
          <w:tcPr>
            <w:tcW w:type="dxa" w:w="30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Metric</w:t>
            </w:r>
          </w:p>
        </w:tc>
        <w:tc>
          <w:tcPr>
            <w:tcW w:type="dxa" w:w="15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Target</w:t>
            </w:r>
          </w:p>
        </w:tc>
        <w:tc>
          <w:tcPr>
            <w:tcW w:type="dxa" w:w="34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Result</w:t>
            </w:r>
          </w:p>
        </w:tc>
        <w:tc>
          <w:tcPr>
            <w:tcW w:type="dxa" w:w="18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Met?</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OLS R²</w:t>
            </w:r>
          </w:p>
        </w:tc>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&gt; 0.75</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0.850</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XGBoost RMSE, log price</w:t>
            </w:r>
          </w:p>
        </w:tc>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&lt; 0.20</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0.354</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No</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PPE20 (±20% of asking price)</w:t>
            </w:r>
          </w:p>
        </w:tc>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 60%</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53.9% overall; median error 18.1%</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Apartments and alley houses only</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Radar AUC</w:t>
            </w:r>
          </w:p>
        </w:tc>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&gt; 0.72</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0.81 (95%: 0.78 to 0.83)</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Market Map silhouette</w:t>
            </w:r>
          </w:p>
        </w:tc>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&gt; 0.45</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0.21 (k = 4)</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No</w:t>
            </w:r>
          </w:p>
        </w:tc>
      </w:tr>
    </w:tbl>
    <w:p>
      <w:pPr>
        <w:spacing w:after="80" w:before="40"/>
        <w:jc w:val="center"/>
      </w:pPr>
      <w:r>
        <w:rPr>
          <w:rFonts w:ascii="Times New Roman" w:cs="Times New Roman" w:eastAsia="Times New Roman" w:hAnsi="Times New Roman"/>
          <w:i/>
          <w:iCs/>
          <w:sz w:val="20"/>
          <w:szCs w:val="20"/>
        </w:rPr>
        <w:t xml:space="preserve">Exhibit 1. Prototype results against project targets</w:t>
      </w:r>
    </w:p>
    <w:p>
      <w:pPr>
        <w:pStyle w:val="ListParagraph"/>
        <w:numPr>
          <w:ilvl w:val="0"/>
          <w:numId w:val="2"/>
        </w:numPr>
        <w:spacing w:after="30" w:line="250"/>
        <w:jc w:val="both"/>
      </w:pPr>
      <w:r>
        <w:rPr>
          <w:rFonts w:ascii="Times New Roman" w:cs="Times New Roman" w:eastAsia="Times New Roman" w:hAnsi="Times New Roman"/>
          <w:b/>
          <w:bCs/>
          <w:sz w:val="23"/>
          <w:szCs w:val="23"/>
        </w:rPr>
        <w:t xml:space="preserve">Accuracy differs by type.</w:t>
      </w:r>
      <w:r>
        <w:rPr>
          <w:rFonts w:ascii="Times New Roman" w:cs="Times New Roman" w:eastAsia="Times New Roman" w:hAnsi="Times New Roman"/>
          <w:sz w:val="23"/>
          <w:szCs w:val="23"/>
        </w:rPr>
        <w:t xml:space="preserve"> PPE20 is 64% for alley houses, 60% for apartments, 47% for villas, 43% for land and 42% for street-front houses. The 90% range covers 90.5% of test homes.</w:t>
      </w:r>
    </w:p>
    <w:p>
      <w:pPr>
        <w:pStyle w:val="ListParagraph"/>
        <w:numPr>
          <w:ilvl w:val="0"/>
          <w:numId w:val="2"/>
        </w:numPr>
        <w:spacing w:after="30" w:line="250"/>
        <w:jc w:val="both"/>
      </w:pPr>
      <w:r>
        <w:rPr>
          <w:rFonts w:ascii="Times New Roman" w:cs="Times New Roman" w:eastAsia="Times New Roman" w:hAnsi="Times New Roman"/>
          <w:b/>
          <w:bCs/>
          <w:sz w:val="23"/>
          <w:szCs w:val="23"/>
        </w:rPr>
        <w:t xml:space="preserve">The Radar beats its baselines.</w:t>
      </w:r>
      <w:r>
        <w:rPr>
          <w:rFonts w:ascii="Times New Roman" w:cs="Times New Roman" w:eastAsia="Times New Roman" w:hAnsi="Times New Roman"/>
          <w:sz w:val="23"/>
          <w:szCs w:val="23"/>
        </w:rPr>
        <w:t xml:space="preserve"> AUC 0.81 against 0.74 (logistic regression) and 0.45 (price-gap rule); the top 10% of scores are 99% stale against 65% on average. Stale listings are not mainly overpriced ones.</w:t>
      </w:r>
    </w:p>
    <w:p>
      <w:pPr>
        <w:pStyle w:val="ListParagraph"/>
        <w:numPr>
          <w:ilvl w:val="0"/>
          <w:numId w:val="2"/>
        </w:numPr>
        <w:spacing w:after="30" w:line="250"/>
        <w:jc w:val="both"/>
      </w:pPr>
      <w:r>
        <w:rPr>
          <w:rFonts w:ascii="Times New Roman" w:cs="Times New Roman" w:eastAsia="Times New Roman" w:hAnsi="Times New Roman"/>
          <w:b/>
          <w:bCs/>
          <w:sz w:val="23"/>
          <w:szCs w:val="23"/>
        </w:rPr>
        <w:t xml:space="preserve">Four district segments</w:t>
      </w:r>
      <w:r>
        <w:rPr>
          <w:rFonts w:ascii="Times New Roman" w:cs="Times New Roman" w:eastAsia="Times New Roman" w:hAnsi="Times New Roman"/>
          <w:sz w:val="23"/>
          <w:szCs w:val="23"/>
        </w:rPr>
        <w:t xml:space="preserve"> (Prime core, Apartment mid-market, Townhouse mid-market, Peripheral growth) are targeting groups, not natural borders (silhouette 0.21, ARI 0.47 against Ward).</w:t>
      </w:r>
    </w:p>
    <w:p>
      <w:pPr>
        <w:pStyle w:val="ListParagraph"/>
        <w:numPr>
          <w:ilvl w:val="0"/>
          <w:numId w:val="2"/>
        </w:numPr>
        <w:spacing w:after="30" w:line="250"/>
        <w:jc w:val="both"/>
      </w:pPr>
      <w:r>
        <w:rPr>
          <w:rFonts w:ascii="Times New Roman" w:cs="Times New Roman" w:eastAsia="Times New Roman" w:hAnsi="Times New Roman"/>
          <w:b/>
          <w:bCs/>
          <w:sz w:val="23"/>
          <w:szCs w:val="23"/>
        </w:rPr>
        <w:t xml:space="preserve">Limits for lenders.</w:t>
      </w:r>
      <w:r>
        <w:rPr>
          <w:rFonts w:ascii="Times New Roman" w:cs="Times New Roman" w:eastAsia="Times New Roman" w:hAnsi="Times New Roman"/>
          <w:sz w:val="23"/>
          <w:szCs w:val="23"/>
        </w:rPr>
        <w:t xml:space="preserve"> Expensive homes tend to be under-valued (PRD 1.12, outside the IAAO range of 0.98 to 1.03).</w:t>
      </w:r>
    </w:p>
    <w:p>
      <w:pPr>
        <w:keepNext/>
        <w:spacing w:after="40" w:before="100"/>
      </w:pPr>
      <w:r>
        <w:rPr>
          <w:rFonts w:ascii="Times New Roman" w:cs="Times New Roman" w:eastAsia="Times New Roman" w:hAnsi="Times New Roman"/>
          <w:b/>
          <w:bCs/>
          <w:sz w:val="23"/>
          <w:szCs w:val="23"/>
        </w:rPr>
        <w:t xml:space="preserve">5. Value and ROI</w:t>
      </w:r>
    </w:p>
    <w:p>
      <w:pPr>
        <w:spacing w:after="50" w:before="0" w:line="250"/>
        <w:jc w:val="both"/>
      </w:pPr>
      <w:r>
        <w:rPr>
          <w:rFonts w:ascii="Times New Roman" w:cs="Times New Roman" w:eastAsia="Times New Roman" w:hAnsi="Times New Roman"/>
          <w:sz w:val="23"/>
          <w:szCs w:val="23"/>
        </w:rPr>
        <w:t xml:space="preserve">The base case estimates </w:t>
      </w:r>
      <w:r>
        <w:rPr>
          <w:rFonts w:ascii="Times New Roman" w:cs="Times New Roman" w:eastAsia="Times New Roman" w:hAnsi="Times New Roman"/>
          <w:b/>
          <w:bCs/>
          <w:sz w:val="23"/>
          <w:szCs w:val="23"/>
        </w:rPr>
        <w:t xml:space="preserve">VND 11.9 bn</w:t>
      </w:r>
      <w:r>
        <w:rPr>
          <w:rFonts w:ascii="Times New Roman" w:cs="Times New Roman" w:eastAsia="Times New Roman" w:hAnsi="Times New Roman"/>
          <w:sz w:val="23"/>
          <w:szCs w:val="23"/>
        </w:rPr>
        <w:t xml:space="preserve"> in annual partner benefits against </w:t>
      </w:r>
      <w:r>
        <w:rPr>
          <w:rFonts w:ascii="Times New Roman" w:cs="Times New Roman" w:eastAsia="Times New Roman" w:hAnsi="Times New Roman"/>
          <w:b/>
          <w:bCs/>
          <w:sz w:val="23"/>
          <w:szCs w:val="23"/>
        </w:rPr>
        <w:t xml:space="preserve">VND 2.2 bn</w:t>
      </w:r>
      <w:r>
        <w:rPr>
          <w:rFonts w:ascii="Times New Roman" w:cs="Times New Roman" w:eastAsia="Times New Roman" w:hAnsi="Times New Roman"/>
          <w:sz w:val="23"/>
          <w:szCs w:val="23"/>
        </w:rPr>
        <w:t xml:space="preserve"> in run cost, a net value of </w:t>
      </w:r>
      <w:r>
        <w:rPr>
          <w:rFonts w:ascii="Times New Roman" w:cs="Times New Roman" w:eastAsia="Times New Roman" w:hAnsi="Times New Roman"/>
          <w:b/>
          <w:bCs/>
          <w:sz w:val="23"/>
          <w:szCs w:val="23"/>
        </w:rPr>
        <w:t xml:space="preserve">VND 9.7 bn</w:t>
      </w:r>
      <w:r>
        <w:rPr>
          <w:rFonts w:ascii="Times New Roman" w:cs="Times New Roman" w:eastAsia="Times New Roman" w:hAnsi="Times New Roman"/>
          <w:sz w:val="23"/>
          <w:szCs w:val="23"/>
        </w:rPr>
        <w:t xml:space="preserve"> (4.4 times run cost). Broker time savings make up 91% of benefits; buyer savings are excluded. Adoption is the key driver: break-even requires about 30 active brokers under base inputs and about 480 under conservative inputs. These are scenario estimates, not measured returns, and first-year benefits will be lower.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Annual value, VND bn</w:t>
            </w:r>
          </w:p>
        </w:tc>
        <w:tc>
          <w:tcPr>
            <w:tcW w:type="dxa" w:w="18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Cons.</w:t>
            </w:r>
          </w:p>
        </w:tc>
        <w:tc>
          <w:tcPr>
            <w:tcW w:type="dxa" w:w="18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Base</w:t>
            </w:r>
          </w:p>
        </w:tc>
        <w:tc>
          <w:tcPr>
            <w:tcW w:type="dxa" w:w="18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20"/>
                <w:szCs w:val="20"/>
              </w:rPr>
              <w:t xml:space="preserve">Opt.</w:t>
            </w:r>
          </w:p>
        </w:tc>
      </w:tr>
      <w:tr>
        <w:trPr>
          <w:cantSplit/>
        </w:trPr>
        <w:tc>
          <w:tcPr>
            <w:tcW w:type="dxa" w:w="36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Partner value (broker time + bank appraisal)</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0.7</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11.9</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42.5</w:t>
            </w:r>
          </w:p>
        </w:tc>
      </w:tr>
      <w:tr>
        <w:trPr>
          <w:cantSplit/>
        </w:trPr>
        <w:tc>
          <w:tcPr>
            <w:tcW w:type="dxa" w:w="36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Run cost</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3.0</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2.2</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1.6</w:t>
            </w:r>
          </w:p>
        </w:tc>
      </w:tr>
      <w:tr>
        <w:trPr>
          <w:cantSplit/>
        </w:trPr>
        <w:tc>
          <w:tcPr>
            <w:tcW w:type="dxa" w:w="36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Net partner value</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−2.3</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9.7</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40.9</w:t>
            </w:r>
          </w:p>
        </w:tc>
      </w:tr>
      <w:tr>
        <w:trPr>
          <w:cantSplit/>
        </w:trPr>
        <w:tc>
          <w:tcPr>
            <w:tcW w:type="dxa" w:w="36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20"/>
                <w:szCs w:val="20"/>
              </w:rPr>
              <w:t xml:space="preserve">Net benefit-to-cost ratio</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−0.8x</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4.4x</w:t>
            </w:r>
          </w:p>
        </w:tc>
        <w:tc>
          <w:tcPr>
            <w:tcW w:type="dxa" w:w="18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20"/>
                <w:szCs w:val="20"/>
              </w:rPr>
              <w:t xml:space="preserve">25.6x</w:t>
            </w:r>
          </w:p>
        </w:tc>
      </w:tr>
    </w:tbl>
    <w:p>
      <w:pPr>
        <w:spacing w:after="80" w:before="40"/>
        <w:jc w:val="center"/>
      </w:pPr>
      <w:r>
        <w:rPr>
          <w:rFonts w:ascii="Times New Roman" w:cs="Times New Roman" w:eastAsia="Times New Roman" w:hAnsi="Times New Roman"/>
          <w:i/>
          <w:iCs/>
          <w:sz w:val="20"/>
          <w:szCs w:val="20"/>
        </w:rPr>
        <w:t xml:space="preserve">Exhibit 2. Net partner value depends mainly on broker adoption</w:t>
      </w:r>
    </w:p>
    <w:p>
      <w:pPr>
        <w:spacing w:after="60" w:before="0" w:line="250"/>
        <w:jc w:val="both"/>
      </w:pPr>
      <w:r>
        <w:rPr>
          <w:rFonts w:ascii="Times New Roman" w:cs="Times New Roman" w:eastAsia="Times New Roman" w:hAnsi="Times New Roman"/>
          <w:sz w:val="23"/>
          <w:szCs w:val="23"/>
        </w:rPr>
        <w:t xml:space="preserve">Strategically, the platform is the only public listing-level valuation across property types in the two cities, with a published method and a stated error. Its weekly listing panel becomes a price index and time-on-market record, but the lead lasts only if broker usage and transaction calibration build on it.</w:t>
      </w:r>
    </w:p>
    <w:p>
      <w:pPr>
        <w:keepNext/>
        <w:spacing w:after="40" w:before="100"/>
      </w:pPr>
      <w:r>
        <w:rPr>
          <w:rFonts w:ascii="Times New Roman" w:cs="Times New Roman" w:eastAsia="Times New Roman" w:hAnsi="Times New Roman"/>
          <w:b/>
          <w:bCs/>
          <w:sz w:val="23"/>
          <w:szCs w:val="23"/>
        </w:rPr>
        <w:t xml:space="preserve">6. Roadmap, Risks and Recommendation</w:t>
      </w:r>
    </w:p>
    <w:p>
      <w:pPr>
        <w:spacing w:after="60" w:before="0" w:line="250"/>
        <w:jc w:val="both"/>
      </w:pPr>
      <w:r>
        <w:rPr>
          <w:rFonts w:ascii="Times New Roman" w:cs="Times New Roman" w:eastAsia="Times New Roman" w:hAnsi="Times New Roman"/>
          <w:b/>
          <w:bCs/>
          <w:sz w:val="23"/>
          <w:szCs w:val="23"/>
        </w:rPr>
        <w:t xml:space="preserve">Roadmap.</w:t>
      </w:r>
      <w:r>
        <w:rPr>
          <w:rFonts w:ascii="Times New Roman" w:cs="Times New Roman" w:eastAsia="Times New Roman" w:hAnsi="Times New Roman"/>
          <w:sz w:val="23"/>
          <w:szCs w:val="23"/>
        </w:rPr>
        <w:t xml:space="preserve"> Twelve months in three phases, each closed by a go or no-go gate: </w:t>
      </w:r>
      <w:r>
        <w:rPr>
          <w:rFonts w:ascii="Times New Roman" w:cs="Times New Roman" w:eastAsia="Times New Roman" w:hAnsi="Times New Roman"/>
          <w:b/>
          <w:bCs/>
          <w:sz w:val="23"/>
          <w:szCs w:val="23"/>
        </w:rPr>
        <w:t xml:space="preserve">Pilot</w:t>
      </w:r>
      <w:r>
        <w:rPr>
          <w:rFonts w:ascii="Times New Roman" w:cs="Times New Roman" w:eastAsia="Times New Roman" w:hAnsi="Times New Roman"/>
          <w:sz w:val="23"/>
          <w:szCs w:val="23"/>
        </w:rPr>
        <w:t xml:space="preserve"> (M1 to M3; one-agency broker pilot; Gate 1: at least 60% within ±20% for apartments and alley houses with regular usage); </w:t>
      </w:r>
      <w:r>
        <w:rPr>
          <w:rFonts w:ascii="Times New Roman" w:cs="Times New Roman" w:eastAsia="Times New Roman" w:hAnsi="Times New Roman"/>
          <w:b/>
          <w:bCs/>
          <w:sz w:val="23"/>
          <w:szCs w:val="23"/>
        </w:rPr>
        <w:t xml:space="preserve">Scale</w:t>
      </w:r>
      <w:r>
        <w:rPr>
          <w:rFonts w:ascii="Times New Roman" w:cs="Times New Roman" w:eastAsia="Times New Roman" w:hAnsi="Times New Roman"/>
          <w:sz w:val="23"/>
          <w:szCs w:val="23"/>
        </w:rPr>
        <w:t xml:space="preserve"> (M4 to M7; second portal, transaction prices, bank pre-screening trial; Gate 2: bank validates estimates against appraisals, agrees a waiver rule and 300 brokers are active); </w:t>
      </w:r>
      <w:r>
        <w:rPr>
          <w:rFonts w:ascii="Times New Roman" w:cs="Times New Roman" w:eastAsia="Times New Roman" w:hAnsi="Times New Roman"/>
          <w:b/>
          <w:bCs/>
          <w:sz w:val="23"/>
          <w:szCs w:val="23"/>
        </w:rPr>
        <w:t xml:space="preserve">Productise</w:t>
      </w:r>
      <w:r>
        <w:rPr>
          <w:rFonts w:ascii="Times New Roman" w:cs="Times New Roman" w:eastAsia="Times New Roman" w:hAnsi="Times New Roman"/>
          <w:sz w:val="23"/>
          <w:szCs w:val="23"/>
        </w:rPr>
        <w:t xml:space="preserve"> (M8 to M12; public valuation page and API, drift alerts; Gate 3: accuracy stable for three consecutive months and legal review complete).</w:t>
      </w:r>
    </w:p>
    <w:p>
      <w:pPr>
        <w:spacing w:after="60" w:before="0" w:line="250"/>
        <w:jc w:val="both"/>
      </w:pPr>
      <w:r>
        <w:rPr>
          <w:rFonts w:ascii="Times New Roman" w:cs="Times New Roman" w:eastAsia="Times New Roman" w:hAnsi="Times New Roman"/>
          <w:b/>
          <w:bCs/>
          <w:sz w:val="23"/>
          <w:szCs w:val="23"/>
        </w:rPr>
        <w:t xml:space="preserve">Key risks.</w:t>
      </w:r>
      <w:r>
        <w:rPr>
          <w:rFonts w:ascii="Times New Roman" w:cs="Times New Roman" w:eastAsia="Times New Roman" w:hAnsi="Times New Roman"/>
          <w:sz w:val="23"/>
          <w:szCs w:val="23"/>
        </w:rPr>
        <w:t xml:space="preserve"> Asking prices differ from transaction prices (high likelihood, high impact): calibrate on appraisals or notarised prices in Phase 2 and present results as asking-price references until then. The stale label is noisy: weekly collection gives an observed time-to-delisting. Brokers may adopt too slowly: track active brokers monthly and add agencies if Gate 2 is missed. Publishing valuations carries legal risk: ranges, disclaimers and legal approval before the public API.</w:t>
      </w:r>
    </w:p>
    <w:p>
      <w:pPr>
        <w:spacing w:after="60" w:before="0" w:line="250"/>
        <w:jc w:val="both"/>
      </w:pPr>
      <w:r>
        <w:rPr>
          <w:rFonts w:ascii="Times New Roman" w:cs="Times New Roman" w:eastAsia="Times New Roman" w:hAnsi="Times New Roman"/>
          <w:b/>
          <w:bCs/>
          <w:sz w:val="23"/>
          <w:szCs w:val="23"/>
        </w:rPr>
        <w:t xml:space="preserve">Recommendation.</w:t>
      </w:r>
      <w:r>
        <w:rPr>
          <w:rFonts w:ascii="Times New Roman" w:cs="Times New Roman" w:eastAsia="Times New Roman" w:hAnsi="Times New Roman"/>
          <w:sz w:val="23"/>
          <w:szCs w:val="23"/>
        </w:rPr>
        <w:t xml:space="preserve"> Launch the Fair Value Engine first for apartments and alley houses (60% and 64% within ±20%) and keep street-front houses, villas and land under manual review. Use the Radar to prioritise listings for review, not to identify overpricing. Validate estimates against appraisal or transaction prices before any lending use, and treat broker adoption (300 active brokers by Phase 2) as the main business KPI. The platform is intended to support, not replace, professional judgement.</w:t>
      </w:r>
    </w:p>
    <w:sectPr>
      <w:pgSz w:w="11906" w:h="16838" w:orient="portrait"/>
      <w:pgMar w:top="1000" w:right="1200" w:bottom="9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2026-10-21T16:37:29.783Z</dcterms:created>
  <dcterms:modified xsi:type="dcterms:W3CDTF">2026-10-21T16:37:29.783Z</dcterms:modified>
</cp:coreProperties>
</file>

<file path=docProps/custom.xml><?xml version="1.0" encoding="utf-8"?>
<Properties xmlns="http://schemas.openxmlformats.org/officeDocument/2006/custom-properties" xmlns:vt="http://schemas.openxmlformats.org/officeDocument/2006/docPropsVTypes"/>
</file>