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8"/>
          <w:szCs w:val="28"/>
        </w:rPr>
        <w:t xml:space="preserve">EXECUTIVE SUMMARY</w:t>
      </w:r>
    </w:p>
    <w:p>
      <w:pPr>
        <w:spacing w:after="20"/>
        <w:jc w:val="center"/>
      </w:pPr>
      <w:r>
        <w:rPr>
          <w:rFonts w:ascii="Times New Roman" w:cs="Times New Roman" w:eastAsia="Times New Roman" w:hAnsi="Times New Roman"/>
          <w:b/>
          <w:bCs/>
          <w:i/>
          <w:iCs/>
          <w:sz w:val="22"/>
          <w:szCs w:val="22"/>
        </w:rPr>
        <w:t xml:space="preserve">Asking-Price Estimation and Market Intelligence for Vietnam’s Secondary Housing Market</w:t>
      </w:r>
    </w:p>
    <w:p>
      <w:pPr>
        <w:pBdr>
          <w:bottom w:val="single" w:color="000000" w:sz="6" w:space="4"/>
        </w:pBdr>
        <w:spacing w:after="60"/>
        <w:jc w:val="center"/>
      </w:pPr>
      <w:r>
        <w:rPr>
          <w:rFonts w:ascii="Times New Roman" w:cs="Times New Roman" w:eastAsia="Times New Roman" w:hAnsi="Times New Roman"/>
          <w:i/>
          <w:iCs/>
          <w:sz w:val="19"/>
          <w:szCs w:val="19"/>
        </w:rPr>
        <w:t xml:space="preserve">Group 1 - Advanced Business Analytics K62 DB  |  Foreign Trade University  |  Hanoi - 10/2026</w:t>
      </w:r>
    </w:p>
    <w:p>
      <w:pPr>
        <w:keepNext/>
        <w:spacing w:after="40" w:before="100"/>
      </w:pPr>
      <w:r>
        <w:rPr>
          <w:rFonts w:ascii="Times New Roman" w:cs="Times New Roman" w:eastAsia="Times New Roman" w:hAnsi="Times New Roman"/>
          <w:b/>
          <w:bCs/>
          <w:sz w:val="23"/>
          <w:szCs w:val="23"/>
        </w:rPr>
        <w:t xml:space="preserve">1. Problem and Solution</w:t>
      </w:r>
    </w:p>
    <w:p>
      <w:pPr>
        <w:spacing w:after="60" w:before="0" w:line="250"/>
        <w:jc w:val="both"/>
      </w:pPr>
      <w:r>
        <w:rPr>
          <w:rFonts w:ascii="Times New Roman" w:cs="Times New Roman" w:eastAsia="Times New Roman" w:hAnsi="Times New Roman"/>
          <w:sz w:val="21"/>
          <w:szCs w:val="21"/>
        </w:rPr>
        <w:t xml:space="preserve">Buyers, brokers and lenders in Hanoi and Ho Chi Minh City (HCMC) have no consistent public reference for judging the asking price of an independently listed resale home. Mogi.vn provides area-level asking prices but lacks listing-level valuations, stale-listing alerts and district comparisons, and existing tools mainly serve apartment projects or banks. We designed an end-to-end analytics platform that turns public listing and map data into three decision tools: a </w:t>
      </w:r>
      <w:r>
        <w:rPr>
          <w:rFonts w:ascii="Times New Roman" w:cs="Times New Roman" w:eastAsia="Times New Roman" w:hAnsi="Times New Roman"/>
          <w:b/>
          <w:bCs/>
          <w:sz w:val="21"/>
          <w:szCs w:val="21"/>
        </w:rPr>
        <w:t xml:space="preserve">Fair Value Engine</w:t>
      </w:r>
      <w:r>
        <w:rPr>
          <w:rFonts w:ascii="Times New Roman" w:cs="Times New Roman" w:eastAsia="Times New Roman" w:hAnsi="Times New Roman"/>
          <w:sz w:val="21"/>
          <w:szCs w:val="21"/>
        </w:rPr>
        <w:t xml:space="preserve"> (asking-price reference with a 90% range), a </w:t>
      </w:r>
      <w:r>
        <w:rPr>
          <w:rFonts w:ascii="Times New Roman" w:cs="Times New Roman" w:eastAsia="Times New Roman" w:hAnsi="Times New Roman"/>
          <w:b/>
          <w:bCs/>
          <w:sz w:val="21"/>
          <w:szCs w:val="21"/>
        </w:rPr>
        <w:t xml:space="preserve">Stale Listing Radar</w:t>
      </w:r>
      <w:r>
        <w:rPr>
          <w:rFonts w:ascii="Times New Roman" w:cs="Times New Roman" w:eastAsia="Times New Roman" w:hAnsi="Times New Roman"/>
          <w:sz w:val="21"/>
          <w:szCs w:val="21"/>
        </w:rPr>
        <w:t xml:space="preserve"> (ranks listings likely to stay online more than 180 days) and a </w:t>
      </w:r>
      <w:r>
        <w:rPr>
          <w:rFonts w:ascii="Times New Roman" w:cs="Times New Roman" w:eastAsia="Times New Roman" w:hAnsi="Times New Roman"/>
          <w:b/>
          <w:bCs/>
          <w:sz w:val="21"/>
          <w:szCs w:val="21"/>
        </w:rPr>
        <w:t xml:space="preserve">Market Map</w:t>
      </w:r>
      <w:r>
        <w:rPr>
          <w:rFonts w:ascii="Times New Roman" w:cs="Times New Roman" w:eastAsia="Times New Roman" w:hAnsi="Times New Roman"/>
          <w:sz w:val="21"/>
          <w:szCs w:val="21"/>
        </w:rPr>
        <w:t xml:space="preserve"> (district segments). Since estimates rely on asking prices, not transaction prices, human review remains necessary.</w:t>
      </w:r>
    </w:p>
    <w:p>
      <w:pPr>
        <w:keepNext/>
        <w:spacing w:after="40" w:before="100"/>
      </w:pPr>
      <w:r>
        <w:rPr>
          <w:rFonts w:ascii="Times New Roman" w:cs="Times New Roman" w:eastAsia="Times New Roman" w:hAnsi="Times New Roman"/>
          <w:b/>
          <w:bCs/>
          <w:sz w:val="23"/>
          <w:szCs w:val="23"/>
        </w:rPr>
        <w:t xml:space="preserve">2. Solution Architecture</w:t>
      </w:r>
    </w:p>
    <w:p>
      <w:pPr>
        <w:spacing w:after="50" w:before="0" w:line="250"/>
        <w:jc w:val="both"/>
      </w:pPr>
      <w:r>
        <w:rPr>
          <w:rFonts w:ascii="Times New Roman" w:cs="Times New Roman" w:eastAsia="Times New Roman" w:hAnsi="Times New Roman"/>
          <w:sz w:val="21"/>
          <w:szCs w:val="21"/>
        </w:rPr>
        <w:t xml:space="preserve">Listings and map data are collected, cleaned, matched by location and combined into one property table that feeds all three engines, which in turn serve a dashboard and market reports. Exhibit 1 lists the tool behind each layer and why it fits.</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100"/>
        <w:gridCol w:w="3400"/>
      </w:tblGrid>
      <w:tr>
        <w:trPr>
          <w:tblHeader/>
        </w:trPr>
        <w:tc>
          <w:tcPr>
            <w:tcW w:type="dxa" w:w="15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Layer</w:t>
            </w:r>
          </w:p>
        </w:tc>
        <w:tc>
          <w:tcPr>
            <w:tcW w:type="dxa" w:w="25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Tools</w:t>
            </w:r>
          </w:p>
        </w:tc>
        <w:tc>
          <w:tcPr>
            <w:tcW w:type="dxa" w:w="21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Output</w:t>
            </w:r>
          </w:p>
        </w:tc>
        <w:tc>
          <w:tcPr>
            <w:tcW w:type="dxa" w:w="34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Why it fits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1. Data collection</w:t>
            </w:r>
          </w:p>
        </w:tc>
        <w:tc>
          <w:tcPr>
            <w:tcW w:type="dxa" w:w="2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Python (requests, BeautifulSoup); OpenStreetMap via Overpass API; GADM</w:t>
            </w:r>
          </w:p>
        </w:tc>
        <w:tc>
          <w:tcPr>
            <w:tcW w:type="dxa" w:w="21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Raw listings, amenity points, district boundaries</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Resumable scraping (7,792 listings/hour in pilot); open map data avoids paid APIs; weekly listings, quarterly map refresh</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2. Storage</w:t>
            </w:r>
          </w:p>
        </w:tc>
        <w:tc>
          <w:tcPr>
            <w:tcW w:type="dxa" w:w="2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Prototype: CSV, JSON, Parquet. Planned: cloud database with spatial queries</w:t>
            </w:r>
          </w:p>
        </w:tc>
        <w:tc>
          <w:tcPr>
            <w:tcW w:type="dxa" w:w="21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Integrated property table</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Local files avoid infrastructure cost; cloud adds shared access, spatial queries, permissions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3. Processing and modelling</w:t>
            </w:r>
          </w:p>
        </w:tc>
        <w:tc>
          <w:tcPr>
            <w:tcW w:type="dxa" w:w="2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pandas, GeoPandas, statsmodels, scikit-learn, XGBoost, SHAP</w:t>
            </w:r>
          </w:p>
        </w:tc>
        <w:tc>
          <w:tcPr>
            <w:tcW w:type="dxa" w:w="21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Fair values with 90% intervals; stale risk; district segments</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Regression is a transparent baseline, XGBoost improves prediction, SHAP explains each estimate</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4. Presentation</w:t>
            </w:r>
          </w:p>
        </w:tc>
        <w:tc>
          <w:tcPr>
            <w:tcW w:type="dxa" w:w="2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Streamlit; standalone HTML/JavaScript; Folium</w:t>
            </w:r>
          </w:p>
        </w:tc>
        <w:tc>
          <w:tcPr>
            <w:tcW w:type="dxa" w:w="21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Valuation and market dashboards</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Managers use predictions without coding; HTML runs offline and matches Python on 500 test listings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5. Operations and governance</w:t>
            </w:r>
          </w:p>
        </w:tc>
        <w:tc>
          <w:tcPr>
            <w:tcW w:type="dxa" w:w="2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run_all.py, pytest; planned scheduling, monitoring, model approval</w:t>
            </w:r>
          </w:p>
        </w:tc>
        <w:tc>
          <w:tcPr>
            <w:tcW w:type="dxa" w:w="21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Reproducible pipeline; planned model oversight</w:t>
            </w:r>
          </w:p>
        </w:tc>
        <w:tc>
          <w:tcPr>
            <w:tcW w:type="dxa" w:w="3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Automated tests support reproducibility; approvals govern production model changes</w:t>
            </w:r>
          </w:p>
        </w:tc>
      </w:tr>
    </w:tbl>
    <w:p>
      <w:pPr>
        <w:spacing w:after="80" w:before="40"/>
        <w:jc w:val="center"/>
      </w:pPr>
      <w:r>
        <w:rPr>
          <w:rFonts w:ascii="Times New Roman" w:cs="Times New Roman" w:eastAsia="Times New Roman" w:hAnsi="Times New Roman"/>
          <w:i/>
          <w:iCs/>
          <w:sz w:val="18"/>
          <w:szCs w:val="18"/>
        </w:rPr>
        <w:t xml:space="preserve">Exhibit 1. Analytics architecture: tools, outputs and business fit</w:t>
      </w:r>
    </w:p>
    <w:p>
      <w:pPr>
        <w:spacing w:after="60" w:before="0" w:line="250"/>
        <w:jc w:val="both"/>
      </w:pPr>
      <w:r>
        <w:rPr>
          <w:rFonts w:ascii="Times New Roman" w:cs="Times New Roman" w:eastAsia="Times New Roman" w:hAnsi="Times New Roman"/>
          <w:b/>
          <w:bCs/>
          <w:sz w:val="21"/>
          <w:szCs w:val="21"/>
        </w:rPr>
        <w:t xml:space="preserve">Integration challenges and responses.</w:t>
      </w:r>
      <w:r>
        <w:rPr>
          <w:rFonts w:ascii="Times New Roman" w:cs="Times New Roman" w:eastAsia="Times New Roman" w:hAnsi="Times New Roman"/>
          <w:sz w:val="21"/>
          <w:szCs w:val="21"/>
        </w:rPr>
        <w:t xml:space="preserve"> (i) Prices, dates and areas written as text (e.g. “4 tỷ 760 triệu”) are parsed to numbers and match the site’s own price on 100% of clean listings. (ii) The two sources share no ID, so they are joined by coordinates and distances and counts within 500 m and 1 km are computed. (iii) Same homes posted by several brokers are de-duplicated, keeping the earliest. (iv) Missing values (storeys 54%, access road width 87%, plot depth 31%, frontage 29%) are filled with the typical value for the property type and flagged. (v) Re-posting resets dates (59% of sellers), so listing age is measured from the listing ID, calibrated to the first photo date.</w:t>
      </w:r>
    </w:p>
    <w:p>
      <w:pPr>
        <w:keepNext/>
        <w:spacing w:after="40" w:before="100"/>
      </w:pPr>
      <w:r>
        <w:rPr>
          <w:rFonts w:ascii="Times New Roman" w:cs="Times New Roman" w:eastAsia="Times New Roman" w:hAnsi="Times New Roman"/>
          <w:b/>
          <w:bCs/>
          <w:sz w:val="23"/>
          <w:szCs w:val="23"/>
        </w:rPr>
        <w:t xml:space="preserve">3. Analytical Method and Business Decisions</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900"/>
        <w:gridCol w:w="2600"/>
      </w:tblGrid>
      <w:tr>
        <w:trPr>
          <w:tblHeader/>
        </w:trPr>
        <w:tc>
          <w:tcPr>
            <w:tcW w:type="dxa" w:w="15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Engine</w:t>
            </w:r>
          </w:p>
        </w:tc>
        <w:tc>
          <w:tcPr>
            <w:tcW w:type="dxa" w:w="35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Method and rationale</w:t>
            </w:r>
          </w:p>
        </w:tc>
        <w:tc>
          <w:tcPr>
            <w:tcW w:type="dxa" w:w="19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Output</w:t>
            </w:r>
          </w:p>
        </w:tc>
        <w:tc>
          <w:tcPr>
            <w:tcW w:type="dxa" w:w="26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Decision owner and decision</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Fair Value Engine</w:t>
            </w:r>
          </w:p>
        </w:tc>
        <w:tc>
          <w:tcPr>
            <w:tcW w:type="dxa" w:w="3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Regression, as the output is a continuous price. OLS hedonic model as interpretable baseline; XGBoost for nonlinear effects; SHAP and prediction intervals for explanation and uncertainty</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Price reference, 90% range, five comparables</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Brokers, sales managers: advise on pricing and negotiation; review details before repricing</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Stale Listing Radar</w:t>
            </w:r>
          </w:p>
        </w:tc>
        <w:tc>
          <w:tcPr>
            <w:tcW w:type="dxa" w:w="3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Classification (stale = more than 180 days), as no sale dates are confirmed. Price-gap rule and logistic regression as baselines; XGBoost for complex interactions</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Staleness ranking and review list</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Brokerage managers: prioritise contact and verification by team capacity; a high score alone does not justify a price cut</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Market Map</w:t>
            </w:r>
          </w:p>
        </w:tc>
        <w:tc>
          <w:tcPr>
            <w:tcW w:type="dxa" w:w="35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Clustering, as districts have no segment labels. K-Means on standardised district profiles; Ward clustering as consistency check</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District segments and profiles</w:t>
            </w:r>
          </w:p>
        </w:tc>
        <w:tc>
          <w:tcPr>
            <w:tcW w:type="dxa" w:w="26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Marketing managers, executives: adapt campaigns and staffing; investigate areas before investing</w:t>
            </w:r>
          </w:p>
        </w:tc>
      </w:tr>
    </w:tbl>
    <w:p>
      <w:pPr>
        <w:spacing w:after="80" w:before="40"/>
        <w:jc w:val="center"/>
      </w:pPr>
      <w:r>
        <w:rPr>
          <w:rFonts w:ascii="Times New Roman" w:cs="Times New Roman" w:eastAsia="Times New Roman" w:hAnsi="Times New Roman"/>
          <w:i/>
          <w:iCs/>
          <w:sz w:val="18"/>
          <w:szCs w:val="18"/>
        </w:rPr>
        <w:t xml:space="preserve">Exhibit 2. Each engine ties a method to an output and a named decision owner</w:t>
      </w:r>
    </w:p>
    <w:p>
      <w:pPr>
        <w:spacing w:after="60" w:before="0" w:line="250"/>
        <w:jc w:val="both"/>
      </w:pPr>
      <w:r>
        <w:rPr>
          <w:rFonts w:ascii="Times New Roman" w:cs="Times New Roman" w:eastAsia="Times New Roman" w:hAnsi="Times New Roman"/>
          <w:sz w:val="21"/>
          <w:szCs w:val="21"/>
        </w:rPr>
        <w:t xml:space="preserve">The valuation gap from the Fair Value Engine also feeds the Radar. To prevent leakage, evaluation uses held-out data and out-of-fold price gaps, and age-related inputs are excluded from the Radar. An evaluation plan sets a threshold per engine: RMSE (log price) below 0.20, PPE20 of at least 60% and 90% range coverage; Radar AUC above 0.72, top-10% lift and Brier score below logistic regression; Market Map silhouette above 0.45 and ARI against Ward.</w:t>
      </w:r>
    </w:p>
    <w:p>
      <w:pPr>
        <w:keepNext/>
        <w:spacing w:after="40" w:before="100"/>
      </w:pPr>
      <w:r>
        <w:rPr>
          <w:rFonts w:ascii="Times New Roman" w:cs="Times New Roman" w:eastAsia="Times New Roman" w:hAnsi="Times New Roman"/>
          <w:b/>
          <w:bCs/>
          <w:sz w:val="23"/>
          <w:szCs w:val="23"/>
        </w:rPr>
        <w:t xml:space="preserve">4. Demo Data and Prototype Results</w:t>
      </w:r>
    </w:p>
    <w:p>
      <w:pPr>
        <w:spacing w:after="50" w:before="0" w:line="250"/>
        <w:jc w:val="both"/>
      </w:pPr>
      <w:r>
        <w:rPr>
          <w:rFonts w:ascii="Times New Roman" w:cs="Times New Roman" w:eastAsia="Times New Roman" w:hAnsi="Times New Roman"/>
          <w:sz w:val="21"/>
          <w:szCs w:val="21"/>
        </w:rPr>
        <w:t xml:space="preserve">The prototype runs on a demo sample: </w:t>
      </w:r>
      <w:r>
        <w:rPr>
          <w:rFonts w:ascii="Times New Roman" w:cs="Times New Roman" w:eastAsia="Times New Roman" w:hAnsi="Times New Roman"/>
          <w:b/>
          <w:bCs/>
          <w:sz w:val="21"/>
          <w:szCs w:val="21"/>
        </w:rPr>
        <w:t xml:space="preserve">5,268 clean mogi.vn listings</w:t>
      </w:r>
      <w:r>
        <w:rPr>
          <w:rFonts w:ascii="Times New Roman" w:cs="Times New Roman" w:eastAsia="Times New Roman" w:hAnsi="Times New Roman"/>
          <w:sz w:val="21"/>
          <w:szCs w:val="21"/>
        </w:rPr>
        <w:t xml:space="preserve"> (88% of 6,000 collected; 2,638 Hanoi, 2,630 HCMC; 51 districts) linked to </w:t>
      </w:r>
      <w:r>
        <w:rPr>
          <w:rFonts w:ascii="Times New Roman" w:cs="Times New Roman" w:eastAsia="Times New Roman" w:hAnsi="Times New Roman"/>
          <w:b/>
          <w:bCs/>
          <w:sz w:val="21"/>
          <w:szCs w:val="21"/>
        </w:rPr>
        <w:t xml:space="preserve">34,321 OpenStreetMap points</w:t>
      </w:r>
      <w:r>
        <w:rPr>
          <w:rFonts w:ascii="Times New Roman" w:cs="Times New Roman" w:eastAsia="Times New Roman" w:hAnsi="Times New Roman"/>
          <w:sz w:val="21"/>
          <w:szCs w:val="21"/>
        </w:rPr>
        <w:t xml:space="preserve"> in eight layers. All listings come from one portal on one day and carry asking prices, so the sample shows that the pipeline works but is not enough for lending. The prototype meets two of four project targets, measured on unseen data except OLS R² and silhouette.</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200"/>
        <w:gridCol w:w="1900"/>
      </w:tblGrid>
      <w:tr>
        <w:trPr>
          <w:tblHeader/>
        </w:trPr>
        <w:tc>
          <w:tcPr>
            <w:tcW w:type="dxa" w:w="30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Metric</w:t>
            </w:r>
          </w:p>
        </w:tc>
        <w:tc>
          <w:tcPr>
            <w:tcW w:type="dxa" w:w="14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Target</w:t>
            </w:r>
          </w:p>
        </w:tc>
        <w:tc>
          <w:tcPr>
            <w:tcW w:type="dxa" w:w="32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Result</w:t>
            </w:r>
          </w:p>
        </w:tc>
        <w:tc>
          <w:tcPr>
            <w:tcW w:type="dxa" w:w="1900"/>
            <w:tcBorders>
              <w:top w:val="single" w:color="000000" w:sz="4"/>
              <w:left w:val="single" w:color="000000" w:sz="4"/>
              <w:bottom w:val="single" w:color="000000" w:sz="4"/>
              <w:right w:val="single" w:color="000000" w:sz="4"/>
            </w:tcBorders>
            <w:shd w:fill="F2F2F2" w:color="auto" w:val="clear"/>
            <w:tcMar>
              <w:top w:type="dxa" w:w="25"/>
              <w:left w:type="dxa" w:w="70"/>
              <w:bottom w:type="dxa" w:w="25"/>
              <w:right w:type="dxa" w:w="70"/>
            </w:tcMar>
          </w:tcPr>
          <w:p>
            <w:pPr>
              <w:jc w:val="center"/>
            </w:pPr>
            <w:r>
              <w:rPr>
                <w:rFonts w:ascii="Times New Roman" w:cs="Times New Roman" w:eastAsia="Times New Roman" w:hAnsi="Times New Roman"/>
                <w:b/>
                <w:bCs/>
                <w:sz w:val="18"/>
                <w:szCs w:val="18"/>
              </w:rPr>
              <w:t xml:space="preserve">Met?</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OLS R²</w:t>
            </w:r>
          </w:p>
        </w:tc>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&gt; 0.75</w:t>
            </w:r>
          </w:p>
        </w:tc>
        <w:tc>
          <w:tcPr>
            <w:tcW w:type="dxa" w:w="32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0.850</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Yes</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XGBoost RMSE, log price</w:t>
            </w:r>
          </w:p>
        </w:tc>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&lt; 0.20</w:t>
            </w:r>
          </w:p>
        </w:tc>
        <w:tc>
          <w:tcPr>
            <w:tcW w:type="dxa" w:w="32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0.354</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No</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PPE20 (±20% of asking price)</w:t>
            </w:r>
          </w:p>
        </w:tc>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 60%</w:t>
            </w:r>
          </w:p>
        </w:tc>
        <w:tc>
          <w:tcPr>
            <w:tcW w:type="dxa" w:w="32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53.9% overall; 60% apartments, 64% alley houses</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Only for these types</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Radar AUC</w:t>
            </w:r>
          </w:p>
        </w:tc>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&gt; 0.72</w:t>
            </w:r>
          </w:p>
        </w:tc>
        <w:tc>
          <w:tcPr>
            <w:tcW w:type="dxa" w:w="32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0.81 (95%: 0.78 to 0.83)</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Yes</w:t>
            </w:r>
          </w:p>
        </w:tc>
      </w:tr>
      <w:tr>
        <w:trPr>
          <w:cantSplit/>
        </w:trPr>
        <w:tc>
          <w:tcPr>
            <w:tcW w:type="dxa" w:w="30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left"/>
            </w:pPr>
            <w:r>
              <w:rPr>
                <w:rFonts w:ascii="Times New Roman" w:cs="Times New Roman" w:eastAsia="Times New Roman" w:hAnsi="Times New Roman"/>
                <w:b w:val="false"/>
                <w:bCs w:val="false"/>
                <w:sz w:val="18"/>
                <w:szCs w:val="18"/>
              </w:rPr>
              <w:t xml:space="preserve">Market Map silhouette</w:t>
            </w:r>
          </w:p>
        </w:tc>
        <w:tc>
          <w:tcPr>
            <w:tcW w:type="dxa" w:w="14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&gt; 0.45</w:t>
            </w:r>
          </w:p>
        </w:tc>
        <w:tc>
          <w:tcPr>
            <w:tcW w:type="dxa" w:w="32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0.21 (k = 4)</w:t>
            </w:r>
          </w:p>
        </w:tc>
        <w:tc>
          <w:tcPr>
            <w:tcW w:type="dxa" w:w="1900"/>
            <w:tcBorders>
              <w:top w:val="single" w:color="000000" w:sz="4"/>
              <w:left w:val="single" w:color="000000" w:sz="4"/>
              <w:bottom w:val="single" w:color="000000" w:sz="4"/>
              <w:right w:val="single" w:color="000000" w:sz="4"/>
            </w:tcBorders>
            <w:tcMar>
              <w:top w:type="dxa" w:w="25"/>
              <w:left w:type="dxa" w:w="70"/>
              <w:bottom w:type="dxa" w:w="25"/>
              <w:right w:type="dxa" w:w="70"/>
            </w:tcMar>
          </w:tcPr>
          <w:p>
            <w:pPr>
              <w:jc w:val="center"/>
            </w:pPr>
            <w:r>
              <w:rPr>
                <w:rFonts w:ascii="Times New Roman" w:cs="Times New Roman" w:eastAsia="Times New Roman" w:hAnsi="Times New Roman"/>
                <w:b w:val="false"/>
                <w:bCs w:val="false"/>
                <w:sz w:val="18"/>
                <w:szCs w:val="18"/>
              </w:rPr>
              <w:t xml:space="preserve">No</w:t>
            </w:r>
          </w:p>
        </w:tc>
      </w:tr>
    </w:tbl>
    <w:p>
      <w:pPr>
        <w:spacing w:after="80" w:before="40"/>
        <w:jc w:val="center"/>
      </w:pPr>
      <w:r>
        <w:rPr>
          <w:rFonts w:ascii="Times New Roman" w:cs="Times New Roman" w:eastAsia="Times New Roman" w:hAnsi="Times New Roman"/>
          <w:i/>
          <w:iCs/>
          <w:sz w:val="18"/>
          <w:szCs w:val="18"/>
        </w:rPr>
        <w:t xml:space="preserve">Exhibit 3. Prototype results against project targets</w:t>
      </w:r>
    </w:p>
    <w:p>
      <w:pPr>
        <w:pStyle w:val="ListParagraph"/>
        <w:numPr>
          <w:ilvl w:val="0"/>
          <w:numId w:val="2"/>
        </w:numPr>
        <w:spacing w:after="30" w:line="250"/>
        <w:jc w:val="both"/>
      </w:pPr>
      <w:r>
        <w:rPr>
          <w:rFonts w:ascii="Times New Roman" w:cs="Times New Roman" w:eastAsia="Times New Roman" w:hAnsi="Times New Roman"/>
          <w:b/>
          <w:bCs/>
          <w:sz w:val="21"/>
          <w:szCs w:val="21"/>
        </w:rPr>
        <w:t xml:space="preserve">Fair Value:</w:t>
      </w:r>
      <w:r>
        <w:rPr>
          <w:rFonts w:ascii="Times New Roman" w:cs="Times New Roman" w:eastAsia="Times New Roman" w:hAnsi="Times New Roman"/>
          <w:sz w:val="21"/>
          <w:szCs w:val="21"/>
        </w:rPr>
        <w:t xml:space="preserve"> accuracy differs by type (villas 47%, land 43%, street-front houses 42% within ±20%); the 90% range covers 90.5% of test homes; expensive homes tend to be under-valued (PRD 1.12), a limit for lenders.</w:t>
      </w:r>
    </w:p>
    <w:p>
      <w:pPr>
        <w:pStyle w:val="ListParagraph"/>
        <w:numPr>
          <w:ilvl w:val="0"/>
          <w:numId w:val="2"/>
        </w:numPr>
        <w:spacing w:after="30" w:line="250"/>
        <w:jc w:val="both"/>
      </w:pPr>
      <w:r>
        <w:rPr>
          <w:rFonts w:ascii="Times New Roman" w:cs="Times New Roman" w:eastAsia="Times New Roman" w:hAnsi="Times New Roman"/>
          <w:b/>
          <w:bCs/>
          <w:sz w:val="21"/>
          <w:szCs w:val="21"/>
        </w:rPr>
        <w:t xml:space="preserve">Radar:</w:t>
      </w:r>
      <w:r>
        <w:rPr>
          <w:rFonts w:ascii="Times New Roman" w:cs="Times New Roman" w:eastAsia="Times New Roman" w:hAnsi="Times New Roman"/>
          <w:sz w:val="21"/>
          <w:szCs w:val="21"/>
        </w:rPr>
        <w:t xml:space="preserve"> AUC 0.81 against 0.74 (logistic regression) and 0.45 (price-gap rule); the top 10% of scores are 99% stale against 65% on average. </w:t>
      </w:r>
      <w:r>
        <w:rPr>
          <w:rFonts w:ascii="Times New Roman" w:cs="Times New Roman" w:eastAsia="Times New Roman" w:hAnsi="Times New Roman"/>
          <w:b/>
          <w:bCs/>
          <w:sz w:val="21"/>
          <w:szCs w:val="21"/>
        </w:rPr>
        <w:t xml:space="preserve">Market Map:</w:t>
      </w:r>
      <w:r>
        <w:rPr>
          <w:rFonts w:ascii="Times New Roman" w:cs="Times New Roman" w:eastAsia="Times New Roman" w:hAnsi="Times New Roman"/>
          <w:sz w:val="21"/>
          <w:szCs w:val="21"/>
        </w:rPr>
        <w:t xml:space="preserve"> four segments over 34 districts are targeting groups, not natural borders (ARI 0.47).</w:t>
      </w:r>
    </w:p>
    <w:p>
      <w:pPr>
        <w:keepNext/>
        <w:spacing w:after="40" w:before="100"/>
      </w:pPr>
      <w:r>
        <w:rPr>
          <w:rFonts w:ascii="Times New Roman" w:cs="Times New Roman" w:eastAsia="Times New Roman" w:hAnsi="Times New Roman"/>
          <w:b/>
          <w:bCs/>
          <w:sz w:val="23"/>
          <w:szCs w:val="23"/>
        </w:rPr>
        <w:t xml:space="preserve">5. Value, Roadmap and Recommendation</w:t>
      </w:r>
    </w:p>
    <w:p>
      <w:pPr>
        <w:spacing w:after="60" w:before="0" w:line="250"/>
        <w:jc w:val="both"/>
      </w:pPr>
      <w:r>
        <w:rPr>
          <w:rFonts w:ascii="Times New Roman" w:cs="Times New Roman" w:eastAsia="Times New Roman" w:hAnsi="Times New Roman"/>
          <w:b/>
          <w:bCs/>
          <w:sz w:val="21"/>
          <w:szCs w:val="21"/>
        </w:rPr>
        <w:t xml:space="preserve">Value.</w:t>
      </w:r>
      <w:r>
        <w:rPr>
          <w:rFonts w:ascii="Times New Roman" w:cs="Times New Roman" w:eastAsia="Times New Roman" w:hAnsi="Times New Roman"/>
          <w:sz w:val="21"/>
          <w:szCs w:val="21"/>
        </w:rPr>
        <w:t xml:space="preserve"> The base case estimates VND 11.9 bn in annual partner benefits (91% broker time savings) against VND 2.2 bn run cost, a net value of </w:t>
      </w:r>
      <w:r>
        <w:rPr>
          <w:rFonts w:ascii="Times New Roman" w:cs="Times New Roman" w:eastAsia="Times New Roman" w:hAnsi="Times New Roman"/>
          <w:b/>
          <w:bCs/>
          <w:sz w:val="21"/>
          <w:szCs w:val="21"/>
        </w:rPr>
        <w:t xml:space="preserve">VND 9.7 bn</w:t>
      </w:r>
      <w:r>
        <w:rPr>
          <w:rFonts w:ascii="Times New Roman" w:cs="Times New Roman" w:eastAsia="Times New Roman" w:hAnsi="Times New Roman"/>
          <w:sz w:val="21"/>
          <w:szCs w:val="21"/>
        </w:rPr>
        <w:t xml:space="preserve"> (4.4 times run cost), ranging from −2.3 bn to +40.9 bn. Broker adoption drives the result: break-even needs about 30 active brokers at base inputs and about 480 at conservative inputs. These are scenario estimates, not measured returns.</w:t>
      </w:r>
    </w:p>
    <w:p>
      <w:pPr>
        <w:spacing w:after="60" w:before="0" w:line="250"/>
        <w:jc w:val="both"/>
      </w:pPr>
      <w:r>
        <w:rPr>
          <w:rFonts w:ascii="Times New Roman" w:cs="Times New Roman" w:eastAsia="Times New Roman" w:hAnsi="Times New Roman"/>
          <w:b/>
          <w:bCs/>
          <w:sz w:val="21"/>
          <w:szCs w:val="21"/>
        </w:rPr>
        <w:t xml:space="preserve">Roadmap and governance.</w:t>
      </w:r>
      <w:r>
        <w:rPr>
          <w:rFonts w:ascii="Times New Roman" w:cs="Times New Roman" w:eastAsia="Times New Roman" w:hAnsi="Times New Roman"/>
          <w:sz w:val="21"/>
          <w:szCs w:val="21"/>
        </w:rPr>
        <w:t xml:space="preserve"> Twelve months in three phases, each closed by a go or no-go gate: </w:t>
      </w:r>
      <w:r>
        <w:rPr>
          <w:rFonts w:ascii="Times New Roman" w:cs="Times New Roman" w:eastAsia="Times New Roman" w:hAnsi="Times New Roman"/>
          <w:b/>
          <w:bCs/>
          <w:sz w:val="21"/>
          <w:szCs w:val="21"/>
        </w:rPr>
        <w:t xml:space="preserve">Pilot</w:t>
      </w:r>
      <w:r>
        <w:rPr>
          <w:rFonts w:ascii="Times New Roman" w:cs="Times New Roman" w:eastAsia="Times New Roman" w:hAnsi="Times New Roman"/>
          <w:sz w:val="21"/>
          <w:szCs w:val="21"/>
        </w:rPr>
        <w:t xml:space="preserve"> (M1 to M3; Gate 1: at least 60% within ±20% for apartments and alley houses with regular usage), </w:t>
      </w:r>
      <w:r>
        <w:rPr>
          <w:rFonts w:ascii="Times New Roman" w:cs="Times New Roman" w:eastAsia="Times New Roman" w:hAnsi="Times New Roman"/>
          <w:b/>
          <w:bCs/>
          <w:sz w:val="21"/>
          <w:szCs w:val="21"/>
        </w:rPr>
        <w:t xml:space="preserve">Scale</w:t>
      </w:r>
      <w:r>
        <w:rPr>
          <w:rFonts w:ascii="Times New Roman" w:cs="Times New Roman" w:eastAsia="Times New Roman" w:hAnsi="Times New Roman"/>
          <w:sz w:val="21"/>
          <w:szCs w:val="21"/>
        </w:rPr>
        <w:t xml:space="preserve"> (M4 to M7; second portal, transaction prices, bank trial; Gate 2: bank validates estimates against appraisals and 300 brokers are active) and </w:t>
      </w:r>
      <w:r>
        <w:rPr>
          <w:rFonts w:ascii="Times New Roman" w:cs="Times New Roman" w:eastAsia="Times New Roman" w:hAnsi="Times New Roman"/>
          <w:b/>
          <w:bCs/>
          <w:sz w:val="21"/>
          <w:szCs w:val="21"/>
        </w:rPr>
        <w:t xml:space="preserve">Productise</w:t>
      </w:r>
      <w:r>
        <w:rPr>
          <w:rFonts w:ascii="Times New Roman" w:cs="Times New Roman" w:eastAsia="Times New Roman" w:hAnsi="Times New Roman"/>
          <w:sz w:val="21"/>
          <w:szCs w:val="21"/>
        </w:rPr>
        <w:t xml:space="preserve"> (M8 to M12; public page and API, drift alerts; Gate 3: stable accuracy for three months and legal review). The data team operates all three engines; Risk and credit, Sales, and Marketing with Executive management are accountable for Fair Value, Radar and Market Map respectively. Main risks are asking prices differing from transaction prices (calibrate on appraisals in Phase 2), a noisy stale label (observe time-to-delisting weekly) and slow broker adoption (track active brokers monthly).</w:t>
      </w:r>
    </w:p>
    <w:p>
      <w:pPr>
        <w:spacing w:after="60" w:before="0" w:line="250"/>
        <w:jc w:val="both"/>
      </w:pPr>
      <w:r>
        <w:rPr>
          <w:rFonts w:ascii="Times New Roman" w:cs="Times New Roman" w:eastAsia="Times New Roman" w:hAnsi="Times New Roman"/>
          <w:b/>
          <w:bCs/>
          <w:sz w:val="21"/>
          <w:szCs w:val="21"/>
        </w:rPr>
        <w:t xml:space="preserve">Recommendation.</w:t>
      </w:r>
      <w:r>
        <w:rPr>
          <w:rFonts w:ascii="Times New Roman" w:cs="Times New Roman" w:eastAsia="Times New Roman" w:hAnsi="Times New Roman"/>
          <w:sz w:val="21"/>
          <w:szCs w:val="21"/>
        </w:rPr>
        <w:t xml:space="preserve"> Launch the Fair Value Engine first for apartments and alley houses and keep other types under manual review. Use the Radar to prioritise reviews, not to identify overpricing. Validate against appraisal or transaction prices before any lending use. The platform is intended to support, not replace, professional judgement.</w:t>
      </w:r>
    </w:p>
    <w:sectPr>
      <w:pgSz w:w="11906" w:h="16838" w:orient="portrait"/>
      <w:pgMar w:top="1000" w:right="1200" w:bottom="9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2026-10-21T16:51:37.804Z</dcterms:created>
  <dcterms:modified xsi:type="dcterms:W3CDTF">2026-10-21T16:51:37.812Z</dcterms:modified>
</cp:coreProperties>
</file>

<file path=docProps/custom.xml><?xml version="1.0" encoding="utf-8"?>
<Properties xmlns="http://schemas.openxmlformats.org/officeDocument/2006/custom-properties" xmlns:vt="http://schemas.openxmlformats.org/officeDocument/2006/docPropsVTypes"/>
</file>