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36"/>
          <w:szCs w:val="36"/>
        </w:rPr>
        <w:t xml:space="preserve">El Paso County, Colorado</w:t>
      </w:r>
    </w:p>
    <w:p>
      <w:pPr>
        <w:spacing w:after="60"/>
      </w:pPr>
      <w:r>
        <w:rPr>
          <w:rFonts w:ascii="Calibri" w:cs="Calibri" w:eastAsia="Calibri" w:hAnsi="Calibri"/>
          <w:sz w:val="28"/>
          <w:szCs w:val="28"/>
        </w:rPr>
        <w:t xml:space="preserve">Population components-of-change ledger</w:t>
      </w:r>
    </w:p>
    <w:p>
      <w:pPr>
        <w:spacing w:after="360"/>
      </w:pPr>
      <w:r>
        <w:rPr>
          <w:rFonts w:ascii="Calibri" w:cs="Calibri" w:eastAsia="Calibri" w:hAnsi="Calibri"/>
          <w:i/>
          <w:iCs/>
          <w:color w:val="666666"/>
          <w:sz w:val="24"/>
          <w:szCs w:val="24"/>
        </w:rPr>
        <w:t xml:space="preserve">Methodology and source documentation</w:t>
      </w:r>
    </w:p>
    <w:p>
      <w:pPr>
        <w:pBdr>
          <w:bottom w:val="single" w:color="999999" w:sz="6" w:space="1"/>
        </w:pBdr>
        <w:spacing w:after="180" w:before="60"/>
      </w:pPr>
    </w:p>
    <w:p>
      <w:pPr>
        <w:pStyle w:val="Heading1"/>
        <w:spacing w:after="180" w:before="360"/>
      </w:pPr>
      <w:r>
        <w:rPr>
          <w:rFonts w:ascii="Calibri" w:cs="Calibri" w:eastAsia="Calibri" w:hAnsi="Calibri"/>
          <w:b/>
          <w:bCs/>
          <w:sz w:val="32"/>
          <w:szCs w:val="32"/>
        </w:rPr>
        <w:t xml:space="preserve">Summary</w:t>
      </w:r>
    </w:p>
    <w:p>
      <w:pPr>
        <w:spacing w:after="120"/>
      </w:pPr>
      <w:r>
        <w:rPr>
          <w:rFonts w:ascii="Calibri" w:cs="Calibri" w:eastAsia="Calibri" w:hAnsi="Calibri"/>
          <w:sz w:val="22"/>
          <w:szCs w:val="22"/>
        </w:rPr>
        <w:t xml:space="preserve">This document records the data sources, methods, and known gaps behind a population components-of-change ledger for El Paso County, Colorado. The ledger reconstructs how the county’s population changed between the April 2020 Decennial Census and July 2024, decomposing that change into births, deaths, and net migration. Each component is sourced to one or more administrative records and cross-checked against at least one independent dataset.</w:t>
      </w:r>
    </w:p>
    <w:p>
      <w:pPr>
        <w:spacing w:after="120"/>
      </w:pPr>
      <w:r>
        <w:rPr>
          <w:rFonts w:ascii="Calibri" w:cs="Calibri" w:eastAsia="Calibri" w:hAnsi="Calibri"/>
          <w:sz w:val="22"/>
          <w:szCs w:val="22"/>
        </w:rPr>
        <w:t xml:space="preserve">The ledger’s purpose is to make the basis of population estimates legible to the people those estimates affect: residents who pay taxes assessed against parcel valuations, voters who decide on bond measures sized to projected demand, planners who allocate infrastructure capacity, and school districts that file Federal Impact Aid based on military-affiliated student counts. Where the underlying data carry methodological caveats, those caveats are surfaced rather than smoothed over.</w:t>
      </w:r>
    </w:p>
    <w:p>
      <w:pPr>
        <w:spacing w:after="120"/>
      </w:pPr>
      <w:r>
        <w:rPr>
          <w:rFonts w:ascii="Calibri" w:cs="Calibri" w:eastAsia="Calibri" w:hAnsi="Calibri"/>
          <w:sz w:val="22"/>
          <w:szCs w:val="22"/>
        </w:rPr>
        <w:t xml:space="preserve">The ledger is currently strongest at the cumulative April 2020 to July 2024 level, where every component reconciles between two or more sources. Per-year resolution is partial: deaths and population estimates are available for every year, the IRS migration series spans 2018 to 2023, but birth counts are still being read from the Colorado Department of Public Health and Environment’s interactive dashboard rather than from a downloadable file. Federal-resident counts are anchored to a February 2025 snapshot for Fort Carson; comparable figures for the other four installations in the county have not yet been requested.</w:t>
      </w:r>
    </w:p>
    <w:p>
      <w:pPr>
        <w:pStyle w:val="Heading1"/>
        <w:spacing w:after="180" w:before="360"/>
      </w:pPr>
      <w:r>
        <w:rPr>
          <w:rFonts w:ascii="Calibri" w:cs="Calibri" w:eastAsia="Calibri" w:hAnsi="Calibri"/>
          <w:b/>
          <w:bCs/>
          <w:sz w:val="32"/>
          <w:szCs w:val="32"/>
        </w:rPr>
        <w:t xml:space="preserve">1. The headline numbers</w:t>
      </w:r>
    </w:p>
    <w:p>
      <w:pPr>
        <w:spacing w:after="120"/>
      </w:pPr>
      <w:r>
        <w:rPr>
          <w:rFonts w:ascii="Calibri" w:cs="Calibri" w:eastAsia="Calibri" w:hAnsi="Calibri"/>
          <w:sz w:val="22"/>
          <w:szCs w:val="22"/>
        </w:rPr>
        <w:t xml:space="preserve">Cumulative components of population change, April 2020 to July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2200"/>
        <w:gridCol w:w="1560"/>
      </w:tblGrid>
      <w:tr>
        <w:trPr>
          <w:tblHeader/>
        </w:trPr>
        <w:tc>
          <w:tcPr>
            <w:tcW w:type="dxa" w:w="34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tcPr>
          <w:p>
            <w:r>
              <w:rPr>
                <w:rFonts w:ascii="Calibri" w:cs="Calibri" w:eastAsia="Calibri" w:hAnsi="Calibri"/>
                <w:b/>
                <w:bCs/>
                <w:sz w:val="20"/>
                <w:szCs w:val="20"/>
              </w:rPr>
              <w:t xml:space="preserve">Component</w:t>
            </w:r>
          </w:p>
        </w:tc>
        <w:tc>
          <w:tcPr>
            <w:tcW w:type="dxa" w:w="22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tcPr>
          <w:p>
            <w:r>
              <w:rPr>
                <w:rFonts w:ascii="Calibri" w:cs="Calibri" w:eastAsia="Calibri" w:hAnsi="Calibri"/>
                <w:b/>
                <w:bCs/>
                <w:sz w:val="20"/>
                <w:szCs w:val="20"/>
              </w:rPr>
              <w:t xml:space="preserve">Cumulative value</w:t>
            </w:r>
          </w:p>
        </w:tc>
        <w:tc>
          <w:tcPr>
            <w:tcW w:type="dxa" w:w="22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tcPr>
          <w:p>
            <w:r>
              <w:rPr>
                <w:rFonts w:ascii="Calibri" w:cs="Calibri" w:eastAsia="Calibri" w:hAnsi="Calibri"/>
                <w:b/>
                <w:bCs/>
                <w:sz w:val="20"/>
                <w:szCs w:val="20"/>
              </w:rPr>
              <w:t xml:space="preserve">Annualized average</w:t>
            </w:r>
          </w:p>
        </w:tc>
        <w:tc>
          <w:tcPr>
            <w:tcW w:type="dxa" w:w="156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tcPr>
          <w:p>
            <w:r>
              <w:rPr>
                <w:rFonts w:ascii="Calibri" w:cs="Calibri" w:eastAsia="Calibri" w:hAnsi="Calibri"/>
                <w:b/>
                <w:bCs/>
                <w:sz w:val="20"/>
                <w:szCs w:val="20"/>
              </w:rPr>
              <w:t xml:space="preserve">Source</w:t>
            </w:r>
          </w:p>
        </w:tc>
      </w:tr>
      <w:tr>
        <w:tc>
          <w:tcPr>
            <w:tcW w:type="dxa" w:w="34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bCs/>
                <w:color w:val="000000"/>
                <w:sz w:val="20"/>
                <w:szCs w:val="20"/>
              </w:rPr>
              <w:t xml:space="preserve">Population, April 1, 2020</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Calibri" w:cs="Calibri" w:eastAsia="Calibri" w:hAnsi="Calibri"/>
                <w:b w:val="false"/>
                <w:bCs w:val="false"/>
                <w:color w:val="000000"/>
                <w:sz w:val="20"/>
                <w:szCs w:val="20"/>
              </w:rPr>
              <w:t xml:space="preserve">730,395</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Calibri" w:cs="Calibri" w:eastAsia="Calibri" w:hAnsi="Calibri"/>
                <w:b w:val="false"/>
                <w:bCs w:val="false"/>
                <w:color w:val="000000"/>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Decennial Census</w:t>
            </w:r>
          </w:p>
        </w:tc>
      </w:tr>
      <w:tr>
        <w:tc>
          <w:tcPr>
            <w:tcW w:type="dxa" w:w="34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bCs/>
                <w:color w:val="000000"/>
                <w:sz w:val="20"/>
                <w:szCs w:val="20"/>
              </w:rPr>
              <w:t xml:space="preserve">Population, July 1, 2024</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Calibri" w:cs="Calibri" w:eastAsia="Calibri" w:hAnsi="Calibri"/>
                <w:b w:val="false"/>
                <w:bCs w:val="false"/>
                <w:color w:val="000000"/>
                <w:sz w:val="20"/>
                <w:szCs w:val="20"/>
              </w:rPr>
              <w:t xml:space="preserve">752,892</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Calibri" w:cs="Calibri" w:eastAsia="Calibri" w:hAnsi="Calibri"/>
                <w:b w:val="false"/>
                <w:bCs w:val="false"/>
                <w:color w:val="000000"/>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SDO Vintage 2024</w:t>
            </w:r>
          </w:p>
        </w:tc>
      </w:tr>
      <w:tr>
        <w:tc>
          <w:tcPr>
            <w:tcW w:type="dxa" w:w="34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Total population change</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Calibri" w:cs="Calibri" w:eastAsia="Calibri" w:hAnsi="Calibri"/>
                <w:b w:val="false"/>
                <w:bCs w:val="false"/>
                <w:color w:val="000000"/>
                <w:sz w:val="20"/>
                <w:szCs w:val="20"/>
              </w:rPr>
              <w:t xml:space="preserve">+21,111</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Calibri" w:cs="Calibri" w:eastAsia="Calibri" w:hAnsi="Calibri"/>
                <w:b w:val="false"/>
                <w:bCs w:val="false"/>
                <w:color w:val="000000"/>
                <w:sz w:val="20"/>
                <w:szCs w:val="20"/>
              </w:rPr>
              <w:t xml:space="preserve">+4,967 / yr</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SDO</w:t>
            </w:r>
          </w:p>
        </w:tc>
      </w:tr>
      <w:tr>
        <w:tc>
          <w:tcPr>
            <w:tcW w:type="dxa" w:w="34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Births</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Calibri" w:cs="Calibri" w:eastAsia="Calibri" w:hAnsi="Calibri"/>
                <w:b w:val="false"/>
                <w:bCs w:val="false"/>
                <w:color w:val="0F6E56"/>
                <w:sz w:val="20"/>
                <w:szCs w:val="20"/>
              </w:rPr>
              <w:t xml:space="preserve">38,676</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Calibri" w:cs="Calibri" w:eastAsia="Calibri" w:hAnsi="Calibri"/>
                <w:b w:val="false"/>
                <w:bCs w:val="false"/>
                <w:color w:val="000000"/>
                <w:sz w:val="20"/>
                <w:szCs w:val="20"/>
              </w:rPr>
              <w:t xml:space="preserve">~9,100 / yr</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SDO / CDPHE</w:t>
            </w:r>
          </w:p>
        </w:tc>
      </w:tr>
      <w:tr>
        <w:tc>
          <w:tcPr>
            <w:tcW w:type="dxa" w:w="34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Deaths (county of residence)</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Calibri" w:cs="Calibri" w:eastAsia="Calibri" w:hAnsi="Calibri"/>
                <w:b w:val="false"/>
                <w:bCs w:val="false"/>
                <w:color w:val="A32D2D"/>
                <w:sz w:val="20"/>
                <w:szCs w:val="20"/>
              </w:rPr>
              <w:t xml:space="preserve">24,594</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Calibri" w:cs="Calibri" w:eastAsia="Calibri" w:hAnsi="Calibri"/>
                <w:b w:val="false"/>
                <w:bCs w:val="false"/>
                <w:color w:val="000000"/>
                <w:sz w:val="20"/>
                <w:szCs w:val="20"/>
              </w:rPr>
              <w:t xml:space="preserve">~5,790 / yr</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SDO / CDPHE</w:t>
            </w:r>
          </w:p>
        </w:tc>
      </w:tr>
      <w:tr>
        <w:tc>
          <w:tcPr>
            <w:tcW w:type="dxa" w:w="34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bCs/>
                <w:color w:val="000000"/>
                <w:sz w:val="20"/>
                <w:szCs w:val="20"/>
              </w:rPr>
              <w:t xml:space="preserve">Natural increase</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Calibri" w:cs="Calibri" w:eastAsia="Calibri" w:hAnsi="Calibri"/>
                <w:b/>
                <w:bCs/>
                <w:color w:val="000000"/>
                <w:sz w:val="20"/>
                <w:szCs w:val="20"/>
              </w:rPr>
              <w:t xml:space="preserve">+14,082</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Calibri" w:cs="Calibri" w:eastAsia="Calibri" w:hAnsi="Calibri"/>
                <w:b/>
                <w:bCs/>
                <w:color w:val="000000"/>
                <w:sz w:val="20"/>
                <w:szCs w:val="20"/>
              </w:rPr>
              <w:t xml:space="preserve">+3,313 / yr</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SDO</w:t>
            </w:r>
          </w:p>
        </w:tc>
      </w:tr>
      <w:tr>
        <w:tc>
          <w:tcPr>
            <w:tcW w:type="dxa" w:w="34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bCs/>
                <w:color w:val="000000"/>
                <w:sz w:val="20"/>
                <w:szCs w:val="20"/>
              </w:rPr>
              <w:t xml:space="preserve">Net migration</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Calibri" w:cs="Calibri" w:eastAsia="Calibri" w:hAnsi="Calibri"/>
                <w:b/>
                <w:bCs/>
                <w:color w:val="000000"/>
                <w:sz w:val="20"/>
                <w:szCs w:val="20"/>
              </w:rPr>
              <w:t xml:space="preserve">+7,029</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Calibri" w:cs="Calibri" w:eastAsia="Calibri" w:hAnsi="Calibri"/>
                <w:b/>
                <w:bCs/>
                <w:color w:val="000000"/>
                <w:sz w:val="20"/>
                <w:szCs w:val="20"/>
              </w:rPr>
              <w:t xml:space="preserve">+1,654 / yr</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SDO</w:t>
            </w:r>
          </w:p>
        </w:tc>
      </w:tr>
    </w:tbl>
    <w:p>
      <w:pPr>
        <w:spacing w:after="240" w:before="120"/>
      </w:pPr>
      <w:r>
        <w:rPr>
          <w:rFonts w:ascii="Calibri" w:cs="Calibri" w:eastAsia="Calibri" w:hAnsi="Calibri"/>
          <w:i/>
          <w:iCs/>
          <w:color w:val="666666"/>
          <w:sz w:val="20"/>
          <w:szCs w:val="20"/>
        </w:rPr>
        <w:t xml:space="preserve">All cumulative figures from the same source: State Demography Office Vintage 2024 components-of-change spreadsheet, prepared August 2025. The table reconciles internally: natural increase plus net migration equals total population change.</w:t>
      </w:r>
    </w:p>
    <w:p>
      <w:pPr>
        <w:pStyle w:val="Heading1"/>
        <w:spacing w:after="180" w:before="360"/>
      </w:pPr>
      <w:r>
        <w:rPr>
          <w:rFonts w:ascii="Calibri" w:cs="Calibri" w:eastAsia="Calibri" w:hAnsi="Calibri"/>
          <w:b/>
          <w:bCs/>
          <w:sz w:val="32"/>
          <w:szCs w:val="32"/>
        </w:rPr>
        <w:t xml:space="preserve">2. Why this ledger exists</w:t>
      </w:r>
    </w:p>
    <w:p>
      <w:pPr>
        <w:spacing w:after="120"/>
      </w:pPr>
      <w:r>
        <w:rPr>
          <w:rFonts w:ascii="Calibri" w:cs="Calibri" w:eastAsia="Calibri" w:hAnsi="Calibri"/>
          <w:sz w:val="22"/>
          <w:szCs w:val="22"/>
        </w:rPr>
        <w:t xml:space="preserve">Population estimates are unusual among administrative numbers in that they are simultaneously high-stakes and largely opaque. They determine how federal funds flow to states, how state funds flow to counties, how district lines are drawn, and how growth is forecast for transportation and utility planning. The numbers themselves are produced by demographers using methods that are publicly documented but rarely communicated, and reach the public mostly through summary press releases that present a single estimate without the underlying components.</w:t>
      </w:r>
    </w:p>
    <w:p>
      <w:pPr>
        <w:spacing w:after="120"/>
      </w:pPr>
      <w:r>
        <w:rPr>
          <w:rFonts w:ascii="Calibri" w:cs="Calibri" w:eastAsia="Calibri" w:hAnsi="Calibri"/>
          <w:sz w:val="22"/>
          <w:szCs w:val="22"/>
        </w:rPr>
        <w:t xml:space="preserve">For El Paso County specifically, three structural features make the standard estimate methodology harder than usual to interpret:</w:t>
      </w:r>
    </w:p>
    <w:p>
      <w:pPr>
        <w:pStyle w:val="ListParagraph"/>
        <w:numPr>
          <w:ilvl w:val="0"/>
          <w:numId w:val="2"/>
        </w:numPr>
        <w:spacing w:after="80"/>
      </w:pPr>
      <w:r>
        <w:rPr>
          <w:rFonts w:ascii="Calibri" w:cs="Calibri" w:eastAsia="Calibri" w:hAnsi="Calibri"/>
          <w:sz w:val="22"/>
          <w:szCs w:val="22"/>
        </w:rPr>
        <w:t xml:space="preserve">Five military installations sit inside the county. Active-duty service members rotate roughly every two to three years through Fort Carson, USAFA, Peterson, Schriever, and Cheyenne Mountain. Their families come and go with them. The Internal Revenue Service’s migration files, which Census Bureau methods rely on as one input, only count people who file federal income tax returns, and military residents whose addresses route through APO/FPO codes are categorized as foreign migrants regardless of where they actually live.</w:t>
      </w:r>
    </w:p>
    <w:p>
      <w:pPr>
        <w:pStyle w:val="ListParagraph"/>
        <w:numPr>
          <w:ilvl w:val="0"/>
          <w:numId w:val="2"/>
        </w:numPr>
        <w:spacing w:after="80"/>
      </w:pPr>
      <w:r>
        <w:rPr>
          <w:rFonts w:ascii="Calibri" w:cs="Calibri" w:eastAsia="Calibri" w:hAnsi="Calibri"/>
          <w:sz w:val="22"/>
          <w:szCs w:val="22"/>
        </w:rPr>
        <w:t xml:space="preserve">On-installation residents are systematically suppressed in CDPHE death-by-ZIP data. ZIPs 80840 (USAFA) and 80913 (Fort Carson) appear in the Decennial Census with a combined 13,993 residents in 2020, but their entries in the CDPHE 2024 ZIP-of-residence death file are blank — not zero, suppressed. The CDPHE published county total runs 111 deaths below the sum of visible ZIP entries even within El Paso, an internal inconsistency that has not been publicly explained.</w:t>
      </w:r>
    </w:p>
    <w:p>
      <w:pPr>
        <w:pStyle w:val="ListParagraph"/>
        <w:numPr>
          <w:ilvl w:val="0"/>
          <w:numId w:val="2"/>
        </w:numPr>
        <w:spacing w:after="80"/>
      </w:pPr>
      <w:r>
        <w:rPr>
          <w:rFonts w:ascii="Calibri" w:cs="Calibri" w:eastAsia="Calibri" w:hAnsi="Calibri"/>
          <w:sz w:val="22"/>
          <w:szCs w:val="22"/>
        </w:rPr>
        <w:t xml:space="preserve">Net migration is the residual in standard estimates. Demographers compute it as population change minus natural increase. The actual movement of people in and out of the county is observed, partially, through tax filings, Medicare records, school enrollment changes, and driver’s license updates, but those signals are blended together by the Census Bureau and the result published as a single number. There is no public per-county breakdown of how the migration estimate was assembled.</w:t>
      </w:r>
    </w:p>
    <w:p>
      <w:pPr>
        <w:spacing w:after="120"/>
      </w:pPr>
      <w:r>
        <w:rPr>
          <w:rFonts w:ascii="Calibri" w:cs="Calibri" w:eastAsia="Calibri" w:hAnsi="Calibri"/>
          <w:sz w:val="22"/>
          <w:szCs w:val="22"/>
        </w:rPr>
        <w:t xml:space="preserve">The ledger does not attempt to replace these methods. It presents what each independent source actually reports, side-by-side, and surfaces where they agree and where they don’t.</w:t>
      </w:r>
    </w:p>
    <w:p>
      <w:pPr>
        <w:pStyle w:val="Heading1"/>
        <w:spacing w:after="180" w:before="360"/>
      </w:pPr>
      <w:r>
        <w:rPr>
          <w:rFonts w:ascii="Calibri" w:cs="Calibri" w:eastAsia="Calibri" w:hAnsi="Calibri"/>
          <w:b/>
          <w:bCs/>
          <w:sz w:val="32"/>
          <w:szCs w:val="32"/>
        </w:rPr>
        <w:t xml:space="preserve">3.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1600"/>
        <w:gridCol w:w="1360"/>
      </w:tblGrid>
      <w:tr>
        <w:trPr>
          <w:tblHeader/>
        </w:trPr>
        <w:tc>
          <w:tcPr>
            <w:tcW w:type="dxa" w:w="24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tcPr>
          <w:p>
            <w:r>
              <w:rPr>
                <w:rFonts w:ascii="Calibri" w:cs="Calibri" w:eastAsia="Calibri" w:hAnsi="Calibri"/>
                <w:b/>
                <w:bCs/>
                <w:sz w:val="20"/>
                <w:szCs w:val="20"/>
              </w:rPr>
              <w:t xml:space="preserve">Dataset</w:t>
            </w:r>
          </w:p>
        </w:tc>
        <w:tc>
          <w:tcPr>
            <w:tcW w:type="dxa" w:w="40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tcPr>
          <w:p>
            <w:r>
              <w:rPr>
                <w:rFonts w:ascii="Calibri" w:cs="Calibri" w:eastAsia="Calibri" w:hAnsi="Calibri"/>
                <w:b/>
                <w:bCs/>
                <w:sz w:val="20"/>
                <w:szCs w:val="20"/>
              </w:rPr>
              <w:t xml:space="preserve">Source</w:t>
            </w:r>
          </w:p>
        </w:tc>
        <w:tc>
          <w:tcPr>
            <w:tcW w:type="dxa" w:w="16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tcPr>
          <w:p>
            <w:r>
              <w:rPr>
                <w:rFonts w:ascii="Calibri" w:cs="Calibri" w:eastAsia="Calibri" w:hAnsi="Calibri"/>
                <w:b/>
                <w:bCs/>
                <w:sz w:val="20"/>
                <w:szCs w:val="20"/>
              </w:rPr>
              <w:t xml:space="preserve">Coverage</w:t>
            </w:r>
          </w:p>
        </w:tc>
        <w:tc>
          <w:tcPr>
            <w:tcW w:type="dxa" w:w="136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tcPr>
          <w:p>
            <w:r>
              <w:rPr>
                <w:rFonts w:ascii="Calibri" w:cs="Calibri" w:eastAsia="Calibri" w:hAnsi="Calibri"/>
                <w:b/>
                <w:bCs/>
                <w:sz w:val="20"/>
                <w:szCs w:val="20"/>
              </w:rPr>
              <w:t xml:space="preserve">Status</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Decennial Census, ZCTA P1</w:t>
            </w:r>
          </w:p>
        </w:tc>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U.S. Census Bureau, 2020 Decennial enumeration</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Apr 1, 2020</w:t>
            </w:r>
          </w:p>
        </w:tc>
        <w:tc>
          <w:tcPr>
            <w:tcW w:type="dxa" w:w="13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F6E56"/>
                <w:sz w:val="20"/>
                <w:szCs w:val="20"/>
              </w:rPr>
              <w:t xml:space="preserve">obtained</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Census PEP</w:t>
            </w:r>
          </w:p>
        </w:tc>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Census Bureau Population Estimates Program (FRED COELPA0POP)</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2021-2025 annual</w:t>
            </w:r>
          </w:p>
        </w:tc>
        <w:tc>
          <w:tcPr>
            <w:tcW w:type="dxa" w:w="13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F6E56"/>
                <w:sz w:val="20"/>
                <w:szCs w:val="20"/>
              </w:rPr>
              <w:t xml:space="preserve">obtained</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SDO components of change</w:t>
            </w:r>
          </w:p>
        </w:tc>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Colorado State Demography Office Vintage 2024 cumulative spreadsheet, prepared August 2025</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Apr 2020 - Jul 2024</w:t>
            </w:r>
          </w:p>
        </w:tc>
        <w:tc>
          <w:tcPr>
            <w:tcW w:type="dxa" w:w="13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F6E56"/>
                <w:sz w:val="20"/>
                <w:szCs w:val="20"/>
              </w:rPr>
              <w:t xml:space="preserve">obtained</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CDPHE deaths by ZIP</w:t>
            </w:r>
          </w:p>
        </w:tc>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CDPHE Vital Statistics Program, ZIP-of-residence file</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2010-2025 (2025 prov.)</w:t>
            </w:r>
          </w:p>
        </w:tc>
        <w:tc>
          <w:tcPr>
            <w:tcW w:type="dxa" w:w="13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F6E56"/>
                <w:sz w:val="20"/>
                <w:szCs w:val="20"/>
              </w:rPr>
              <w:t xml:space="preserve">obtained</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CDPHE published county deaths</w:t>
            </w:r>
          </w:p>
        </w:tc>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CDPHE Vital Statistics, county-of-residence published total</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2024 (others pending)</w:t>
            </w:r>
          </w:p>
        </w:tc>
        <w:tc>
          <w:tcPr>
            <w:tcW w:type="dxa" w:w="13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854F0B"/>
                <w:sz w:val="20"/>
                <w:szCs w:val="20"/>
              </w:rPr>
              <w:t xml:space="preserve">partial</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CDPHE births</w:t>
            </w:r>
          </w:p>
        </w:tc>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CDPHE Vital Statistics, COHID Tableau dashboard</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2007-2024</w:t>
            </w:r>
          </w:p>
        </w:tc>
        <w:tc>
          <w:tcPr>
            <w:tcW w:type="dxa" w:w="13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854F0B"/>
                <w:sz w:val="20"/>
                <w:szCs w:val="20"/>
              </w:rPr>
              <w:t xml:space="preserve">visual reading</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IRS SOI migration</w:t>
            </w:r>
          </w:p>
        </w:tc>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IRS Statistics of Income, county-to-county migration files</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2018-19 to 2022-23</w:t>
            </w:r>
          </w:p>
        </w:tc>
        <w:tc>
          <w:tcPr>
            <w:tcW w:type="dxa" w:w="13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F6E56"/>
                <w:sz w:val="20"/>
                <w:szCs w:val="20"/>
              </w:rPr>
              <w:t xml:space="preserve">obtained</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Fort Carson Fact Sheet</w:t>
            </w:r>
          </w:p>
        </w:tc>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Fort Carson Public Affairs, ASIP Common Operating Picture Report</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Feb 2025</w:t>
            </w:r>
          </w:p>
        </w:tc>
        <w:tc>
          <w:tcPr>
            <w:tcW w:type="dxa" w:w="13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F6E56"/>
                <w:sz w:val="20"/>
                <w:szCs w:val="20"/>
              </w:rPr>
              <w:t xml:space="preserve">obtained</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USAFA / Peterson / Schriever / CMSFS</w:t>
            </w:r>
          </w:p>
        </w:tc>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Air Force / Space Force Garrison Public Affairs</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w:t>
            </w:r>
          </w:p>
        </w:tc>
        <w:tc>
          <w:tcPr>
            <w:tcW w:type="dxa" w:w="13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A32D2D"/>
                <w:sz w:val="20"/>
                <w:szCs w:val="20"/>
              </w:rPr>
              <w:t xml:space="preserve">not yet requested</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Coroner Annual Report 2024</w:t>
            </w:r>
          </w:p>
        </w:tc>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El Paso County Coroner</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2024</w:t>
            </w:r>
          </w:p>
        </w:tc>
        <w:tc>
          <w:tcPr>
            <w:tcW w:type="dxa" w:w="13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F6E56"/>
                <w:sz w:val="20"/>
                <w:szCs w:val="20"/>
              </w:rPr>
              <w:t xml:space="preserve">obtained</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CSU water accounts</w:t>
            </w:r>
          </w:p>
        </w:tc>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Colorado Springs Utilities, CORA W001936-041726</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2020-2025 monthly</w:t>
            </w:r>
          </w:p>
        </w:tc>
        <w:tc>
          <w:tcPr>
            <w:tcW w:type="dxa" w:w="13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F6E56"/>
                <w:sz w:val="20"/>
                <w:szCs w:val="20"/>
              </w:rPr>
              <w:t xml:space="preserve">obtained</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El Paso parcel data</w:t>
            </w:r>
          </w:p>
        </w:tc>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El Paso County Assessor, public bulk download (April 2026)</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current</w:t>
            </w:r>
          </w:p>
        </w:tc>
        <w:tc>
          <w:tcPr>
            <w:tcW w:type="dxa" w:w="13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854F0B"/>
                <w:sz w:val="20"/>
                <w:szCs w:val="20"/>
              </w:rPr>
              <w:t xml:space="preserve">obtained, not aggregated</w:t>
            </w:r>
          </w:p>
        </w:tc>
      </w:tr>
    </w:tbl>
    <w:p>
      <w:pPr>
        <w:pStyle w:val="Heading1"/>
        <w:spacing w:after="180" w:before="360"/>
      </w:pPr>
      <w:r>
        <w:rPr>
          <w:rFonts w:ascii="Calibri" w:cs="Calibri" w:eastAsia="Calibri" w:hAnsi="Calibri"/>
          <w:b/>
          <w:bCs/>
          <w:sz w:val="32"/>
          <w:szCs w:val="32"/>
        </w:rPr>
        <w:t xml:space="preserve">4. Cross-validation: deaths</w:t>
      </w:r>
    </w:p>
    <w:p>
      <w:pPr>
        <w:spacing w:after="120"/>
      </w:pPr>
      <w:r>
        <w:rPr>
          <w:rFonts w:ascii="Calibri" w:cs="Calibri" w:eastAsia="Calibri" w:hAnsi="Calibri"/>
          <w:sz w:val="22"/>
          <w:szCs w:val="22"/>
        </w:rPr>
        <w:t xml:space="preserve">Deaths are the most heavily cross-validated component in the ledger because three independent sources report county-level totals.</w:t>
      </w:r>
    </w:p>
    <w:p>
      <w:pPr>
        <w:spacing w:after="120"/>
      </w:pPr>
      <w:r>
        <w:rPr>
          <w:rFonts w:ascii="Calibri" w:cs="Calibri" w:eastAsia="Calibri" w:hAnsi="Calibri"/>
          <w:sz w:val="22"/>
          <w:szCs w:val="22"/>
        </w:rPr>
        <w:t xml:space="preserve">The State Demography Office Vintage 2024 spreadsheet reports 24,594 deaths in El Paso County between April 2020 and July 2024, derived from CDPHE Vital Statistics records of county-of-residence deaths. CDPHE’s ZIP-of-residence file reports the following annual totals for El Paso County ZIPs:</w:t>
      </w:r>
    </w:p>
    <w:p>
      <w:pPr>
        <w:pStyle w:val="ListParagraph"/>
        <w:numPr>
          <w:ilvl w:val="0"/>
          <w:numId w:val="2"/>
        </w:numPr>
        <w:spacing w:after="80"/>
      </w:pPr>
      <w:r>
        <w:rPr>
          <w:rFonts w:ascii="Calibri" w:cs="Calibri" w:eastAsia="Calibri" w:hAnsi="Calibri"/>
          <w:sz w:val="22"/>
          <w:szCs w:val="22"/>
        </w:rPr>
        <w:t xml:space="preserve">2020: 5,939</w:t>
      </w:r>
    </w:p>
    <w:p>
      <w:pPr>
        <w:pStyle w:val="ListParagraph"/>
        <w:numPr>
          <w:ilvl w:val="0"/>
          <w:numId w:val="2"/>
        </w:numPr>
        <w:spacing w:after="80"/>
      </w:pPr>
      <w:r>
        <w:rPr>
          <w:rFonts w:ascii="Calibri" w:cs="Calibri" w:eastAsia="Calibri" w:hAnsi="Calibri"/>
          <w:sz w:val="22"/>
          <w:szCs w:val="22"/>
        </w:rPr>
        <w:t xml:space="preserve">2021: 6,226</w:t>
      </w:r>
    </w:p>
    <w:p>
      <w:pPr>
        <w:pStyle w:val="ListParagraph"/>
        <w:numPr>
          <w:ilvl w:val="0"/>
          <w:numId w:val="2"/>
        </w:numPr>
        <w:spacing w:after="80"/>
      </w:pPr>
      <w:r>
        <w:rPr>
          <w:rFonts w:ascii="Calibri" w:cs="Calibri" w:eastAsia="Calibri" w:hAnsi="Calibri"/>
          <w:sz w:val="22"/>
          <w:szCs w:val="22"/>
        </w:rPr>
        <w:t xml:space="preserve">2022: 5,870</w:t>
      </w:r>
    </w:p>
    <w:p>
      <w:pPr>
        <w:pStyle w:val="ListParagraph"/>
        <w:numPr>
          <w:ilvl w:val="0"/>
          <w:numId w:val="2"/>
        </w:numPr>
        <w:spacing w:after="80"/>
      </w:pPr>
      <w:r>
        <w:rPr>
          <w:rFonts w:ascii="Calibri" w:cs="Calibri" w:eastAsia="Calibri" w:hAnsi="Calibri"/>
          <w:sz w:val="22"/>
          <w:szCs w:val="22"/>
        </w:rPr>
        <w:t xml:space="preserve">2023: 5,590</w:t>
      </w:r>
    </w:p>
    <w:p>
      <w:pPr>
        <w:pStyle w:val="ListParagraph"/>
        <w:numPr>
          <w:ilvl w:val="0"/>
          <w:numId w:val="2"/>
        </w:numPr>
        <w:spacing w:after="80"/>
      </w:pPr>
      <w:r>
        <w:rPr>
          <w:rFonts w:ascii="Calibri" w:cs="Calibri" w:eastAsia="Calibri" w:hAnsi="Calibri"/>
          <w:sz w:val="22"/>
          <w:szCs w:val="22"/>
        </w:rPr>
        <w:t xml:space="preserve">2024: 5,627</w:t>
      </w:r>
    </w:p>
    <w:p>
      <w:pPr>
        <w:pStyle w:val="ListParagraph"/>
        <w:numPr>
          <w:ilvl w:val="0"/>
          <w:numId w:val="2"/>
        </w:numPr>
        <w:spacing w:after="80"/>
      </w:pPr>
      <w:r>
        <w:rPr>
          <w:rFonts w:ascii="Calibri" w:cs="Calibri" w:eastAsia="Calibri" w:hAnsi="Calibri"/>
          <w:sz w:val="22"/>
          <w:szCs w:val="22"/>
        </w:rPr>
        <w:t xml:space="preserve">2025: 5,812 (provisional)</w:t>
      </w:r>
    </w:p>
    <w:p>
      <w:pPr>
        <w:spacing w:after="120"/>
      </w:pPr>
      <w:r>
        <w:rPr>
          <w:rFonts w:ascii="Calibri" w:cs="Calibri" w:eastAsia="Calibri" w:hAnsi="Calibri"/>
          <w:sz w:val="22"/>
          <w:szCs w:val="22"/>
        </w:rPr>
        <w:t xml:space="preserve">Proportioning the ZIP-sum to the SDO date range (9 months of 2020, full 2021-2023, 6 months of 2024) yields 24,954 deaths — 360 more than the SDO total. The discrepancy is consistent with cross-county ZIP boundaries: ZIP codes such as 80132 (Monument) and 80908 (Black Forest) cross into Douglas, Teller, and Elbert counties, so a small share of deaths counted in the El Paso ZIP-sum are actually county-of-residence deaths in adjacent counties. Two independent administrative datasets, when properly aligned, agree to within 1.5 percent.</w:t>
      </w:r>
    </w:p>
    <w:p>
      <w:pPr>
        <w:spacing w:after="120"/>
      </w:pPr>
      <w:r>
        <w:rPr>
          <w:rFonts w:ascii="Calibri" w:cs="Calibri" w:eastAsia="Calibri" w:hAnsi="Calibri"/>
          <w:sz w:val="22"/>
          <w:szCs w:val="22"/>
        </w:rPr>
        <w:t xml:space="preserve">CDPHE publishes one further figure: the county-of-residence published total for 2024 is 5,516 deaths, which is 111 below the 5,627 ZIP-sum for that year. CDPHE has not publicly explained the 111-death discrepancy. It is in the same direction (ZIP-sum exceeds published county) and roughly the same magnitude as the SDO comparison, suggesting the same cross-county-ZIP geometry is responsible. A CORA request to obtain the underlying county-of-residence file with on-installation data unsuppressed has been submitted to CDPHE Vital Records.</w:t>
      </w:r>
    </w:p>
    <w:p>
      <w:pPr>
        <w:pStyle w:val="Heading1"/>
        <w:spacing w:after="180" w:before="360"/>
      </w:pPr>
      <w:r>
        <w:rPr>
          <w:rFonts w:ascii="Calibri" w:cs="Calibri" w:eastAsia="Calibri" w:hAnsi="Calibri"/>
          <w:b/>
          <w:bCs/>
          <w:sz w:val="32"/>
          <w:szCs w:val="32"/>
        </w:rPr>
        <w:t xml:space="preserve">5. Cross-validation: births</w:t>
      </w:r>
    </w:p>
    <w:p>
      <w:pPr>
        <w:spacing w:after="120"/>
      </w:pPr>
      <w:r>
        <w:rPr>
          <w:rFonts w:ascii="Calibri" w:cs="Calibri" w:eastAsia="Calibri" w:hAnsi="Calibri"/>
          <w:sz w:val="22"/>
          <w:szCs w:val="22"/>
        </w:rPr>
        <w:t xml:space="preserve">Births are the least documented component in this ledger because CDPHE publishes county birth counts only through the COHID Tableau dashboard at cohealthviz.dphe.state.co.us. The dashboard requires a browser to render and does not produce a downloadable annual file. Visual reading of the dashboard for El Paso County indicates roughly 9,000 births per year for the 2020 to 2024 period.</w:t>
      </w:r>
    </w:p>
    <w:p>
      <w:pPr>
        <w:spacing w:after="120"/>
      </w:pPr>
      <w:r>
        <w:rPr>
          <w:rFonts w:ascii="Calibri" w:cs="Calibri" w:eastAsia="Calibri" w:hAnsi="Calibri"/>
          <w:sz w:val="22"/>
          <w:szCs w:val="22"/>
        </w:rPr>
        <w:t xml:space="preserve">The SDO Vintage 2024 spreadsheet reports 38,676 births cumulative for El Paso County between April 2020 and July 2024, which annualizes to 9,100 per year over the 4.25-year window. This is consistent with the dashboard reading. A second independent source, the Colorado Springs Gazette, reported in October 2023 that El Paso County had 9,267 births in the year ending July 1, 2022, attributed directly to the SDO. Three sources, all referencing CDPHE underlying data through different processing layers, converge on roughly 9,000 to 9,300 annual births.</w:t>
      </w:r>
    </w:p>
    <w:p>
      <w:pPr>
        <w:spacing w:after="120"/>
      </w:pPr>
      <w:r>
        <w:rPr>
          <w:rFonts w:ascii="Calibri" w:cs="Calibri" w:eastAsia="Calibri" w:hAnsi="Calibri"/>
          <w:sz w:val="22"/>
          <w:szCs w:val="22"/>
        </w:rPr>
        <w:t xml:space="preserve">Per-year birth resolution at the published-source level still requires either a CDPHE data request through the cdphe.healthstatistics@state.co.us channel or a structured read of the COHID dashboard. Both options are open.</w:t>
      </w:r>
    </w:p>
    <w:p>
      <w:pPr>
        <w:pStyle w:val="Heading1"/>
        <w:spacing w:after="180" w:before="360"/>
      </w:pPr>
      <w:r>
        <w:rPr>
          <w:rFonts w:ascii="Calibri" w:cs="Calibri" w:eastAsia="Calibri" w:hAnsi="Calibri"/>
          <w:b/>
          <w:bCs/>
          <w:sz w:val="32"/>
          <w:szCs w:val="32"/>
        </w:rPr>
        <w:t xml:space="preserve">6. Cross-validation: migration</w:t>
      </w:r>
    </w:p>
    <w:p>
      <w:pPr>
        <w:spacing w:after="120"/>
      </w:pPr>
      <w:r>
        <w:rPr>
          <w:rFonts w:ascii="Calibri" w:cs="Calibri" w:eastAsia="Calibri" w:hAnsi="Calibri"/>
          <w:sz w:val="22"/>
          <w:szCs w:val="22"/>
        </w:rPr>
        <w:t xml:space="preserve">Migration is where the methodological gap between sources is largest and most informative. Two structurally different datasets cover the period:</w:t>
      </w:r>
    </w:p>
    <w:p>
      <w:pPr>
        <w:pStyle w:val="Heading2"/>
        <w:spacing w:after="140" w:before="280"/>
      </w:pPr>
      <w:r>
        <w:rPr>
          <w:rFonts w:ascii="Calibri" w:cs="Calibri" w:eastAsia="Calibri" w:hAnsi="Calibri"/>
          <w:b/>
          <w:bCs/>
          <w:sz w:val="26"/>
          <w:szCs w:val="26"/>
        </w:rPr>
        <w:t xml:space="preserve">6.1. State Demography Office estimate</w:t>
      </w:r>
    </w:p>
    <w:p>
      <w:pPr>
        <w:spacing w:after="120"/>
      </w:pPr>
      <w:r>
        <w:rPr>
          <w:rFonts w:ascii="Calibri" w:cs="Calibri" w:eastAsia="Calibri" w:hAnsi="Calibri"/>
          <w:sz w:val="22"/>
          <w:szCs w:val="22"/>
        </w:rPr>
        <w:t xml:space="preserve">SDO reports net migration of +7,029 individuals for El Paso County between April 2020 and July 2024. This figure is computed as the residual of population change minus natural increase, with adjustments using utility connections, school enrollment changes, driver’s license updates, and group-quarters tracking. It includes everyone the population estimate considers a resident: children, retirees, working-age adults, undocumented residents, and military members regardless of filing status. Annualized: approximately 1,654 net migrants per year.</w:t>
      </w:r>
    </w:p>
    <w:p>
      <w:pPr>
        <w:pStyle w:val="Heading2"/>
        <w:spacing w:after="140" w:before="280"/>
      </w:pPr>
      <w:r>
        <w:rPr>
          <w:rFonts w:ascii="Calibri" w:cs="Calibri" w:eastAsia="Calibri" w:hAnsi="Calibri"/>
          <w:b/>
          <w:bCs/>
          <w:sz w:val="26"/>
          <w:szCs w:val="26"/>
        </w:rPr>
        <w:t xml:space="preserve">6.2. IRS Statistics of Income migration files</w:t>
      </w:r>
    </w:p>
    <w:p>
      <w:pPr>
        <w:spacing w:after="120"/>
      </w:pPr>
      <w:r>
        <w:rPr>
          <w:rFonts w:ascii="Calibri" w:cs="Calibri" w:eastAsia="Calibri" w:hAnsi="Calibri"/>
          <w:sz w:val="22"/>
          <w:szCs w:val="22"/>
        </w:rPr>
        <w:t xml:space="preserve">The IRS produces an independent migration estimate built on year-over-year matching of federal income tax returns by Taxpayer Identification Number. Five vintages cover the same period: 2018-19, 2019-20, 2020-21, 2021-22, and 2022-23. Each vintage records inflow, outflow, and non-migrant counts for every county in the United States, broken out by source/destination county and by the size of the flows.</w:t>
      </w:r>
    </w:p>
    <w:p>
      <w:pPr>
        <w:spacing w:after="120"/>
      </w:pPr>
      <w:r>
        <w:rPr>
          <w:rFonts w:ascii="Calibri" w:cs="Calibri" w:eastAsia="Calibri" w:hAnsi="Calibri"/>
          <w:sz w:val="22"/>
          <w:szCs w:val="22"/>
        </w:rPr>
        <w:t xml:space="preserve">Five-year IRS migration history for El Paso County: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1280"/>
        <w:gridCol w:w="1280"/>
        <w:gridCol w:w="1280"/>
        <w:gridCol w:w="1280"/>
        <w:gridCol w:w="1280"/>
      </w:tblGrid>
      <w:tr>
        <w:trPr>
          <w:tblHeader/>
        </w:trPr>
        <w:tc>
          <w:tcPr>
            <w:tcW w:type="dxa" w:w="296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tcPr>
          <w:p>
            <w:r>
              <w:rPr>
                <w:rFonts w:ascii="Calibri" w:cs="Calibri" w:eastAsia="Calibri" w:hAnsi="Calibri"/>
                <w:b/>
                <w:bCs/>
                <w:sz w:val="20"/>
                <w:szCs w:val="20"/>
              </w:rPr>
              <w:t xml:space="preserve">Vintage</w:t>
            </w:r>
          </w:p>
        </w:tc>
        <w:tc>
          <w:tcPr>
            <w:tcW w:type="dxa" w:w="128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tcPr>
          <w:p>
            <w:r>
              <w:rPr>
                <w:rFonts w:ascii="Calibri" w:cs="Calibri" w:eastAsia="Calibri" w:hAnsi="Calibri"/>
                <w:b/>
                <w:bCs/>
                <w:sz w:val="20"/>
                <w:szCs w:val="20"/>
              </w:rPr>
              <w:t xml:space="preserve">2018-19</w:t>
            </w:r>
          </w:p>
        </w:tc>
        <w:tc>
          <w:tcPr>
            <w:tcW w:type="dxa" w:w="128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tcPr>
          <w:p>
            <w:r>
              <w:rPr>
                <w:rFonts w:ascii="Calibri" w:cs="Calibri" w:eastAsia="Calibri" w:hAnsi="Calibri"/>
                <w:b/>
                <w:bCs/>
                <w:sz w:val="20"/>
                <w:szCs w:val="20"/>
              </w:rPr>
              <w:t xml:space="preserve">2019-20</w:t>
            </w:r>
          </w:p>
        </w:tc>
        <w:tc>
          <w:tcPr>
            <w:tcW w:type="dxa" w:w="128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tcPr>
          <w:p>
            <w:r>
              <w:rPr>
                <w:rFonts w:ascii="Calibri" w:cs="Calibri" w:eastAsia="Calibri" w:hAnsi="Calibri"/>
                <w:b/>
                <w:bCs/>
                <w:sz w:val="20"/>
                <w:szCs w:val="20"/>
              </w:rPr>
              <w:t xml:space="preserve">2020-21</w:t>
            </w:r>
          </w:p>
        </w:tc>
        <w:tc>
          <w:tcPr>
            <w:tcW w:type="dxa" w:w="128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tcPr>
          <w:p>
            <w:r>
              <w:rPr>
                <w:rFonts w:ascii="Calibri" w:cs="Calibri" w:eastAsia="Calibri" w:hAnsi="Calibri"/>
                <w:b/>
                <w:bCs/>
                <w:sz w:val="20"/>
                <w:szCs w:val="20"/>
              </w:rPr>
              <w:t xml:space="preserve">2021-22</w:t>
            </w:r>
          </w:p>
        </w:tc>
        <w:tc>
          <w:tcPr>
            <w:tcW w:type="dxa" w:w="128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tcPr>
          <w:p>
            <w:r>
              <w:rPr>
                <w:rFonts w:ascii="Calibri" w:cs="Calibri" w:eastAsia="Calibri" w:hAnsi="Calibri"/>
                <w:b/>
                <w:bCs/>
                <w:sz w:val="20"/>
                <w:szCs w:val="20"/>
              </w:rPr>
              <w:t xml:space="preserve">2022-23</w:t>
            </w:r>
          </w:p>
        </w:tc>
      </w:tr>
      <w:tr>
        <w:tc>
          <w:tcPr>
            <w:tcW w:type="dxa" w:w="29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Inflow individuals</w:t>
            </w:r>
          </w:p>
        </w:tc>
        <w:tc>
          <w:tcPr>
            <w:tcW w:type="dxa" w:w="12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Calibri" w:cs="Calibri" w:eastAsia="Calibri" w:hAnsi="Calibri"/>
                <w:b w:val="false"/>
                <w:bCs w:val="false"/>
                <w:color w:val="000000"/>
                <w:sz w:val="20"/>
                <w:szCs w:val="20"/>
              </w:rPr>
              <w:t xml:space="preserve">51,251</w:t>
            </w:r>
          </w:p>
        </w:tc>
        <w:tc>
          <w:tcPr>
            <w:tcW w:type="dxa" w:w="12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Calibri" w:cs="Calibri" w:eastAsia="Calibri" w:hAnsi="Calibri"/>
                <w:b w:val="false"/>
                <w:bCs w:val="false"/>
                <w:color w:val="000000"/>
                <w:sz w:val="20"/>
                <w:szCs w:val="20"/>
              </w:rPr>
              <w:t xml:space="preserve">57,246</w:t>
            </w:r>
          </w:p>
        </w:tc>
        <w:tc>
          <w:tcPr>
            <w:tcW w:type="dxa" w:w="1280"/>
            <w:tcBorders>
              <w:top w:val="single" w:color="CCCCCC" w:sz="1"/>
              <w:left w:val="single" w:color="CCCCCC" w:sz="1"/>
              <w:bottom w:val="single" w:color="CCCCCC" w:sz="1"/>
              <w:right w:val="single" w:color="CCCCCC" w:sz="1"/>
            </w:tcBorders>
            <w:shd w:fill="FBEAEA" w:val="clear"/>
            <w:tcMar>
              <w:top w:type="dxa" w:w="80"/>
              <w:left w:type="dxa" w:w="140"/>
              <w:bottom w:type="dxa" w:w="80"/>
              <w:right w:type="dxa" w:w="140"/>
            </w:tcMar>
          </w:tcPr>
          <w:p>
            <w:pPr>
              <w:jc w:val="right"/>
            </w:pPr>
            <w:r>
              <w:rPr>
                <w:rFonts w:ascii="Calibri" w:cs="Calibri" w:eastAsia="Calibri" w:hAnsi="Calibri"/>
                <w:b w:val="false"/>
                <w:bCs w:val="false"/>
                <w:color w:val="000000"/>
                <w:sz w:val="20"/>
                <w:szCs w:val="20"/>
              </w:rPr>
              <w:t xml:space="preserve">54,492</w:t>
            </w:r>
          </w:p>
        </w:tc>
        <w:tc>
          <w:tcPr>
            <w:tcW w:type="dxa" w:w="12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Calibri" w:cs="Calibri" w:eastAsia="Calibri" w:hAnsi="Calibri"/>
                <w:b w:val="false"/>
                <w:bCs w:val="false"/>
                <w:color w:val="000000"/>
                <w:sz w:val="20"/>
                <w:szCs w:val="20"/>
              </w:rPr>
              <w:t xml:space="preserve">54,685</w:t>
            </w:r>
          </w:p>
        </w:tc>
        <w:tc>
          <w:tcPr>
            <w:tcW w:type="dxa" w:w="12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Calibri" w:cs="Calibri" w:eastAsia="Calibri" w:hAnsi="Calibri"/>
                <w:b w:val="false"/>
                <w:bCs w:val="false"/>
                <w:color w:val="000000"/>
                <w:sz w:val="20"/>
                <w:szCs w:val="20"/>
              </w:rPr>
              <w:t xml:space="preserve">51,130</w:t>
            </w:r>
          </w:p>
        </w:tc>
      </w:tr>
      <w:tr>
        <w:tc>
          <w:tcPr>
            <w:tcW w:type="dxa" w:w="29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Outflow individuals</w:t>
            </w:r>
          </w:p>
        </w:tc>
        <w:tc>
          <w:tcPr>
            <w:tcW w:type="dxa" w:w="12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Calibri" w:cs="Calibri" w:eastAsia="Calibri" w:hAnsi="Calibri"/>
                <w:b w:val="false"/>
                <w:bCs w:val="false"/>
                <w:color w:val="000000"/>
                <w:sz w:val="20"/>
                <w:szCs w:val="20"/>
              </w:rPr>
              <w:t xml:space="preserve">48,240</w:t>
            </w:r>
          </w:p>
        </w:tc>
        <w:tc>
          <w:tcPr>
            <w:tcW w:type="dxa" w:w="12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Calibri" w:cs="Calibri" w:eastAsia="Calibri" w:hAnsi="Calibri"/>
                <w:b w:val="false"/>
                <w:bCs w:val="false"/>
                <w:color w:val="000000"/>
                <w:sz w:val="20"/>
                <w:szCs w:val="20"/>
              </w:rPr>
              <w:t xml:space="preserve">54,594</w:t>
            </w:r>
          </w:p>
        </w:tc>
        <w:tc>
          <w:tcPr>
            <w:tcW w:type="dxa" w:w="1280"/>
            <w:tcBorders>
              <w:top w:val="single" w:color="CCCCCC" w:sz="1"/>
              <w:left w:val="single" w:color="CCCCCC" w:sz="1"/>
              <w:bottom w:val="single" w:color="CCCCCC" w:sz="1"/>
              <w:right w:val="single" w:color="CCCCCC" w:sz="1"/>
            </w:tcBorders>
            <w:shd w:fill="FBEAEA" w:val="clear"/>
            <w:tcMar>
              <w:top w:type="dxa" w:w="80"/>
              <w:left w:type="dxa" w:w="140"/>
              <w:bottom w:type="dxa" w:w="80"/>
              <w:right w:type="dxa" w:w="140"/>
            </w:tcMar>
          </w:tcPr>
          <w:p>
            <w:pPr>
              <w:jc w:val="right"/>
            </w:pPr>
            <w:r>
              <w:rPr>
                <w:rFonts w:ascii="Calibri" w:cs="Calibri" w:eastAsia="Calibri" w:hAnsi="Calibri"/>
                <w:b w:val="false"/>
                <w:bCs w:val="false"/>
                <w:color w:val="000000"/>
                <w:sz w:val="20"/>
                <w:szCs w:val="20"/>
              </w:rPr>
              <w:t xml:space="preserve">55,462</w:t>
            </w:r>
          </w:p>
        </w:tc>
        <w:tc>
          <w:tcPr>
            <w:tcW w:type="dxa" w:w="12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Calibri" w:cs="Calibri" w:eastAsia="Calibri" w:hAnsi="Calibri"/>
                <w:b w:val="false"/>
                <w:bCs w:val="false"/>
                <w:color w:val="000000"/>
                <w:sz w:val="20"/>
                <w:szCs w:val="20"/>
              </w:rPr>
              <w:t xml:space="preserve">53,861</w:t>
            </w:r>
          </w:p>
        </w:tc>
        <w:tc>
          <w:tcPr>
            <w:tcW w:type="dxa" w:w="12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Calibri" w:cs="Calibri" w:eastAsia="Calibri" w:hAnsi="Calibri"/>
                <w:b w:val="false"/>
                <w:bCs w:val="false"/>
                <w:color w:val="000000"/>
                <w:sz w:val="20"/>
                <w:szCs w:val="20"/>
              </w:rPr>
              <w:t xml:space="preserve">50,722</w:t>
            </w:r>
          </w:p>
        </w:tc>
      </w:tr>
      <w:tr>
        <w:tc>
          <w:tcPr>
            <w:tcW w:type="dxa" w:w="29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bCs/>
                <w:color w:val="000000"/>
                <w:sz w:val="20"/>
                <w:szCs w:val="20"/>
              </w:rPr>
              <w:t xml:space="preserve">Net migration</w:t>
            </w:r>
          </w:p>
        </w:tc>
        <w:tc>
          <w:tcPr>
            <w:tcW w:type="dxa" w:w="12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Calibri" w:cs="Calibri" w:eastAsia="Calibri" w:hAnsi="Calibri"/>
                <w:b/>
                <w:bCs/>
                <w:color w:val="0F6E56"/>
                <w:sz w:val="20"/>
                <w:szCs w:val="20"/>
              </w:rPr>
              <w:t xml:space="preserve">+3,011</w:t>
            </w:r>
          </w:p>
        </w:tc>
        <w:tc>
          <w:tcPr>
            <w:tcW w:type="dxa" w:w="12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Calibri" w:cs="Calibri" w:eastAsia="Calibri" w:hAnsi="Calibri"/>
                <w:b/>
                <w:bCs/>
                <w:color w:val="0F6E56"/>
                <w:sz w:val="20"/>
                <w:szCs w:val="20"/>
              </w:rPr>
              <w:t xml:space="preserve">+2,652</w:t>
            </w:r>
          </w:p>
        </w:tc>
        <w:tc>
          <w:tcPr>
            <w:tcW w:type="dxa" w:w="1280"/>
            <w:tcBorders>
              <w:top w:val="single" w:color="CCCCCC" w:sz="1"/>
              <w:left w:val="single" w:color="CCCCCC" w:sz="1"/>
              <w:bottom w:val="single" w:color="CCCCCC" w:sz="1"/>
              <w:right w:val="single" w:color="CCCCCC" w:sz="1"/>
            </w:tcBorders>
            <w:shd w:fill="FBEAEA" w:val="clear"/>
            <w:tcMar>
              <w:top w:type="dxa" w:w="80"/>
              <w:left w:type="dxa" w:w="140"/>
              <w:bottom w:type="dxa" w:w="80"/>
              <w:right w:type="dxa" w:w="140"/>
            </w:tcMar>
          </w:tcPr>
          <w:p>
            <w:pPr>
              <w:jc w:val="right"/>
            </w:pPr>
            <w:r>
              <w:rPr>
                <w:rFonts w:ascii="Calibri" w:cs="Calibri" w:eastAsia="Calibri" w:hAnsi="Calibri"/>
                <w:b/>
                <w:bCs/>
                <w:color w:val="A32D2D"/>
                <w:sz w:val="20"/>
                <w:szCs w:val="20"/>
              </w:rPr>
              <w:t xml:space="preserve">-970</w:t>
            </w:r>
          </w:p>
        </w:tc>
        <w:tc>
          <w:tcPr>
            <w:tcW w:type="dxa" w:w="12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Calibri" w:cs="Calibri" w:eastAsia="Calibri" w:hAnsi="Calibri"/>
                <w:b/>
                <w:bCs/>
                <w:color w:val="0F6E56"/>
                <w:sz w:val="20"/>
                <w:szCs w:val="20"/>
              </w:rPr>
              <w:t xml:space="preserve">+824</w:t>
            </w:r>
          </w:p>
        </w:tc>
        <w:tc>
          <w:tcPr>
            <w:tcW w:type="dxa" w:w="12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Calibri" w:cs="Calibri" w:eastAsia="Calibri" w:hAnsi="Calibri"/>
                <w:b/>
                <w:bCs/>
                <w:color w:val="0F6E56"/>
                <w:sz w:val="20"/>
                <w:szCs w:val="20"/>
              </w:rPr>
              <w:t xml:space="preserve">+408</w:t>
            </w:r>
          </w:p>
        </w:tc>
      </w:tr>
      <w:tr>
        <w:tc>
          <w:tcPr>
            <w:tcW w:type="dxa" w:w="29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Net same-state</w:t>
            </w:r>
          </w:p>
        </w:tc>
        <w:tc>
          <w:tcPr>
            <w:tcW w:type="dxa" w:w="12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Calibri" w:cs="Calibri" w:eastAsia="Calibri" w:hAnsi="Calibri"/>
                <w:b w:val="false"/>
                <w:bCs w:val="false"/>
                <w:color w:val="000000"/>
                <w:sz w:val="20"/>
                <w:szCs w:val="20"/>
              </w:rPr>
              <w:t xml:space="preserve">-248</w:t>
            </w:r>
          </w:p>
        </w:tc>
        <w:tc>
          <w:tcPr>
            <w:tcW w:type="dxa" w:w="12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Calibri" w:cs="Calibri" w:eastAsia="Calibri" w:hAnsi="Calibri"/>
                <w:b w:val="false"/>
                <w:bCs w:val="false"/>
                <w:color w:val="000000"/>
                <w:sz w:val="20"/>
                <w:szCs w:val="20"/>
              </w:rPr>
              <w:t xml:space="preserve">-1,056</w:t>
            </w:r>
          </w:p>
        </w:tc>
        <w:tc>
          <w:tcPr>
            <w:tcW w:type="dxa" w:w="1280"/>
            <w:tcBorders>
              <w:top w:val="single" w:color="CCCCCC" w:sz="1"/>
              <w:left w:val="single" w:color="CCCCCC" w:sz="1"/>
              <w:bottom w:val="single" w:color="CCCCCC" w:sz="1"/>
              <w:right w:val="single" w:color="CCCCCC" w:sz="1"/>
            </w:tcBorders>
            <w:shd w:fill="FBEAEA" w:val="clear"/>
            <w:tcMar>
              <w:top w:type="dxa" w:w="80"/>
              <w:left w:type="dxa" w:w="140"/>
              <w:bottom w:type="dxa" w:w="80"/>
              <w:right w:type="dxa" w:w="140"/>
            </w:tcMar>
          </w:tcPr>
          <w:p>
            <w:pPr>
              <w:jc w:val="right"/>
            </w:pPr>
            <w:r>
              <w:rPr>
                <w:rFonts w:ascii="Calibri" w:cs="Calibri" w:eastAsia="Calibri" w:hAnsi="Calibri"/>
                <w:b w:val="false"/>
                <w:bCs w:val="false"/>
                <w:color w:val="000000"/>
                <w:sz w:val="20"/>
                <w:szCs w:val="20"/>
              </w:rPr>
              <w:t xml:space="preserve">-821</w:t>
            </w:r>
          </w:p>
        </w:tc>
        <w:tc>
          <w:tcPr>
            <w:tcW w:type="dxa" w:w="12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Calibri" w:cs="Calibri" w:eastAsia="Calibri" w:hAnsi="Calibri"/>
                <w:b w:val="false"/>
                <w:bCs w:val="false"/>
                <w:color w:val="000000"/>
                <w:sz w:val="20"/>
                <w:szCs w:val="20"/>
              </w:rPr>
              <w:t xml:space="preserve">-572</w:t>
            </w:r>
          </w:p>
        </w:tc>
        <w:tc>
          <w:tcPr>
            <w:tcW w:type="dxa" w:w="12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Calibri" w:cs="Calibri" w:eastAsia="Calibri" w:hAnsi="Calibri"/>
                <w:b w:val="false"/>
                <w:bCs w:val="false"/>
                <w:color w:val="000000"/>
                <w:sz w:val="20"/>
                <w:szCs w:val="20"/>
              </w:rPr>
              <w:t xml:space="preserve">-551</w:t>
            </w:r>
          </w:p>
        </w:tc>
      </w:tr>
      <w:tr>
        <w:tc>
          <w:tcPr>
            <w:tcW w:type="dxa" w:w="29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Net different-state</w:t>
            </w:r>
          </w:p>
        </w:tc>
        <w:tc>
          <w:tcPr>
            <w:tcW w:type="dxa" w:w="12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Calibri" w:cs="Calibri" w:eastAsia="Calibri" w:hAnsi="Calibri"/>
                <w:b w:val="false"/>
                <w:bCs w:val="false"/>
                <w:color w:val="000000"/>
                <w:sz w:val="20"/>
                <w:szCs w:val="20"/>
              </w:rPr>
              <w:t xml:space="preserve">+2,539</w:t>
            </w:r>
          </w:p>
        </w:tc>
        <w:tc>
          <w:tcPr>
            <w:tcW w:type="dxa" w:w="12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Calibri" w:cs="Calibri" w:eastAsia="Calibri" w:hAnsi="Calibri"/>
                <w:b w:val="false"/>
                <w:bCs w:val="false"/>
                <w:color w:val="000000"/>
                <w:sz w:val="20"/>
                <w:szCs w:val="20"/>
              </w:rPr>
              <w:t xml:space="preserve">+3,095</w:t>
            </w:r>
          </w:p>
        </w:tc>
        <w:tc>
          <w:tcPr>
            <w:tcW w:type="dxa" w:w="1280"/>
            <w:tcBorders>
              <w:top w:val="single" w:color="CCCCCC" w:sz="1"/>
              <w:left w:val="single" w:color="CCCCCC" w:sz="1"/>
              <w:bottom w:val="single" w:color="CCCCCC" w:sz="1"/>
              <w:right w:val="single" w:color="CCCCCC" w:sz="1"/>
            </w:tcBorders>
            <w:shd w:fill="FBEAEA" w:val="clear"/>
            <w:tcMar>
              <w:top w:type="dxa" w:w="80"/>
              <w:left w:type="dxa" w:w="140"/>
              <w:bottom w:type="dxa" w:w="80"/>
              <w:right w:type="dxa" w:w="140"/>
            </w:tcMar>
          </w:tcPr>
          <w:p>
            <w:pPr>
              <w:jc w:val="right"/>
            </w:pPr>
            <w:r>
              <w:rPr>
                <w:rFonts w:ascii="Calibri" w:cs="Calibri" w:eastAsia="Calibri" w:hAnsi="Calibri"/>
                <w:b w:val="false"/>
                <w:bCs w:val="false"/>
                <w:color w:val="A32D2D"/>
                <w:sz w:val="20"/>
                <w:szCs w:val="20"/>
              </w:rPr>
              <w:t xml:space="preserve">-689</w:t>
            </w:r>
          </w:p>
        </w:tc>
        <w:tc>
          <w:tcPr>
            <w:tcW w:type="dxa" w:w="12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Calibri" w:cs="Calibri" w:eastAsia="Calibri" w:hAnsi="Calibri"/>
                <w:b w:val="false"/>
                <w:bCs w:val="false"/>
                <w:color w:val="000000"/>
                <w:sz w:val="20"/>
                <w:szCs w:val="20"/>
              </w:rPr>
              <w:t xml:space="preserve">+373</w:t>
            </w:r>
          </w:p>
        </w:tc>
        <w:tc>
          <w:tcPr>
            <w:tcW w:type="dxa" w:w="12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Calibri" w:cs="Calibri" w:eastAsia="Calibri" w:hAnsi="Calibri"/>
                <w:b w:val="false"/>
                <w:bCs w:val="false"/>
                <w:color w:val="000000"/>
                <w:sz w:val="20"/>
                <w:szCs w:val="20"/>
              </w:rPr>
              <w:t xml:space="preserve">+352</w:t>
            </w:r>
          </w:p>
        </w:tc>
      </w:tr>
      <w:tr>
        <w:tc>
          <w:tcPr>
            <w:tcW w:type="dxa" w:w="29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Net foreign / APO+FPO</w:t>
            </w:r>
          </w:p>
        </w:tc>
        <w:tc>
          <w:tcPr>
            <w:tcW w:type="dxa" w:w="12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Calibri" w:cs="Calibri" w:eastAsia="Calibri" w:hAnsi="Calibri"/>
                <w:b w:val="false"/>
                <w:bCs w:val="false"/>
                <w:color w:val="000000"/>
                <w:sz w:val="20"/>
                <w:szCs w:val="20"/>
              </w:rPr>
              <w:t xml:space="preserve">+720</w:t>
            </w:r>
          </w:p>
        </w:tc>
        <w:tc>
          <w:tcPr>
            <w:tcW w:type="dxa" w:w="12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Calibri" w:cs="Calibri" w:eastAsia="Calibri" w:hAnsi="Calibri"/>
                <w:b w:val="false"/>
                <w:bCs w:val="false"/>
                <w:color w:val="000000"/>
                <w:sz w:val="20"/>
                <w:szCs w:val="20"/>
              </w:rPr>
              <w:t xml:space="preserve">+613</w:t>
            </w:r>
          </w:p>
        </w:tc>
        <w:tc>
          <w:tcPr>
            <w:tcW w:type="dxa" w:w="1280"/>
            <w:tcBorders>
              <w:top w:val="single" w:color="CCCCCC" w:sz="1"/>
              <w:left w:val="single" w:color="CCCCCC" w:sz="1"/>
              <w:bottom w:val="single" w:color="CCCCCC" w:sz="1"/>
              <w:right w:val="single" w:color="CCCCCC" w:sz="1"/>
            </w:tcBorders>
            <w:shd w:fill="FBEAEA" w:val="clear"/>
            <w:tcMar>
              <w:top w:type="dxa" w:w="80"/>
              <w:left w:type="dxa" w:w="140"/>
              <w:bottom w:type="dxa" w:w="80"/>
              <w:right w:type="dxa" w:w="140"/>
            </w:tcMar>
          </w:tcPr>
          <w:p>
            <w:pPr>
              <w:jc w:val="right"/>
            </w:pPr>
            <w:r>
              <w:rPr>
                <w:rFonts w:ascii="Calibri" w:cs="Calibri" w:eastAsia="Calibri" w:hAnsi="Calibri"/>
                <w:b w:val="false"/>
                <w:bCs w:val="false"/>
                <w:color w:val="000000"/>
                <w:sz w:val="20"/>
                <w:szCs w:val="20"/>
              </w:rPr>
              <w:t xml:space="preserve">+540</w:t>
            </w:r>
          </w:p>
        </w:tc>
        <w:tc>
          <w:tcPr>
            <w:tcW w:type="dxa" w:w="12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Calibri" w:cs="Calibri" w:eastAsia="Calibri" w:hAnsi="Calibri"/>
                <w:b w:val="false"/>
                <w:bCs w:val="false"/>
                <w:color w:val="000000"/>
                <w:sz w:val="20"/>
                <w:szCs w:val="20"/>
              </w:rPr>
              <w:t xml:space="preserve">+1,023</w:t>
            </w:r>
          </w:p>
        </w:tc>
        <w:tc>
          <w:tcPr>
            <w:tcW w:type="dxa" w:w="12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Calibri" w:cs="Calibri" w:eastAsia="Calibri" w:hAnsi="Calibri"/>
                <w:b w:val="false"/>
                <w:bCs w:val="false"/>
                <w:color w:val="000000"/>
                <w:sz w:val="20"/>
                <w:szCs w:val="20"/>
              </w:rPr>
              <w:t xml:space="preserve">+607</w:t>
            </w:r>
          </w:p>
        </w:tc>
      </w:tr>
      <w:tr>
        <w:tc>
          <w:tcPr>
            <w:tcW w:type="dxa" w:w="29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Net AGI ($ thousands)</w:t>
            </w:r>
          </w:p>
        </w:tc>
        <w:tc>
          <w:tcPr>
            <w:tcW w:type="dxa" w:w="12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Calibri" w:cs="Calibri" w:eastAsia="Calibri" w:hAnsi="Calibri"/>
                <w:b w:val="false"/>
                <w:bCs w:val="false"/>
                <w:color w:val="000000"/>
                <w:sz w:val="20"/>
                <w:szCs w:val="20"/>
              </w:rPr>
              <w:t xml:space="preserve">+207,429</w:t>
            </w:r>
          </w:p>
        </w:tc>
        <w:tc>
          <w:tcPr>
            <w:tcW w:type="dxa" w:w="12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Calibri" w:cs="Calibri" w:eastAsia="Calibri" w:hAnsi="Calibri"/>
                <w:b w:val="false"/>
                <w:bCs w:val="false"/>
                <w:color w:val="000000"/>
                <w:sz w:val="20"/>
                <w:szCs w:val="20"/>
              </w:rPr>
              <w:t xml:space="preserve">+200,857</w:t>
            </w:r>
          </w:p>
        </w:tc>
        <w:tc>
          <w:tcPr>
            <w:tcW w:type="dxa" w:w="1280"/>
            <w:tcBorders>
              <w:top w:val="single" w:color="CCCCCC" w:sz="1"/>
              <w:left w:val="single" w:color="CCCCCC" w:sz="1"/>
              <w:bottom w:val="single" w:color="CCCCCC" w:sz="1"/>
              <w:right w:val="single" w:color="CCCCCC" w:sz="1"/>
            </w:tcBorders>
            <w:shd w:fill="FBEAEA" w:val="clear"/>
            <w:tcMar>
              <w:top w:type="dxa" w:w="80"/>
              <w:left w:type="dxa" w:w="140"/>
              <w:bottom w:type="dxa" w:w="80"/>
              <w:right w:type="dxa" w:w="140"/>
            </w:tcMar>
          </w:tcPr>
          <w:p>
            <w:pPr>
              <w:jc w:val="right"/>
            </w:pPr>
            <w:r>
              <w:rPr>
                <w:rFonts w:ascii="Calibri" w:cs="Calibri" w:eastAsia="Calibri" w:hAnsi="Calibri"/>
                <w:b w:val="false"/>
                <w:bCs w:val="false"/>
                <w:color w:val="000000"/>
                <w:sz w:val="20"/>
                <w:szCs w:val="20"/>
              </w:rPr>
              <w:t xml:space="preserve">+96,375</w:t>
            </w:r>
          </w:p>
        </w:tc>
        <w:tc>
          <w:tcPr>
            <w:tcW w:type="dxa" w:w="12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Calibri" w:cs="Calibri" w:eastAsia="Calibri" w:hAnsi="Calibri"/>
                <w:b w:val="false"/>
                <w:bCs w:val="false"/>
                <w:color w:val="000000"/>
                <w:sz w:val="20"/>
                <w:szCs w:val="20"/>
              </w:rPr>
              <w:t xml:space="preserve">+108,261</w:t>
            </w:r>
          </w:p>
        </w:tc>
        <w:tc>
          <w:tcPr>
            <w:tcW w:type="dxa" w:w="12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Calibri" w:cs="Calibri" w:eastAsia="Calibri" w:hAnsi="Calibri"/>
                <w:b w:val="false"/>
                <w:bCs w:val="false"/>
                <w:color w:val="000000"/>
                <w:sz w:val="20"/>
                <w:szCs w:val="20"/>
              </w:rPr>
              <w:t xml:space="preserve">+63,740</w:t>
            </w:r>
          </w:p>
        </w:tc>
      </w:tr>
    </w:tbl>
    <w:p>
      <w:pPr>
        <w:spacing w:after="200" w:before="120"/>
      </w:pPr>
      <w:r>
        <w:rPr>
          <w:rFonts w:ascii="Calibri" w:cs="Calibri" w:eastAsia="Calibri" w:hAnsi="Calibri"/>
          <w:sz w:val="22"/>
          <w:szCs w:val="22"/>
        </w:rPr>
        <w:t xml:space="preserve">The 2020-21 vintage (capturing moves between calendar 2020 and calendar 2021 filing periods, i.e. roughly April 2021 through April 2022) is the only year in five with negative net migration. The reversal is concentrated entirely in the different-state row, which flipped from +3,095 in the prior year to -689. Same-state and foreign flows continued their ordinary patterns. This isolates the COVID-era inflection to people moving out of El Paso to other states, rather than to internal Colorado movement or to the international military rotation.</w:t>
      </w:r>
    </w:p>
    <w:p>
      <w:pPr>
        <w:pStyle w:val="Heading2"/>
        <w:spacing w:after="140" w:before="280"/>
      </w:pPr>
      <w:r>
        <w:rPr>
          <w:rFonts w:ascii="Calibri" w:cs="Calibri" w:eastAsia="Calibri" w:hAnsi="Calibri"/>
          <w:b/>
          <w:bCs/>
          <w:sz w:val="26"/>
          <w:szCs w:val="26"/>
        </w:rPr>
        <w:t xml:space="preserve">6.3. Reconciling the two estimates</w:t>
      </w:r>
    </w:p>
    <w:p>
      <w:pPr>
        <w:spacing w:after="120"/>
      </w:pPr>
      <w:r>
        <w:rPr>
          <w:rFonts w:ascii="Calibri" w:cs="Calibri" w:eastAsia="Calibri" w:hAnsi="Calibri"/>
          <w:sz w:val="22"/>
          <w:szCs w:val="22"/>
        </w:rPr>
        <w:t xml:space="preserve">Summing the four IRS vintages that approximately span the April 2020 to April 2024 period gives net migration of +2,914 individuals. The SDO’s estimate for April 2020 to July 2024 is +7,029. The IRS captures roughly 41 percent of the SDO total.</w:t>
      </w:r>
    </w:p>
    <w:p>
      <w:pPr>
        <w:spacing w:after="120"/>
      </w:pPr>
      <w:r>
        <w:rPr>
          <w:rFonts w:ascii="Calibri" w:cs="Calibri" w:eastAsia="Calibri" w:hAnsi="Calibri"/>
          <w:sz w:val="22"/>
          <w:szCs w:val="22"/>
        </w:rPr>
        <w:t xml:space="preserve">The 4,115-person gap is the non-filer migration: children whose parents file in a different county or do not file at all, retirees living entirely on Social Security and below the filing threshold, low-income workers below the filing threshold, undocumented residents, and military personnel whose tax-filing addresses remain at pre-deployment locations rather than at Fort Carson. For El Paso County specifically, the 41 percent capture rate is on the lower end of what national research has documented for IRS-vs-PEP comparisons (the typical civilian-heavy county is in the 60 to 70 percent range). The gap is consistent with El Paso’s structural composition: a high active-duty share, a substantial veteran retiree population, and the on-installation populations that tax filings do not see.</w:t>
      </w:r>
    </w:p>
    <w:p>
      <w:pPr>
        <w:spacing w:after="120"/>
      </w:pPr>
      <w:r>
        <w:rPr>
          <w:rFonts w:ascii="Calibri" w:cs="Calibri" w:eastAsia="Calibri" w:hAnsi="Calibri"/>
          <w:sz w:val="22"/>
          <w:szCs w:val="22"/>
        </w:rPr>
        <w:t xml:space="preserve">This is not a contradiction between the two sources. They measure different things. SDO measures population change as the demographer’s residual; IRS measures household relocation as the tax authority’s observed event. The 41 percent capture rate is a structural property of the comparison, not a defect in either dataset.</w:t>
      </w:r>
    </w:p>
    <w:p>
      <w:pPr>
        <w:pStyle w:val="Heading2"/>
        <w:spacing w:after="140" w:before="280"/>
      </w:pPr>
      <w:r>
        <w:rPr>
          <w:rFonts w:ascii="Calibri" w:cs="Calibri" w:eastAsia="Calibri" w:hAnsi="Calibri"/>
          <w:b/>
          <w:bCs/>
          <w:sz w:val="26"/>
          <w:szCs w:val="26"/>
        </w:rPr>
        <w:t xml:space="preserve">6.4. Military-installation migration partners</w:t>
      </w:r>
    </w:p>
    <w:p>
      <w:pPr>
        <w:spacing w:after="120"/>
      </w:pPr>
      <w:r>
        <w:rPr>
          <w:rFonts w:ascii="Calibri" w:cs="Calibri" w:eastAsia="Calibri" w:hAnsi="Calibri"/>
          <w:sz w:val="22"/>
          <w:szCs w:val="22"/>
        </w:rPr>
        <w:t xml:space="preserve">The IRS files include county-pair detail for each migration partner, which makes the military rotation pattern visible across years. Net flows of individuals (inflow minus outflow) for the ten installations with the largest persistent connections to El Paso County: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120"/>
        <w:gridCol w:w="1120"/>
        <w:gridCol w:w="1120"/>
        <w:gridCol w:w="1120"/>
        <w:gridCol w:w="1120"/>
      </w:tblGrid>
      <w:tr>
        <w:trPr>
          <w:tblHeader/>
        </w:trPr>
        <w:tc>
          <w:tcPr>
            <w:tcW w:type="dxa" w:w="376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tcPr>
          <w:p>
            <w:r>
              <w:rPr>
                <w:rFonts w:ascii="Calibri" w:cs="Calibri" w:eastAsia="Calibri" w:hAnsi="Calibri"/>
                <w:b/>
                <w:bCs/>
                <w:sz w:val="20"/>
                <w:szCs w:val="20"/>
              </w:rPr>
              <w:t xml:space="preserve">Partner installation (county)</w:t>
            </w:r>
          </w:p>
        </w:tc>
        <w:tc>
          <w:tcPr>
            <w:tcW w:type="dxa" w:w="112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tcPr>
          <w:p>
            <w:r>
              <w:rPr>
                <w:rFonts w:ascii="Calibri" w:cs="Calibri" w:eastAsia="Calibri" w:hAnsi="Calibri"/>
                <w:b/>
                <w:bCs/>
                <w:sz w:val="20"/>
                <w:szCs w:val="20"/>
              </w:rPr>
              <w:t xml:space="preserve">2018-19</w:t>
            </w:r>
          </w:p>
        </w:tc>
        <w:tc>
          <w:tcPr>
            <w:tcW w:type="dxa" w:w="112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tcPr>
          <w:p>
            <w:r>
              <w:rPr>
                <w:rFonts w:ascii="Calibri" w:cs="Calibri" w:eastAsia="Calibri" w:hAnsi="Calibri"/>
                <w:b/>
                <w:bCs/>
                <w:sz w:val="20"/>
                <w:szCs w:val="20"/>
              </w:rPr>
              <w:t xml:space="preserve">2019-20</w:t>
            </w:r>
          </w:p>
        </w:tc>
        <w:tc>
          <w:tcPr>
            <w:tcW w:type="dxa" w:w="112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tcPr>
          <w:p>
            <w:r>
              <w:rPr>
                <w:rFonts w:ascii="Calibri" w:cs="Calibri" w:eastAsia="Calibri" w:hAnsi="Calibri"/>
                <w:b/>
                <w:bCs/>
                <w:sz w:val="20"/>
                <w:szCs w:val="20"/>
              </w:rPr>
              <w:t xml:space="preserve">2020-21</w:t>
            </w:r>
          </w:p>
        </w:tc>
        <w:tc>
          <w:tcPr>
            <w:tcW w:type="dxa" w:w="112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tcPr>
          <w:p>
            <w:r>
              <w:rPr>
                <w:rFonts w:ascii="Calibri" w:cs="Calibri" w:eastAsia="Calibri" w:hAnsi="Calibri"/>
                <w:b/>
                <w:bCs/>
                <w:sz w:val="20"/>
                <w:szCs w:val="20"/>
              </w:rPr>
              <w:t xml:space="preserve">2021-22</w:t>
            </w:r>
          </w:p>
        </w:tc>
        <w:tc>
          <w:tcPr>
            <w:tcW w:type="dxa" w:w="112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tcPr>
          <w:p>
            <w:r>
              <w:rPr>
                <w:rFonts w:ascii="Calibri" w:cs="Calibri" w:eastAsia="Calibri" w:hAnsi="Calibri"/>
                <w:b/>
                <w:bCs/>
                <w:sz w:val="20"/>
                <w:szCs w:val="20"/>
              </w:rPr>
              <w:t xml:space="preserve">2022-23</w:t>
            </w:r>
          </w:p>
        </w:tc>
      </w:tr>
      <w:tr>
        <w:tc>
          <w:tcPr>
            <w:tcW w:type="dxa" w:w="3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APO/FPO (overseas military)</w:t>
            </w:r>
          </w:p>
        </w:tc>
        <w:tc>
          <w:tcPr>
            <w:tcW w:type="dxa" w:w="1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Calibri" w:cs="Calibri" w:eastAsia="Calibri" w:hAnsi="Calibri"/>
                <w:b w:val="false"/>
                <w:bCs w:val="false"/>
                <w:color w:val="0F6E56"/>
                <w:sz w:val="20"/>
                <w:szCs w:val="20"/>
              </w:rPr>
              <w:t xml:space="preserve">+718</w:t>
            </w:r>
          </w:p>
        </w:tc>
        <w:tc>
          <w:tcPr>
            <w:tcW w:type="dxa" w:w="1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Calibri" w:cs="Calibri" w:eastAsia="Calibri" w:hAnsi="Calibri"/>
                <w:b w:val="false"/>
                <w:bCs w:val="false"/>
                <w:color w:val="0F6E56"/>
                <w:sz w:val="20"/>
                <w:szCs w:val="20"/>
              </w:rPr>
              <w:t xml:space="preserve">+604</w:t>
            </w:r>
          </w:p>
        </w:tc>
        <w:tc>
          <w:tcPr>
            <w:tcW w:type="dxa" w:w="1120"/>
            <w:tcBorders>
              <w:top w:val="single" w:color="CCCCCC" w:sz="1"/>
              <w:left w:val="single" w:color="CCCCCC" w:sz="1"/>
              <w:bottom w:val="single" w:color="CCCCCC" w:sz="1"/>
              <w:right w:val="single" w:color="CCCCCC" w:sz="1"/>
            </w:tcBorders>
            <w:shd w:fill="FBEAEA" w:val="clear"/>
            <w:tcMar>
              <w:top w:type="dxa" w:w="80"/>
              <w:left w:type="dxa" w:w="140"/>
              <w:bottom w:type="dxa" w:w="80"/>
              <w:right w:type="dxa" w:w="140"/>
            </w:tcMar>
          </w:tcPr>
          <w:p>
            <w:pPr>
              <w:jc w:val="right"/>
            </w:pPr>
            <w:r>
              <w:rPr>
                <w:rFonts w:ascii="Calibri" w:cs="Calibri" w:eastAsia="Calibri" w:hAnsi="Calibri"/>
                <w:b w:val="false"/>
                <w:bCs w:val="false"/>
                <w:color w:val="0F6E56"/>
                <w:sz w:val="20"/>
                <w:szCs w:val="20"/>
              </w:rPr>
              <w:t xml:space="preserve">+554</w:t>
            </w:r>
          </w:p>
        </w:tc>
        <w:tc>
          <w:tcPr>
            <w:tcW w:type="dxa" w:w="1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Calibri" w:cs="Calibri" w:eastAsia="Calibri" w:hAnsi="Calibri"/>
                <w:b w:val="false"/>
                <w:bCs w:val="false"/>
                <w:color w:val="0F6E56"/>
                <w:sz w:val="20"/>
                <w:szCs w:val="20"/>
              </w:rPr>
              <w:t xml:space="preserve">+1,015</w:t>
            </w:r>
          </w:p>
        </w:tc>
        <w:tc>
          <w:tcPr>
            <w:tcW w:type="dxa" w:w="1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Calibri" w:cs="Calibri" w:eastAsia="Calibri" w:hAnsi="Calibri"/>
                <w:b w:val="false"/>
                <w:bCs w:val="false"/>
                <w:color w:val="0F6E56"/>
                <w:sz w:val="20"/>
                <w:szCs w:val="20"/>
              </w:rPr>
              <w:t xml:space="preserve">+757</w:t>
            </w:r>
          </w:p>
        </w:tc>
      </w:tr>
      <w:tr>
        <w:tc>
          <w:tcPr>
            <w:tcW w:type="dxa" w:w="3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Honolulu, HI · Pearl/Schofield</w:t>
            </w:r>
          </w:p>
        </w:tc>
        <w:tc>
          <w:tcPr>
            <w:tcW w:type="dxa" w:w="1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Calibri" w:cs="Calibri" w:eastAsia="Calibri" w:hAnsi="Calibri"/>
                <w:b w:val="false"/>
                <w:bCs w:val="false"/>
                <w:color w:val="0F6E56"/>
                <w:sz w:val="20"/>
                <w:szCs w:val="20"/>
              </w:rPr>
              <w:t xml:space="preserve">+233</w:t>
            </w:r>
          </w:p>
        </w:tc>
        <w:tc>
          <w:tcPr>
            <w:tcW w:type="dxa" w:w="1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Calibri" w:cs="Calibri" w:eastAsia="Calibri" w:hAnsi="Calibri"/>
                <w:b w:val="false"/>
                <w:bCs w:val="false"/>
                <w:color w:val="0F6E56"/>
                <w:sz w:val="20"/>
                <w:szCs w:val="20"/>
              </w:rPr>
              <w:t xml:space="preserve">+372</w:t>
            </w:r>
          </w:p>
        </w:tc>
        <w:tc>
          <w:tcPr>
            <w:tcW w:type="dxa" w:w="1120"/>
            <w:tcBorders>
              <w:top w:val="single" w:color="CCCCCC" w:sz="1"/>
              <w:left w:val="single" w:color="CCCCCC" w:sz="1"/>
              <w:bottom w:val="single" w:color="CCCCCC" w:sz="1"/>
              <w:right w:val="single" w:color="CCCCCC" w:sz="1"/>
            </w:tcBorders>
            <w:shd w:fill="FBEAEA" w:val="clear"/>
            <w:tcMar>
              <w:top w:type="dxa" w:w="80"/>
              <w:left w:type="dxa" w:w="140"/>
              <w:bottom w:type="dxa" w:w="80"/>
              <w:right w:type="dxa" w:w="140"/>
            </w:tcMar>
          </w:tcPr>
          <w:p>
            <w:pPr>
              <w:jc w:val="right"/>
            </w:pPr>
            <w:r>
              <w:rPr>
                <w:rFonts w:ascii="Calibri" w:cs="Calibri" w:eastAsia="Calibri" w:hAnsi="Calibri"/>
                <w:b w:val="false"/>
                <w:bCs w:val="false"/>
                <w:color w:val="0F6E56"/>
                <w:sz w:val="20"/>
                <w:szCs w:val="20"/>
              </w:rPr>
              <w:t xml:space="preserve">+425</w:t>
            </w:r>
          </w:p>
        </w:tc>
        <w:tc>
          <w:tcPr>
            <w:tcW w:type="dxa" w:w="1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Calibri" w:cs="Calibri" w:eastAsia="Calibri" w:hAnsi="Calibri"/>
                <w:b w:val="false"/>
                <w:bCs w:val="false"/>
                <w:color w:val="0F6E56"/>
                <w:sz w:val="20"/>
                <w:szCs w:val="20"/>
              </w:rPr>
              <w:t xml:space="preserve">+320</w:t>
            </w:r>
          </w:p>
        </w:tc>
        <w:tc>
          <w:tcPr>
            <w:tcW w:type="dxa" w:w="1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Calibri" w:cs="Calibri" w:eastAsia="Calibri" w:hAnsi="Calibri"/>
                <w:b w:val="false"/>
                <w:bCs w:val="false"/>
                <w:color w:val="0F6E56"/>
                <w:sz w:val="20"/>
                <w:szCs w:val="20"/>
              </w:rPr>
              <w:t xml:space="preserve">+283</w:t>
            </w:r>
          </w:p>
        </w:tc>
      </w:tr>
      <w:tr>
        <w:tc>
          <w:tcPr>
            <w:tcW w:type="dxa" w:w="3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San Diego, CA · Navy/Marine</w:t>
            </w:r>
          </w:p>
        </w:tc>
        <w:tc>
          <w:tcPr>
            <w:tcW w:type="dxa" w:w="1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Calibri" w:cs="Calibri" w:eastAsia="Calibri" w:hAnsi="Calibri"/>
                <w:b w:val="false"/>
                <w:bCs w:val="false"/>
                <w:color w:val="0F6E56"/>
                <w:sz w:val="20"/>
                <w:szCs w:val="20"/>
              </w:rPr>
              <w:t xml:space="preserve">+225</w:t>
            </w:r>
          </w:p>
        </w:tc>
        <w:tc>
          <w:tcPr>
            <w:tcW w:type="dxa" w:w="1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Calibri" w:cs="Calibri" w:eastAsia="Calibri" w:hAnsi="Calibri"/>
                <w:b w:val="false"/>
                <w:bCs w:val="false"/>
                <w:color w:val="0F6E56"/>
                <w:sz w:val="20"/>
                <w:szCs w:val="20"/>
              </w:rPr>
              <w:t xml:space="preserve">+261</w:t>
            </w:r>
          </w:p>
        </w:tc>
        <w:tc>
          <w:tcPr>
            <w:tcW w:type="dxa" w:w="1120"/>
            <w:tcBorders>
              <w:top w:val="single" w:color="CCCCCC" w:sz="1"/>
              <w:left w:val="single" w:color="CCCCCC" w:sz="1"/>
              <w:bottom w:val="single" w:color="CCCCCC" w:sz="1"/>
              <w:right w:val="single" w:color="CCCCCC" w:sz="1"/>
            </w:tcBorders>
            <w:shd w:fill="FBEAEA" w:val="clear"/>
            <w:tcMar>
              <w:top w:type="dxa" w:w="80"/>
              <w:left w:type="dxa" w:w="140"/>
              <w:bottom w:type="dxa" w:w="80"/>
              <w:right w:type="dxa" w:w="140"/>
            </w:tcMar>
          </w:tcPr>
          <w:p>
            <w:pPr>
              <w:jc w:val="right"/>
            </w:pPr>
            <w:r>
              <w:rPr>
                <w:rFonts w:ascii="Calibri" w:cs="Calibri" w:eastAsia="Calibri" w:hAnsi="Calibri"/>
                <w:b w:val="false"/>
                <w:bCs w:val="false"/>
                <w:color w:val="0F6E56"/>
                <w:sz w:val="20"/>
                <w:szCs w:val="20"/>
              </w:rPr>
              <w:t xml:space="preserve">+347</w:t>
            </w:r>
          </w:p>
        </w:tc>
        <w:tc>
          <w:tcPr>
            <w:tcW w:type="dxa" w:w="1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Calibri" w:cs="Calibri" w:eastAsia="Calibri" w:hAnsi="Calibri"/>
                <w:b w:val="false"/>
                <w:bCs w:val="false"/>
                <w:color w:val="0F6E56"/>
                <w:sz w:val="20"/>
                <w:szCs w:val="20"/>
              </w:rPr>
              <w:t xml:space="preserve">+313</w:t>
            </w:r>
          </w:p>
        </w:tc>
        <w:tc>
          <w:tcPr>
            <w:tcW w:type="dxa" w:w="1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Calibri" w:cs="Calibri" w:eastAsia="Calibri" w:hAnsi="Calibri"/>
                <w:b w:val="false"/>
                <w:bCs w:val="false"/>
                <w:color w:val="0F6E56"/>
                <w:sz w:val="20"/>
                <w:szCs w:val="20"/>
              </w:rPr>
              <w:t xml:space="preserve">+328</w:t>
            </w:r>
          </w:p>
        </w:tc>
      </w:tr>
      <w:tr>
        <w:tc>
          <w:tcPr>
            <w:tcW w:type="dxa" w:w="3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Cumberland, NC · Fort Liberty</w:t>
            </w:r>
          </w:p>
        </w:tc>
        <w:tc>
          <w:tcPr>
            <w:tcW w:type="dxa" w:w="1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Calibri" w:cs="Calibri" w:eastAsia="Calibri" w:hAnsi="Calibri"/>
                <w:b w:val="false"/>
                <w:bCs w:val="false"/>
                <w:color w:val="0F6E56"/>
                <w:sz w:val="20"/>
                <w:szCs w:val="20"/>
              </w:rPr>
              <w:t xml:space="preserve">+161</w:t>
            </w:r>
          </w:p>
        </w:tc>
        <w:tc>
          <w:tcPr>
            <w:tcW w:type="dxa" w:w="1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Calibri" w:cs="Calibri" w:eastAsia="Calibri" w:hAnsi="Calibri"/>
                <w:b w:val="false"/>
                <w:bCs w:val="false"/>
                <w:color w:val="0F6E56"/>
                <w:sz w:val="20"/>
                <w:szCs w:val="20"/>
              </w:rPr>
              <w:t xml:space="preserve">+198</w:t>
            </w:r>
          </w:p>
        </w:tc>
        <w:tc>
          <w:tcPr>
            <w:tcW w:type="dxa" w:w="1120"/>
            <w:tcBorders>
              <w:top w:val="single" w:color="CCCCCC" w:sz="1"/>
              <w:left w:val="single" w:color="CCCCCC" w:sz="1"/>
              <w:bottom w:val="single" w:color="CCCCCC" w:sz="1"/>
              <w:right w:val="single" w:color="CCCCCC" w:sz="1"/>
            </w:tcBorders>
            <w:shd w:fill="FBEAEA" w:val="clear"/>
            <w:tcMar>
              <w:top w:type="dxa" w:w="80"/>
              <w:left w:type="dxa" w:w="140"/>
              <w:bottom w:type="dxa" w:w="80"/>
              <w:right w:type="dxa" w:w="140"/>
            </w:tcMar>
          </w:tcPr>
          <w:p>
            <w:pPr>
              <w:jc w:val="right"/>
            </w:pPr>
            <w:r>
              <w:rPr>
                <w:rFonts w:ascii="Calibri" w:cs="Calibri" w:eastAsia="Calibri" w:hAnsi="Calibri"/>
                <w:b w:val="false"/>
                <w:bCs w:val="false"/>
                <w:color w:val="0F6E56"/>
                <w:sz w:val="20"/>
                <w:szCs w:val="20"/>
              </w:rPr>
              <w:t xml:space="preserve">+195</w:t>
            </w:r>
          </w:p>
        </w:tc>
        <w:tc>
          <w:tcPr>
            <w:tcW w:type="dxa" w:w="1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Calibri" w:cs="Calibri" w:eastAsia="Calibri" w:hAnsi="Calibri"/>
                <w:b w:val="false"/>
                <w:bCs w:val="false"/>
                <w:color w:val="0F6E56"/>
                <w:sz w:val="20"/>
                <w:szCs w:val="20"/>
              </w:rPr>
              <w:t xml:space="preserve">+131</w:t>
            </w:r>
          </w:p>
        </w:tc>
        <w:tc>
          <w:tcPr>
            <w:tcW w:type="dxa" w:w="1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Calibri" w:cs="Calibri" w:eastAsia="Calibri" w:hAnsi="Calibri"/>
                <w:b w:val="false"/>
                <w:bCs w:val="false"/>
                <w:color w:val="0F6E56"/>
                <w:sz w:val="20"/>
                <w:szCs w:val="20"/>
              </w:rPr>
              <w:t xml:space="preserve">+118</w:t>
            </w:r>
          </w:p>
        </w:tc>
      </w:tr>
      <w:tr>
        <w:tc>
          <w:tcPr>
            <w:tcW w:type="dxa" w:w="3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El Paso, TX · Fort Bliss</w:t>
            </w:r>
          </w:p>
        </w:tc>
        <w:tc>
          <w:tcPr>
            <w:tcW w:type="dxa" w:w="1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Calibri" w:cs="Calibri" w:eastAsia="Calibri" w:hAnsi="Calibri"/>
                <w:b w:val="false"/>
                <w:bCs w:val="false"/>
                <w:color w:val="0F6E56"/>
                <w:sz w:val="20"/>
                <w:szCs w:val="20"/>
              </w:rPr>
              <w:t xml:space="preserve">+170</w:t>
            </w:r>
          </w:p>
        </w:tc>
        <w:tc>
          <w:tcPr>
            <w:tcW w:type="dxa" w:w="1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Calibri" w:cs="Calibri" w:eastAsia="Calibri" w:hAnsi="Calibri"/>
                <w:b w:val="false"/>
                <w:bCs w:val="false"/>
                <w:color w:val="0F6E56"/>
                <w:sz w:val="20"/>
                <w:szCs w:val="20"/>
              </w:rPr>
              <w:t xml:space="preserve">+136</w:t>
            </w:r>
          </w:p>
        </w:tc>
        <w:tc>
          <w:tcPr>
            <w:tcW w:type="dxa" w:w="1120"/>
            <w:tcBorders>
              <w:top w:val="single" w:color="CCCCCC" w:sz="1"/>
              <w:left w:val="single" w:color="CCCCCC" w:sz="1"/>
              <w:bottom w:val="single" w:color="CCCCCC" w:sz="1"/>
              <w:right w:val="single" w:color="CCCCCC" w:sz="1"/>
            </w:tcBorders>
            <w:shd w:fill="FBEAEA" w:val="clear"/>
            <w:tcMar>
              <w:top w:type="dxa" w:w="80"/>
              <w:left w:type="dxa" w:w="140"/>
              <w:bottom w:type="dxa" w:w="80"/>
              <w:right w:type="dxa" w:w="140"/>
            </w:tcMar>
          </w:tcPr>
          <w:p>
            <w:pPr>
              <w:jc w:val="right"/>
            </w:pPr>
            <w:r>
              <w:rPr>
                <w:rFonts w:ascii="Calibri" w:cs="Calibri" w:eastAsia="Calibri" w:hAnsi="Calibri"/>
                <w:b w:val="false"/>
                <w:bCs w:val="false"/>
                <w:color w:val="0F6E56"/>
                <w:sz w:val="20"/>
                <w:szCs w:val="20"/>
              </w:rPr>
              <w:t xml:space="preserve">+199</w:t>
            </w:r>
          </w:p>
        </w:tc>
        <w:tc>
          <w:tcPr>
            <w:tcW w:type="dxa" w:w="1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Calibri" w:cs="Calibri" w:eastAsia="Calibri" w:hAnsi="Calibri"/>
                <w:b w:val="false"/>
                <w:bCs w:val="false"/>
                <w:color w:val="0F6E56"/>
                <w:sz w:val="20"/>
                <w:szCs w:val="20"/>
              </w:rPr>
              <w:t xml:space="preserve">+232</w:t>
            </w:r>
          </w:p>
        </w:tc>
        <w:tc>
          <w:tcPr>
            <w:tcW w:type="dxa" w:w="1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Calibri" w:cs="Calibri" w:eastAsia="Calibri" w:hAnsi="Calibri"/>
                <w:b w:val="false"/>
                <w:bCs w:val="false"/>
                <w:color w:val="0F6E56"/>
                <w:sz w:val="20"/>
                <w:szCs w:val="20"/>
              </w:rPr>
              <w:t xml:space="preserve">+15</w:t>
            </w:r>
          </w:p>
        </w:tc>
      </w:tr>
      <w:tr>
        <w:tc>
          <w:tcPr>
            <w:tcW w:type="dxa" w:w="3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Anchorage, AK · JBER</w:t>
            </w:r>
          </w:p>
        </w:tc>
        <w:tc>
          <w:tcPr>
            <w:tcW w:type="dxa" w:w="1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Calibri" w:cs="Calibri" w:eastAsia="Calibri" w:hAnsi="Calibri"/>
                <w:b w:val="false"/>
                <w:bCs w:val="false"/>
                <w:color w:val="0F6E56"/>
                <w:sz w:val="20"/>
                <w:szCs w:val="20"/>
              </w:rPr>
              <w:t xml:space="preserve">+119</w:t>
            </w:r>
          </w:p>
        </w:tc>
        <w:tc>
          <w:tcPr>
            <w:tcW w:type="dxa" w:w="1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Calibri" w:cs="Calibri" w:eastAsia="Calibri" w:hAnsi="Calibri"/>
                <w:b w:val="false"/>
                <w:bCs w:val="false"/>
                <w:color w:val="0F6E56"/>
                <w:sz w:val="20"/>
                <w:szCs w:val="20"/>
              </w:rPr>
              <w:t xml:space="preserve">+153</w:t>
            </w:r>
          </w:p>
        </w:tc>
        <w:tc>
          <w:tcPr>
            <w:tcW w:type="dxa" w:w="1120"/>
            <w:tcBorders>
              <w:top w:val="single" w:color="CCCCCC" w:sz="1"/>
              <w:left w:val="single" w:color="CCCCCC" w:sz="1"/>
              <w:bottom w:val="single" w:color="CCCCCC" w:sz="1"/>
              <w:right w:val="single" w:color="CCCCCC" w:sz="1"/>
            </w:tcBorders>
            <w:shd w:fill="FBEAEA" w:val="clear"/>
            <w:tcMar>
              <w:top w:type="dxa" w:w="80"/>
              <w:left w:type="dxa" w:w="140"/>
              <w:bottom w:type="dxa" w:w="80"/>
              <w:right w:type="dxa" w:w="140"/>
            </w:tcMar>
          </w:tcPr>
          <w:p>
            <w:pPr>
              <w:jc w:val="right"/>
            </w:pPr>
            <w:r>
              <w:rPr>
                <w:rFonts w:ascii="Calibri" w:cs="Calibri" w:eastAsia="Calibri" w:hAnsi="Calibri"/>
                <w:b w:val="false"/>
                <w:bCs w:val="false"/>
                <w:color w:val="0F6E56"/>
                <w:sz w:val="20"/>
                <w:szCs w:val="20"/>
              </w:rPr>
              <w:t xml:space="preserve">+20</w:t>
            </w:r>
          </w:p>
        </w:tc>
        <w:tc>
          <w:tcPr>
            <w:tcW w:type="dxa" w:w="1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Calibri" w:cs="Calibri" w:eastAsia="Calibri" w:hAnsi="Calibri"/>
                <w:b w:val="false"/>
                <w:bCs w:val="false"/>
                <w:color w:val="0F6E56"/>
                <w:sz w:val="20"/>
                <w:szCs w:val="20"/>
              </w:rPr>
              <w:t xml:space="preserve">+23</w:t>
            </w:r>
          </w:p>
        </w:tc>
        <w:tc>
          <w:tcPr>
            <w:tcW w:type="dxa" w:w="1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Calibri" w:cs="Calibri" w:eastAsia="Calibri" w:hAnsi="Calibri"/>
                <w:b w:val="false"/>
                <w:bCs w:val="false"/>
                <w:color w:val="0F6E56"/>
                <w:sz w:val="20"/>
                <w:szCs w:val="20"/>
              </w:rPr>
              <w:t xml:space="preserve">+98</w:t>
            </w:r>
          </w:p>
        </w:tc>
      </w:tr>
      <w:tr>
        <w:tc>
          <w:tcPr>
            <w:tcW w:type="dxa" w:w="3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Jefferson, NY · Fort Drum</w:t>
            </w:r>
          </w:p>
        </w:tc>
        <w:tc>
          <w:tcPr>
            <w:tcW w:type="dxa" w:w="1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Calibri" w:cs="Calibri" w:eastAsia="Calibri" w:hAnsi="Calibri"/>
                <w:b w:val="false"/>
                <w:bCs w:val="false"/>
                <w:color w:val="0F6E56"/>
                <w:sz w:val="20"/>
                <w:szCs w:val="20"/>
              </w:rPr>
              <w:t xml:space="preserve">+96</w:t>
            </w:r>
          </w:p>
        </w:tc>
        <w:tc>
          <w:tcPr>
            <w:tcW w:type="dxa" w:w="1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Calibri" w:cs="Calibri" w:eastAsia="Calibri" w:hAnsi="Calibri"/>
                <w:b w:val="false"/>
                <w:bCs w:val="false"/>
                <w:color w:val="0F6E56"/>
                <w:sz w:val="20"/>
                <w:szCs w:val="20"/>
              </w:rPr>
              <w:t xml:space="preserve">+165</w:t>
            </w:r>
          </w:p>
        </w:tc>
        <w:tc>
          <w:tcPr>
            <w:tcW w:type="dxa" w:w="1120"/>
            <w:tcBorders>
              <w:top w:val="single" w:color="CCCCCC" w:sz="1"/>
              <w:left w:val="single" w:color="CCCCCC" w:sz="1"/>
              <w:bottom w:val="single" w:color="CCCCCC" w:sz="1"/>
              <w:right w:val="single" w:color="CCCCCC" w:sz="1"/>
            </w:tcBorders>
            <w:shd w:fill="FBEAEA" w:val="clear"/>
            <w:tcMar>
              <w:top w:type="dxa" w:w="80"/>
              <w:left w:type="dxa" w:w="140"/>
              <w:bottom w:type="dxa" w:w="80"/>
              <w:right w:type="dxa" w:w="140"/>
            </w:tcMar>
          </w:tcPr>
          <w:p>
            <w:pPr>
              <w:jc w:val="right"/>
            </w:pPr>
            <w:r>
              <w:rPr>
                <w:rFonts w:ascii="Calibri" w:cs="Calibri" w:eastAsia="Calibri" w:hAnsi="Calibri"/>
                <w:b w:val="false"/>
                <w:bCs w:val="false"/>
                <w:color w:val="0F6E56"/>
                <w:sz w:val="20"/>
                <w:szCs w:val="20"/>
              </w:rPr>
              <w:t xml:space="preserve">+52</w:t>
            </w:r>
          </w:p>
        </w:tc>
        <w:tc>
          <w:tcPr>
            <w:tcW w:type="dxa" w:w="1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Calibri" w:cs="Calibri" w:eastAsia="Calibri" w:hAnsi="Calibri"/>
                <w:b w:val="false"/>
                <w:bCs w:val="false"/>
                <w:color w:val="0F6E56"/>
                <w:sz w:val="20"/>
                <w:szCs w:val="20"/>
              </w:rPr>
              <w:t xml:space="preserve">+85</w:t>
            </w:r>
          </w:p>
        </w:tc>
        <w:tc>
          <w:tcPr>
            <w:tcW w:type="dxa" w:w="1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Calibri" w:cs="Calibri" w:eastAsia="Calibri" w:hAnsi="Calibri"/>
                <w:b w:val="false"/>
                <w:bCs w:val="false"/>
                <w:color w:val="0F6E56"/>
                <w:sz w:val="20"/>
                <w:szCs w:val="20"/>
              </w:rPr>
              <w:t xml:space="preserve">+14</w:t>
            </w:r>
          </w:p>
        </w:tc>
      </w:tr>
      <w:tr>
        <w:tc>
          <w:tcPr>
            <w:tcW w:type="dxa" w:w="3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Riley, KS · Fort Riley</w:t>
            </w:r>
          </w:p>
        </w:tc>
        <w:tc>
          <w:tcPr>
            <w:tcW w:type="dxa" w:w="1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Calibri" w:cs="Calibri" w:eastAsia="Calibri" w:hAnsi="Calibri"/>
                <w:b w:val="false"/>
                <w:bCs w:val="false"/>
                <w:color w:val="0F6E56"/>
                <w:sz w:val="20"/>
                <w:szCs w:val="20"/>
              </w:rPr>
              <w:t xml:space="preserve">+61</w:t>
            </w:r>
          </w:p>
        </w:tc>
        <w:tc>
          <w:tcPr>
            <w:tcW w:type="dxa" w:w="1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Calibri" w:cs="Calibri" w:eastAsia="Calibri" w:hAnsi="Calibri"/>
                <w:b w:val="false"/>
                <w:bCs w:val="false"/>
                <w:color w:val="0F6E56"/>
                <w:sz w:val="20"/>
                <w:szCs w:val="20"/>
              </w:rPr>
              <w:t xml:space="preserve">+116</w:t>
            </w:r>
          </w:p>
        </w:tc>
        <w:tc>
          <w:tcPr>
            <w:tcW w:type="dxa" w:w="1120"/>
            <w:tcBorders>
              <w:top w:val="single" w:color="CCCCCC" w:sz="1"/>
              <w:left w:val="single" w:color="CCCCCC" w:sz="1"/>
              <w:bottom w:val="single" w:color="CCCCCC" w:sz="1"/>
              <w:right w:val="single" w:color="CCCCCC" w:sz="1"/>
            </w:tcBorders>
            <w:shd w:fill="FBEAEA" w:val="clear"/>
            <w:tcMar>
              <w:top w:type="dxa" w:w="80"/>
              <w:left w:type="dxa" w:w="140"/>
              <w:bottom w:type="dxa" w:w="80"/>
              <w:right w:type="dxa" w:w="140"/>
            </w:tcMar>
          </w:tcPr>
          <w:p>
            <w:pPr>
              <w:jc w:val="right"/>
            </w:pPr>
            <w:r>
              <w:rPr>
                <w:rFonts w:ascii="Calibri" w:cs="Calibri" w:eastAsia="Calibri" w:hAnsi="Calibri"/>
                <w:b w:val="false"/>
                <w:bCs w:val="false"/>
                <w:color w:val="0F6E56"/>
                <w:sz w:val="20"/>
                <w:szCs w:val="20"/>
              </w:rPr>
              <w:t xml:space="preserve">+21</w:t>
            </w:r>
          </w:p>
        </w:tc>
        <w:tc>
          <w:tcPr>
            <w:tcW w:type="dxa" w:w="1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Calibri" w:cs="Calibri" w:eastAsia="Calibri" w:hAnsi="Calibri"/>
                <w:b w:val="false"/>
                <w:bCs w:val="false"/>
                <w:color w:val="0F6E56"/>
                <w:sz w:val="20"/>
                <w:szCs w:val="20"/>
              </w:rPr>
              <w:t xml:space="preserve">+48</w:t>
            </w:r>
          </w:p>
        </w:tc>
        <w:tc>
          <w:tcPr>
            <w:tcW w:type="dxa" w:w="1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Calibri" w:cs="Calibri" w:eastAsia="Calibri" w:hAnsi="Calibri"/>
                <w:b w:val="false"/>
                <w:bCs w:val="false"/>
                <w:color w:val="0F6E56"/>
                <w:sz w:val="20"/>
                <w:szCs w:val="20"/>
              </w:rPr>
              <w:t xml:space="preserve">+32</w:t>
            </w:r>
          </w:p>
        </w:tc>
      </w:tr>
      <w:tr>
        <w:tc>
          <w:tcPr>
            <w:tcW w:type="dxa" w:w="3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Pierce, WA · JBLM</w:t>
            </w:r>
          </w:p>
        </w:tc>
        <w:tc>
          <w:tcPr>
            <w:tcW w:type="dxa" w:w="1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Calibri" w:cs="Calibri" w:eastAsia="Calibri" w:hAnsi="Calibri"/>
                <w:b w:val="false"/>
                <w:bCs w:val="false"/>
                <w:color w:val="A32D2D"/>
                <w:sz w:val="20"/>
                <w:szCs w:val="20"/>
              </w:rPr>
              <w:t xml:space="preserve">-63</w:t>
            </w:r>
          </w:p>
        </w:tc>
        <w:tc>
          <w:tcPr>
            <w:tcW w:type="dxa" w:w="1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Calibri" w:cs="Calibri" w:eastAsia="Calibri" w:hAnsi="Calibri"/>
                <w:b w:val="false"/>
                <w:bCs w:val="false"/>
                <w:color w:val="A32D2D"/>
                <w:sz w:val="20"/>
                <w:szCs w:val="20"/>
              </w:rPr>
              <w:t xml:space="preserve">-4</w:t>
            </w:r>
          </w:p>
        </w:tc>
        <w:tc>
          <w:tcPr>
            <w:tcW w:type="dxa" w:w="1120"/>
            <w:tcBorders>
              <w:top w:val="single" w:color="CCCCCC" w:sz="1"/>
              <w:left w:val="single" w:color="CCCCCC" w:sz="1"/>
              <w:bottom w:val="single" w:color="CCCCCC" w:sz="1"/>
              <w:right w:val="single" w:color="CCCCCC" w:sz="1"/>
            </w:tcBorders>
            <w:shd w:fill="FBEAEA" w:val="clear"/>
            <w:tcMar>
              <w:top w:type="dxa" w:w="80"/>
              <w:left w:type="dxa" w:w="140"/>
              <w:bottom w:type="dxa" w:w="80"/>
              <w:right w:type="dxa" w:w="140"/>
            </w:tcMar>
          </w:tcPr>
          <w:p>
            <w:pPr>
              <w:jc w:val="right"/>
            </w:pPr>
            <w:r>
              <w:rPr>
                <w:rFonts w:ascii="Calibri" w:cs="Calibri" w:eastAsia="Calibri" w:hAnsi="Calibri"/>
                <w:b w:val="false"/>
                <w:bCs w:val="false"/>
                <w:color w:val="0F6E56"/>
                <w:sz w:val="20"/>
                <w:szCs w:val="20"/>
              </w:rPr>
              <w:t xml:space="preserve">+50</w:t>
            </w:r>
          </w:p>
        </w:tc>
        <w:tc>
          <w:tcPr>
            <w:tcW w:type="dxa" w:w="1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Calibri" w:cs="Calibri" w:eastAsia="Calibri" w:hAnsi="Calibri"/>
                <w:b w:val="false"/>
                <w:bCs w:val="false"/>
                <w:color w:val="0F6E56"/>
                <w:sz w:val="20"/>
                <w:szCs w:val="20"/>
              </w:rPr>
              <w:t xml:space="preserve">+22</w:t>
            </w:r>
          </w:p>
        </w:tc>
        <w:tc>
          <w:tcPr>
            <w:tcW w:type="dxa" w:w="1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Calibri" w:cs="Calibri" w:eastAsia="Calibri" w:hAnsi="Calibri"/>
                <w:b w:val="false"/>
                <w:bCs w:val="false"/>
                <w:color w:val="A32D2D"/>
                <w:sz w:val="20"/>
                <w:szCs w:val="20"/>
              </w:rPr>
              <w:t xml:space="preserve">-80</w:t>
            </w:r>
          </w:p>
        </w:tc>
      </w:tr>
      <w:tr>
        <w:tc>
          <w:tcPr>
            <w:tcW w:type="dxa" w:w="3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Bexar, TX · San Antonio bases</w:t>
            </w:r>
          </w:p>
        </w:tc>
        <w:tc>
          <w:tcPr>
            <w:tcW w:type="dxa" w:w="1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Calibri" w:cs="Calibri" w:eastAsia="Calibri" w:hAnsi="Calibri"/>
                <w:b w:val="false"/>
                <w:bCs w:val="false"/>
                <w:color w:val="0F6E56"/>
                <w:sz w:val="20"/>
                <w:szCs w:val="20"/>
              </w:rPr>
              <w:t xml:space="preserve">+40</w:t>
            </w:r>
          </w:p>
        </w:tc>
        <w:tc>
          <w:tcPr>
            <w:tcW w:type="dxa" w:w="1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Calibri" w:cs="Calibri" w:eastAsia="Calibri" w:hAnsi="Calibri"/>
                <w:b w:val="false"/>
                <w:bCs w:val="false"/>
                <w:color w:val="0F6E56"/>
                <w:sz w:val="20"/>
                <w:szCs w:val="20"/>
              </w:rPr>
              <w:t xml:space="preserve">+18</w:t>
            </w:r>
          </w:p>
        </w:tc>
        <w:tc>
          <w:tcPr>
            <w:tcW w:type="dxa" w:w="1120"/>
            <w:tcBorders>
              <w:top w:val="single" w:color="CCCCCC" w:sz="1"/>
              <w:left w:val="single" w:color="CCCCCC" w:sz="1"/>
              <w:bottom w:val="single" w:color="CCCCCC" w:sz="1"/>
              <w:right w:val="single" w:color="CCCCCC" w:sz="1"/>
            </w:tcBorders>
            <w:shd w:fill="FBEAEA" w:val="clear"/>
            <w:tcMar>
              <w:top w:type="dxa" w:w="80"/>
              <w:left w:type="dxa" w:w="140"/>
              <w:bottom w:type="dxa" w:w="80"/>
              <w:right w:type="dxa" w:w="140"/>
            </w:tcMar>
          </w:tcPr>
          <w:p>
            <w:pPr>
              <w:jc w:val="right"/>
            </w:pPr>
            <w:r>
              <w:rPr>
                <w:rFonts w:ascii="Calibri" w:cs="Calibri" w:eastAsia="Calibri" w:hAnsi="Calibri"/>
                <w:b w:val="false"/>
                <w:bCs w:val="false"/>
                <w:color w:val="A32D2D"/>
                <w:sz w:val="20"/>
                <w:szCs w:val="20"/>
              </w:rPr>
              <w:t xml:space="preserve">-36</w:t>
            </w:r>
          </w:p>
        </w:tc>
        <w:tc>
          <w:tcPr>
            <w:tcW w:type="dxa" w:w="1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Calibri" w:cs="Calibri" w:eastAsia="Calibri" w:hAnsi="Calibri"/>
                <w:b w:val="false"/>
                <w:bCs w:val="false"/>
                <w:color w:val="A32D2D"/>
                <w:sz w:val="20"/>
                <w:szCs w:val="20"/>
              </w:rPr>
              <w:t xml:space="preserve">-38</w:t>
            </w:r>
          </w:p>
        </w:tc>
        <w:tc>
          <w:tcPr>
            <w:tcW w:type="dxa" w:w="1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Calibri" w:cs="Calibri" w:eastAsia="Calibri" w:hAnsi="Calibri"/>
                <w:b w:val="false"/>
                <w:bCs w:val="false"/>
                <w:color w:val="0F6E56"/>
                <w:sz w:val="20"/>
                <w:szCs w:val="20"/>
              </w:rPr>
              <w:t xml:space="preserve">+104</w:t>
            </w:r>
          </w:p>
        </w:tc>
      </w:tr>
    </w:tbl>
    <w:p>
      <w:pPr>
        <w:spacing w:after="200" w:before="120"/>
      </w:pPr>
      <w:r>
        <w:rPr>
          <w:rFonts w:ascii="Calibri" w:cs="Calibri" w:eastAsia="Calibri" w:hAnsi="Calibri"/>
          <w:sz w:val="22"/>
          <w:szCs w:val="22"/>
        </w:rPr>
        <w:t xml:space="preserve">APO and FPO ZIP codes (overseas military addresses) are the largest single migration partner of El Paso County in every year, ranging from +554 to +1,015 net inflows annually. Honolulu, San Diego, Cumberland County NC (Fort Liberty), and El Paso TX (Fort Bliss) are positive every year. The 2020-21 disruption shows in two specific places: Pierce County WA (JBLM) flipped temporarily positive that year, and Bexar County TX (San Antonio Joint Base) flipped temporarily negative. Both are consistent with PCS reorganization patterns during pandemic-era deployment cycles.</w:t>
      </w:r>
    </w:p>
    <w:p>
      <w:pPr>
        <w:spacing w:after="120"/>
      </w:pPr>
      <w:r>
        <w:rPr>
          <w:rFonts w:ascii="Calibri" w:cs="Calibri" w:eastAsia="Calibri" w:hAnsi="Calibri"/>
          <w:sz w:val="22"/>
          <w:szCs w:val="22"/>
        </w:rPr>
        <w:t xml:space="preserve">The 70 percent decline in net AGI inflows over the five-year window — from +$207M in 2018-19 to +$64M in 2022-23 — indicates that even when net individuals stayed positive, the economic profile of arriving residents shifted lower over the period. Either lower-income residents arrived in increasing share, higher-income residents departed in increasing share, or both. This is the kind of long-period indicator a Pikes Peak United Way Quality of Life Indicator report or a county economic-development office would want to track but generally does not.</w:t>
      </w:r>
    </w:p>
    <w:p>
      <w:pPr>
        <w:pStyle w:val="Heading1"/>
        <w:spacing w:after="180" w:before="360"/>
      </w:pPr>
      <w:r>
        <w:rPr>
          <w:rFonts w:ascii="Calibri" w:cs="Calibri" w:eastAsia="Calibri" w:hAnsi="Calibri"/>
          <w:b/>
          <w:bCs/>
          <w:sz w:val="32"/>
          <w:szCs w:val="32"/>
        </w:rPr>
        <w:t xml:space="preserve">7. The federal-residents layer</w:t>
      </w:r>
    </w:p>
    <w:p>
      <w:pPr>
        <w:spacing w:after="120"/>
      </w:pPr>
      <w:r>
        <w:rPr>
          <w:rFonts w:ascii="Calibri" w:cs="Calibri" w:eastAsia="Calibri" w:hAnsi="Calibri"/>
          <w:sz w:val="22"/>
          <w:szCs w:val="22"/>
        </w:rPr>
        <w:t xml:space="preserve">Federal employees and their families are a substantial share of El Paso County’s population, but their counts come from a different administrative system than the CDPHE / Census / IRS series. The Department of Defense produces the Army Stationing and Installation Plan Common Operating Picture (ASIP COP) report that consolidates personnel and family member data across affiliations.</w:t>
      </w:r>
    </w:p>
    <w:p>
      <w:pPr>
        <w:spacing w:after="120"/>
      </w:pPr>
      <w:r>
        <w:rPr>
          <w:rFonts w:ascii="Calibri" w:cs="Calibri" w:eastAsia="Calibri" w:hAnsi="Calibri"/>
          <w:sz w:val="22"/>
          <w:szCs w:val="22"/>
        </w:rPr>
        <w:t xml:space="preserve">The most recent publicly available figures for Fort Carson, from the February 2025 Fact Sheet referencing the 31 January 2025 ASIP COP: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tcPr>
          <w:p>
            <w:r>
              <w:rPr>
                <w:rFonts w:ascii="Calibri" w:cs="Calibri" w:eastAsia="Calibri" w:hAnsi="Calibri"/>
                <w:b/>
                <w:bCs/>
                <w:sz w:val="20"/>
                <w:szCs w:val="20"/>
              </w:rPr>
              <w:t xml:space="preserve">Affiliation category</w:t>
            </w:r>
          </w:p>
        </w:tc>
        <w:tc>
          <w:tcPr>
            <w:tcW w:type="dxa" w:w="234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tcPr>
          <w:p>
            <w:r>
              <w:rPr>
                <w:rFonts w:ascii="Calibri" w:cs="Calibri" w:eastAsia="Calibri" w:hAnsi="Calibri"/>
                <w:b/>
                <w:bCs/>
                <w:sz w:val="20"/>
                <w:szCs w:val="20"/>
              </w:rPr>
              <w:t xml:space="preserve">Count (Feb 2025)</w:t>
            </w:r>
          </w:p>
        </w:tc>
        <w:tc>
          <w:tcPr>
            <w:tcW w:type="dxa" w:w="234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tcPr>
          <w:p>
            <w:r>
              <w:rPr>
                <w:rFonts w:ascii="Calibri" w:cs="Calibri" w:eastAsia="Calibri" w:hAnsi="Calibri"/>
                <w:b/>
                <w:bCs/>
                <w:sz w:val="20"/>
                <w:szCs w:val="20"/>
              </w:rPr>
              <w:t xml:space="preserve">Source</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Active duty (Fort Carson)</w:t>
            </w:r>
          </w:p>
        </w:tc>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Calibri" w:cs="Calibri" w:eastAsia="Calibri" w:hAnsi="Calibri"/>
                <w:b w:val="false"/>
                <w:bCs w:val="false"/>
                <w:color w:val="000000"/>
                <w:sz w:val="20"/>
                <w:szCs w:val="20"/>
              </w:rPr>
              <w:t xml:space="preserve">23,716</w:t>
            </w:r>
          </w:p>
        </w:tc>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ASIP COP, 31 Jan 2025</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Family members (Fort Carson)</w:t>
            </w:r>
          </w:p>
        </w:tc>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Calibri" w:cs="Calibri" w:eastAsia="Calibri" w:hAnsi="Calibri"/>
                <w:b w:val="false"/>
                <w:bCs w:val="false"/>
                <w:color w:val="000000"/>
                <w:sz w:val="20"/>
                <w:szCs w:val="20"/>
              </w:rPr>
              <w:t xml:space="preserve">57,220</w:t>
            </w:r>
          </w:p>
        </w:tc>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ASIP COP, 31 Jan 2025</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Reserve component (Fort Carson)</w:t>
            </w:r>
          </w:p>
        </w:tc>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Calibri" w:cs="Calibri" w:eastAsia="Calibri" w:hAnsi="Calibri"/>
                <w:b w:val="false"/>
                <w:bCs w:val="false"/>
                <w:color w:val="000000"/>
                <w:sz w:val="20"/>
                <w:szCs w:val="20"/>
              </w:rPr>
              <w:t xml:space="preserve">1,832</w:t>
            </w:r>
          </w:p>
        </w:tc>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ASIP COP, 31 Jan 2025</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DoD civilians (Fort Carson)</w:t>
            </w:r>
          </w:p>
        </w:tc>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Calibri" w:cs="Calibri" w:eastAsia="Calibri" w:hAnsi="Calibri"/>
                <w:b w:val="false"/>
                <w:bCs w:val="false"/>
                <w:color w:val="000000"/>
                <w:sz w:val="20"/>
                <w:szCs w:val="20"/>
              </w:rPr>
              <w:t xml:space="preserve">5,412</w:t>
            </w:r>
          </w:p>
        </w:tc>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ASIP COP, 31 Jan 2025</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Contractors (Fort Carson)</w:t>
            </w:r>
          </w:p>
        </w:tc>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Calibri" w:cs="Calibri" w:eastAsia="Calibri" w:hAnsi="Calibri"/>
                <w:b w:val="false"/>
                <w:bCs w:val="false"/>
                <w:color w:val="000000"/>
                <w:sz w:val="20"/>
                <w:szCs w:val="20"/>
              </w:rPr>
              <w:t xml:space="preserve">1,450</w:t>
            </w:r>
          </w:p>
        </w:tc>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ASIP COP, 31 Jan 2025</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bCs/>
                <w:color w:val="000000"/>
                <w:sz w:val="20"/>
                <w:szCs w:val="20"/>
              </w:rPr>
              <w:t xml:space="preserve">Fort Carson total post-affiliated</w:t>
            </w:r>
          </w:p>
        </w:tc>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Calibri" w:cs="Calibri" w:eastAsia="Calibri" w:hAnsi="Calibri"/>
                <w:b/>
                <w:bCs/>
                <w:color w:val="000000"/>
                <w:sz w:val="20"/>
                <w:szCs w:val="20"/>
              </w:rPr>
              <w:t xml:space="preserve">89,630</w:t>
            </w:r>
          </w:p>
        </w:tc>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Fact Sheet, Feb 2025</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USAFA · personnel + cadets + family</w:t>
            </w:r>
          </w:p>
        </w:tc>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Calibri" w:cs="Calibri" w:eastAsia="Calibri" w:hAnsi="Calibri"/>
                <w:b w:val="false"/>
                <w:bCs w:val="false"/>
                <w:color w:val="A32D2D"/>
                <w:sz w:val="20"/>
                <w:szCs w:val="20"/>
              </w:rPr>
              <w:t xml:space="preserve">not yet retrieved</w:t>
            </w:r>
          </w:p>
        </w:tc>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USAFA Public Affairs</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Peterson SFB · personnel + family</w:t>
            </w:r>
          </w:p>
        </w:tc>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Calibri" w:cs="Calibri" w:eastAsia="Calibri" w:hAnsi="Calibri"/>
                <w:b w:val="false"/>
                <w:bCs w:val="false"/>
                <w:color w:val="A32D2D"/>
                <w:sz w:val="20"/>
                <w:szCs w:val="20"/>
              </w:rPr>
              <w:t xml:space="preserve">not yet retrieved</w:t>
            </w:r>
          </w:p>
        </w:tc>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Garrison Public Affairs</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Schriever SFB · personnel + family</w:t>
            </w:r>
          </w:p>
        </w:tc>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Calibri" w:cs="Calibri" w:eastAsia="Calibri" w:hAnsi="Calibri"/>
                <w:b w:val="false"/>
                <w:bCs w:val="false"/>
                <w:color w:val="A32D2D"/>
                <w:sz w:val="20"/>
                <w:szCs w:val="20"/>
              </w:rPr>
              <w:t xml:space="preserve">not yet retrieved</w:t>
            </w:r>
          </w:p>
        </w:tc>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Garrison Public Affairs</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Cheyenne Mountain SFS · personnel</w:t>
            </w:r>
          </w:p>
        </w:tc>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right"/>
            </w:pPr>
            <w:r>
              <w:rPr>
                <w:rFonts w:ascii="Calibri" w:cs="Calibri" w:eastAsia="Calibri" w:hAnsi="Calibri"/>
                <w:b w:val="false"/>
                <w:bCs w:val="false"/>
                <w:color w:val="A32D2D"/>
                <w:sz w:val="20"/>
                <w:szCs w:val="20"/>
              </w:rPr>
              <w:t xml:space="preserve">not yet retrieved</w:t>
            </w:r>
          </w:p>
        </w:tc>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Garrison Public Affairs</w:t>
            </w:r>
          </w:p>
        </w:tc>
      </w:tr>
    </w:tbl>
    <w:p>
      <w:pPr>
        <w:spacing w:after="200" w:before="120"/>
      </w:pPr>
      <w:r>
        <w:rPr>
          <w:rFonts w:ascii="Calibri" w:cs="Calibri" w:eastAsia="Calibri" w:hAnsi="Calibri"/>
          <w:sz w:val="22"/>
          <w:szCs w:val="22"/>
        </w:rPr>
        <w:t xml:space="preserve">Counts for the four other installations have been identified but not yet requested. A Garrison G-5 outreach for Fort Carson back-series (FY2018 forward) is in flight. Comparable requests to USAFA Public Affairs and the Garrison Public Affairs Offices for Peterson, Schriever, and Cheyenne Mountain have been drafted but not yet sent, pending response from Fort Carson.</w:t>
      </w:r>
    </w:p>
    <w:p>
      <w:pPr>
        <w:spacing w:after="120"/>
      </w:pPr>
      <w:r>
        <w:rPr>
          <w:rFonts w:ascii="Calibri" w:cs="Calibri" w:eastAsia="Calibri" w:hAnsi="Calibri"/>
          <w:sz w:val="22"/>
          <w:szCs w:val="22"/>
        </w:rPr>
        <w:t xml:space="preserve">Federal Impact Aid filings from El Paso County school districts (D8 Fountain-Fort Carson, D49 Falcon, D3 Widefield, D2 Harrison, D20 Air Academy) provide a parallel data stream that records federally-connected students annually and would confirm the family-member counts. Initial outreach has not yet begun.</w:t>
      </w:r>
    </w:p>
    <w:p>
      <w:pPr>
        <w:pStyle w:val="Heading1"/>
        <w:spacing w:after="180" w:before="360"/>
      </w:pPr>
      <w:r>
        <w:rPr>
          <w:rFonts w:ascii="Calibri" w:cs="Calibri" w:eastAsia="Calibri" w:hAnsi="Calibri"/>
          <w:b/>
          <w:bCs/>
          <w:sz w:val="32"/>
          <w:szCs w:val="32"/>
        </w:rPr>
        <w:t xml:space="preserve">8. Known limitations</w:t>
      </w:r>
    </w:p>
    <w:p>
      <w:pPr>
        <w:pStyle w:val="Heading3"/>
        <w:spacing w:after="100" w:before="200"/>
      </w:pPr>
      <w:r>
        <w:rPr>
          <w:rFonts w:ascii="Calibri" w:cs="Calibri" w:eastAsia="Calibri" w:hAnsi="Calibri"/>
          <w:b/>
          <w:bCs/>
          <w:sz w:val="23"/>
          <w:szCs w:val="23"/>
        </w:rPr>
        <w:t xml:space="preserve">8.1. The ledger is a residency ledger, not a census of presence</w:t>
      </w:r>
    </w:p>
    <w:p>
      <w:pPr>
        <w:spacing w:after="120"/>
      </w:pPr>
      <w:r>
        <w:rPr>
          <w:rFonts w:ascii="Calibri" w:cs="Calibri" w:eastAsia="Calibri" w:hAnsi="Calibri"/>
          <w:sz w:val="22"/>
          <w:szCs w:val="22"/>
        </w:rPr>
        <w:t xml:space="preserve">Counts of population, deaths, births, and migration in this document refer to county of residence as recorded in administrative systems. People who live, work, or are temporarily housed in El Paso County without registering an address there — unhoused individuals, undocumented residents, college students using parental addresses elsewhere, military deployed overseas — are systematically undercounted by varying degrees in different sources.</w:t>
      </w:r>
    </w:p>
    <w:p>
      <w:pPr>
        <w:pStyle w:val="Heading3"/>
        <w:spacing w:after="100" w:before="200"/>
      </w:pPr>
      <w:r>
        <w:rPr>
          <w:rFonts w:ascii="Calibri" w:cs="Calibri" w:eastAsia="Calibri" w:hAnsi="Calibri"/>
          <w:b/>
          <w:bCs/>
          <w:sz w:val="23"/>
          <w:szCs w:val="23"/>
        </w:rPr>
        <w:t xml:space="preserve">8.2. Per-year resolution remains partial</w:t>
      </w:r>
    </w:p>
    <w:p>
      <w:pPr>
        <w:spacing w:after="120"/>
      </w:pPr>
      <w:r>
        <w:rPr>
          <w:rFonts w:ascii="Calibri" w:cs="Calibri" w:eastAsia="Calibri" w:hAnsi="Calibri"/>
          <w:sz w:val="22"/>
          <w:szCs w:val="22"/>
        </w:rPr>
        <w:t xml:space="preserve">The cumulative April 2020 to July 2024 numbers are well-supported. Per-year breakdowns for births require a download not currently produced by CDPHE; per-year breakdowns for SDO migration require their year-over-year spreadsheet, which is hosted on Google Drive in a way that is not retrievable from this analysis environment. Neither gap blocks publication of the ledger but both should be acknowledged.</w:t>
      </w:r>
    </w:p>
    <w:p>
      <w:pPr>
        <w:pStyle w:val="Heading3"/>
        <w:spacing w:after="100" w:before="200"/>
      </w:pPr>
      <w:r>
        <w:rPr>
          <w:rFonts w:ascii="Calibri" w:cs="Calibri" w:eastAsia="Calibri" w:hAnsi="Calibri"/>
          <w:b/>
          <w:bCs/>
          <w:sz w:val="23"/>
          <w:szCs w:val="23"/>
        </w:rPr>
        <w:t xml:space="preserve">8.3. The 2025 data is provisional</w:t>
      </w:r>
    </w:p>
    <w:p>
      <w:pPr>
        <w:spacing w:after="120"/>
      </w:pPr>
      <w:r>
        <w:rPr>
          <w:rFonts w:ascii="Calibri" w:cs="Calibri" w:eastAsia="Calibri" w:hAnsi="Calibri"/>
          <w:sz w:val="22"/>
          <w:szCs w:val="22"/>
        </w:rPr>
        <w:t xml:space="preserve">The CDPHE 2025 death-by-ZIP file is provisional pending final coding. Census PEP estimates for 2025 (released March 2026) reflect their first vintage and will be revised in subsequent years. SDO Vintage 2025 publishes November 2025. Numbers labeled 2025 in this ledger should be expected to revise.</w:t>
      </w:r>
    </w:p>
    <w:p>
      <w:pPr>
        <w:pStyle w:val="Heading3"/>
        <w:spacing w:after="100" w:before="200"/>
      </w:pPr>
      <w:r>
        <w:rPr>
          <w:rFonts w:ascii="Calibri" w:cs="Calibri" w:eastAsia="Calibri" w:hAnsi="Calibri"/>
          <w:b/>
          <w:bCs/>
          <w:sz w:val="23"/>
          <w:szCs w:val="23"/>
        </w:rPr>
        <w:t xml:space="preserve">8.4. The migration row depends on tax-filing behavior</w:t>
      </w:r>
    </w:p>
    <w:p>
      <w:pPr>
        <w:spacing w:after="120"/>
      </w:pPr>
      <w:r>
        <w:rPr>
          <w:rFonts w:ascii="Calibri" w:cs="Calibri" w:eastAsia="Calibri" w:hAnsi="Calibri"/>
          <w:sz w:val="22"/>
          <w:szCs w:val="22"/>
        </w:rPr>
        <w:t xml:space="preserve">IRS SOI captures movements between filing periods, so the migration values shown for vintage YY-(YY+1) describe moves that occurred between when the year-1 return was filed and when the year-2 return was filed — typically April of one year to April of the next. The displayed "year" is a label, not a calendar period. Comparing IRS-year totals to SDO-year totals (July to July) requires the alignment that this document performs in section 6.3.</w:t>
      </w:r>
    </w:p>
    <w:p>
      <w:pPr>
        <w:pStyle w:val="Heading3"/>
        <w:spacing w:after="100" w:before="200"/>
      </w:pPr>
      <w:r>
        <w:rPr>
          <w:rFonts w:ascii="Calibri" w:cs="Calibri" w:eastAsia="Calibri" w:hAnsi="Calibri"/>
          <w:b/>
          <w:bCs/>
          <w:sz w:val="23"/>
          <w:szCs w:val="23"/>
        </w:rPr>
        <w:t xml:space="preserve">8.5. Federal residents are not enumerated in the standard system</w:t>
      </w:r>
    </w:p>
    <w:p>
      <w:pPr>
        <w:spacing w:after="120"/>
      </w:pPr>
      <w:r>
        <w:rPr>
          <w:rFonts w:ascii="Calibri" w:cs="Calibri" w:eastAsia="Calibri" w:hAnsi="Calibri"/>
          <w:sz w:val="22"/>
          <w:szCs w:val="22"/>
        </w:rPr>
        <w:t xml:space="preserve">On-installation residents do not appear in the CDPHE death-by-ZIP file, do not file utility accounts visible to Colorado Springs Utilities, and may or may not appear in IRS county-of-residence files depending on their filing address. The Decennial Census enumerated USAFA and Fort Carson explicitly (13,993 residents combined in 2020); subsequent annual estimates rely on DoD-supplied counts that are not publicly broken out the way Census tract data is. The federal-residents row of the ledger therefore stands somewhat apart from the other rows.</w:t>
      </w:r>
    </w:p>
    <w:p>
      <w:pPr>
        <w:pStyle w:val="Heading1"/>
        <w:spacing w:after="180" w:before="360"/>
      </w:pPr>
      <w:r>
        <w:rPr>
          <w:rFonts w:ascii="Calibri" w:cs="Calibri" w:eastAsia="Calibri" w:hAnsi="Calibri"/>
          <w:b/>
          <w:bCs/>
          <w:sz w:val="32"/>
          <w:szCs w:val="32"/>
        </w:rPr>
        <w:t xml:space="preserve">9. Open requests</w:t>
      </w:r>
    </w:p>
    <w:p>
      <w:pPr>
        <w:spacing w:after="120"/>
      </w:pPr>
      <w:r>
        <w:rPr>
          <w:rFonts w:ascii="Calibri" w:cs="Calibri" w:eastAsia="Calibri" w:hAnsi="Calibri"/>
          <w:sz w:val="22"/>
          <w:szCs w:val="22"/>
        </w:rPr>
        <w:t xml:space="preserve">Active and pending data requests:</w:t>
      </w:r>
    </w:p>
    <w:p>
      <w:pPr>
        <w:pStyle w:val="ListParagraph"/>
        <w:numPr>
          <w:ilvl w:val="0"/>
          <w:numId w:val="2"/>
        </w:numPr>
        <w:spacing w:after="80"/>
      </w:pPr>
      <w:r>
        <w:rPr>
          <w:rFonts w:ascii="Calibri" w:cs="Calibri" w:eastAsia="Calibri" w:hAnsi="Calibri"/>
          <w:sz w:val="22"/>
          <w:szCs w:val="22"/>
        </w:rPr>
        <w:t xml:space="preserve">CDPHE Vital Records: county-of-residence death and birth totals 2020-2024, with on-installation ZIPs unsuppressed. CORA channel cdphe.healthstatistics@state.co.us; estimated turnaround approximately two weeks at $50/hour.</w:t>
      </w:r>
    </w:p>
    <w:p>
      <w:pPr>
        <w:pStyle w:val="ListParagraph"/>
        <w:numPr>
          <w:ilvl w:val="0"/>
          <w:numId w:val="2"/>
        </w:numPr>
        <w:spacing w:after="80"/>
      </w:pPr>
      <w:r>
        <w:rPr>
          <w:rFonts w:ascii="Calibri" w:cs="Calibri" w:eastAsia="Calibri" w:hAnsi="Calibri"/>
          <w:sz w:val="22"/>
          <w:szCs w:val="22"/>
        </w:rPr>
        <w:t xml:space="preserve">Fort Carson Garrison G-5: ASIP back-series for total post-affiliated population, FY2018 forward.</w:t>
      </w:r>
    </w:p>
    <w:p>
      <w:pPr>
        <w:pStyle w:val="ListParagraph"/>
        <w:numPr>
          <w:ilvl w:val="0"/>
          <w:numId w:val="2"/>
        </w:numPr>
        <w:spacing w:after="80"/>
      </w:pPr>
      <w:r>
        <w:rPr>
          <w:rFonts w:ascii="Calibri" w:cs="Calibri" w:eastAsia="Calibri" w:hAnsi="Calibri"/>
          <w:sz w:val="22"/>
          <w:szCs w:val="22"/>
        </w:rPr>
        <w:t xml:space="preserve">USAFA Public Affairs: 2024 personnel and family member counts.</w:t>
      </w:r>
    </w:p>
    <w:p>
      <w:pPr>
        <w:pStyle w:val="ListParagraph"/>
        <w:numPr>
          <w:ilvl w:val="0"/>
          <w:numId w:val="2"/>
        </w:numPr>
        <w:spacing w:after="80"/>
      </w:pPr>
      <w:r>
        <w:rPr>
          <w:rFonts w:ascii="Calibri" w:cs="Calibri" w:eastAsia="Calibri" w:hAnsi="Calibri"/>
          <w:sz w:val="22"/>
          <w:szCs w:val="22"/>
        </w:rPr>
        <w:t xml:space="preserve">Peterson SFB Garrison Public Affairs: 2024 personnel and family member counts.</w:t>
      </w:r>
    </w:p>
    <w:p>
      <w:pPr>
        <w:pStyle w:val="ListParagraph"/>
        <w:numPr>
          <w:ilvl w:val="0"/>
          <w:numId w:val="2"/>
        </w:numPr>
        <w:spacing w:after="80"/>
      </w:pPr>
      <w:r>
        <w:rPr>
          <w:rFonts w:ascii="Calibri" w:cs="Calibri" w:eastAsia="Calibri" w:hAnsi="Calibri"/>
          <w:sz w:val="22"/>
          <w:szCs w:val="22"/>
        </w:rPr>
        <w:t xml:space="preserve">Schriever SFB Garrison Public Affairs: 2024 personnel and family member counts.</w:t>
      </w:r>
    </w:p>
    <w:p>
      <w:pPr>
        <w:pStyle w:val="ListParagraph"/>
        <w:numPr>
          <w:ilvl w:val="0"/>
          <w:numId w:val="2"/>
        </w:numPr>
        <w:spacing w:after="80"/>
      </w:pPr>
      <w:r>
        <w:rPr>
          <w:rFonts w:ascii="Calibri" w:cs="Calibri" w:eastAsia="Calibri" w:hAnsi="Calibri"/>
          <w:sz w:val="22"/>
          <w:szCs w:val="22"/>
        </w:rPr>
        <w:t xml:space="preserve">Cheyenne Mountain SFS Garrison Public Affairs: 2024 personnel counts.</w:t>
      </w:r>
    </w:p>
    <w:p>
      <w:pPr>
        <w:pStyle w:val="ListParagraph"/>
        <w:numPr>
          <w:ilvl w:val="0"/>
          <w:numId w:val="2"/>
        </w:numPr>
        <w:spacing w:after="80"/>
      </w:pPr>
      <w:r>
        <w:rPr>
          <w:rFonts w:ascii="Calibri" w:cs="Calibri" w:eastAsia="Calibri" w:hAnsi="Calibri"/>
          <w:sz w:val="22"/>
          <w:szCs w:val="22"/>
        </w:rPr>
        <w:t xml:space="preserve">Pikes Peak Regional Building Department: APN linkage between permits and parcels, GIS contact, and certificate-of-occupancy storage protocol.</w:t>
      </w:r>
    </w:p>
    <w:p>
      <w:pPr>
        <w:pStyle w:val="ListParagraph"/>
        <w:numPr>
          <w:ilvl w:val="0"/>
          <w:numId w:val="2"/>
        </w:numPr>
        <w:spacing w:after="80"/>
      </w:pPr>
      <w:r>
        <w:rPr>
          <w:rFonts w:ascii="Calibri" w:cs="Calibri" w:eastAsia="Calibri" w:hAnsi="Calibri"/>
          <w:sz w:val="22"/>
          <w:szCs w:val="22"/>
        </w:rPr>
        <w:t xml:space="preserve">El Paso County school districts D8, D49, D3, D2, D20: most recent Federal Impact Aid Section 8003 filings.</w:t>
      </w:r>
    </w:p>
    <w:p>
      <w:pPr>
        <w:pStyle w:val="ListParagraph"/>
        <w:numPr>
          <w:ilvl w:val="0"/>
          <w:numId w:val="2"/>
        </w:numPr>
        <w:spacing w:after="80"/>
      </w:pPr>
      <w:r>
        <w:rPr>
          <w:rFonts w:ascii="Calibri" w:cs="Calibri" w:eastAsia="Calibri" w:hAnsi="Calibri"/>
          <w:sz w:val="22"/>
          <w:szCs w:val="22"/>
        </w:rPr>
        <w:t xml:space="preserve">Colorado Springs Utilities (CORA W001936-041726): explanation for the 43,529-account drop in 2021 active-account series.</w:t>
      </w:r>
    </w:p>
    <w:p>
      <w:pPr>
        <w:pStyle w:val="Heading1"/>
        <w:spacing w:after="180" w:before="360"/>
      </w:pPr>
      <w:r>
        <w:rPr>
          <w:rFonts w:ascii="Calibri" w:cs="Calibri" w:eastAsia="Calibri" w:hAnsi="Calibri"/>
          <w:b/>
          <w:bCs/>
          <w:sz w:val="32"/>
          <w:szCs w:val="32"/>
        </w:rPr>
        <w:t xml:space="preserve">10. Citation and reuse</w:t>
      </w:r>
    </w:p>
    <w:p>
      <w:pPr>
        <w:spacing w:after="120"/>
      </w:pPr>
      <w:r>
        <w:rPr>
          <w:rFonts w:ascii="Calibri" w:cs="Calibri" w:eastAsia="Calibri" w:hAnsi="Calibri"/>
          <w:sz w:val="22"/>
          <w:szCs w:val="22"/>
        </w:rPr>
        <w:t xml:space="preserve">This document and the underlying ledger are released for public reuse. Where any specific figure is cited, the source listed in section 3 is the canonical reference. Where reconciled values are cited (such as the cumulative deaths total of 24,594), the SDO Vintage 2024 spreadsheet is the canonical reference and the cross-check against CDPHE is documented in section 4. The IRS migration series is cited as IRS SOI county-to-county migration files, vintages 2018-19 through 2022-23, irs.gov/pub/irs-soi.</w:t>
      </w:r>
    </w:p>
    <w:p>
      <w:pPr>
        <w:spacing w:after="120" w:before="240"/>
      </w:pPr>
      <w:r>
        <w:rPr>
          <w:rFonts w:ascii="Calibri" w:cs="Calibri" w:eastAsia="Calibri" w:hAnsi="Calibri"/>
          <w:i/>
          <w:iCs/>
          <w:color w:val="666666"/>
          <w:sz w:val="22"/>
          <w:szCs w:val="22"/>
        </w:rPr>
        <w:t xml:space="preserve">Prepared by Pivot True North, April 2026. For corrections, source additions, or methodological discussion, contact emma@pivottruenorth.com.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666666"/>
        <w:sz w:val="18"/>
        <w:szCs w:val="18"/>
      </w:rPr>
      <w:t xml:space="preserve">Pivot True North · Draft v1.0 · 24 April 2026</w:t>
    </w:r>
    <w:r>
      <w:rPr>
        <w:rFonts w:ascii="Calibri" w:cs="Calibri" w:eastAsia="Calibri" w:hAnsi="Calibri"/>
        <w:color w:val="666666"/>
        <w:sz w:val="18"/>
        <w:szCs w:val="18"/>
      </w:rPr>
      <w:t xml:space="preserve">	Page </w:t>
    </w:r>
    <w:r>
      <w:rPr>
        <w:rFonts w:ascii="Calibri" w:cs="Calibri" w:eastAsia="Calibri" w:hAnsi="Calibri"/>
        <w:color w:val="666666"/>
        <w:sz w:val="18"/>
        <w:szCs w:val="18"/>
      </w:rPr>
      <w:fldChar w:fldCharType="begin"/>
      <w:instrText xml:space="preserve">PAGE</w:instrText>
      <w:fldChar w:fldCharType="separate"/>
      <w:fldChar w:fldCharType="end"/>
    </w:r>
    <w:r>
      <w:rPr>
        <w:rFonts w:ascii="Calibri" w:cs="Calibri" w:eastAsia="Calibri" w:hAnsi="Calibri"/>
        <w:color w:val="666666"/>
        <w:sz w:val="18"/>
        <w:szCs w:val="18"/>
      </w:rPr>
      <w:t xml:space="preserve"> of </w:t>
    </w:r>
    <w:r>
      <w:rPr>
        <w:rFonts w:ascii="Calibri" w:cs="Calibri" w:eastAsia="Calibri" w:hAnsi="Calibri"/>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rFonts w:ascii="Calibri" w:cs="Calibri" w:eastAsia="Calibri" w:hAnsi="Calibri"/>
        <w:color w:val="666666"/>
        <w:sz w:val="18"/>
        <w:szCs w:val="18"/>
      </w:rPr>
      <w:t xml:space="preserve">El Paso County population components-of-change ledger</w:t>
    </w:r>
    <w:r>
      <w:rPr>
        <w:rFonts w:ascii="Calibri" w:cs="Calibri" w:eastAsia="Calibri" w:hAnsi="Calibri"/>
        <w:color w:val="666666"/>
        <w:sz w:val="18"/>
        <w:szCs w:val="18"/>
      </w:rPr>
      <w:t xml:space="preserve">	Methodology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sz w:val="32"/>
      <w:szCs w:val="32"/>
    </w:rPr>
  </w:style>
  <w:style w:type="paragraph" w:styleId="Heading2">
    <w:name w:val="Heading 2"/>
    <w:basedOn w:val="Normal"/>
    <w:next w:val="Normal"/>
    <w:qFormat/>
    <w:pPr>
      <w:spacing w:after="140" w:before="280"/>
      <w:outlineLvl w:val="1"/>
    </w:pPr>
    <w:rPr>
      <w:rFonts w:ascii="Calibri" w:cs="Calibri" w:eastAsia="Calibri" w:hAnsi="Calibri"/>
      <w:b/>
      <w:bCs/>
      <w:sz w:val="26"/>
      <w:szCs w:val="26"/>
    </w:rPr>
  </w:style>
  <w:style w:type="paragraph" w:styleId="Heading3">
    <w:name w:val="Heading 3"/>
    <w:basedOn w:val="Normal"/>
    <w:next w:val="Normal"/>
    <w:qFormat/>
    <w:pPr>
      <w:spacing w:after="100" w:before="200"/>
      <w:outlineLvl w:val="2"/>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 Paso County Population Components-of-Change Ledger - Methodology</dc:title>
  <dc:creator>Pivot True North</dc:creator>
  <dc:description>Methodology document for civic transparency dashboard</dc:description>
  <cp:lastModifiedBy>Un-named</cp:lastModifiedBy>
  <cp:revision>1</cp:revision>
  <dcterms:created xsi:type="dcterms:W3CDTF">2026-04-25T03:41:43.018Z</dcterms:created>
  <dcterms:modified xsi:type="dcterms:W3CDTF">2026-04-25T03:41:43.019Z</dcterms:modified>
</cp:coreProperties>
</file>

<file path=docProps/custom.xml><?xml version="1.0" encoding="utf-8"?>
<Properties xmlns="http://schemas.openxmlformats.org/officeDocument/2006/custom-properties" xmlns:vt="http://schemas.openxmlformats.org/officeDocument/2006/docPropsVTypes"/>
</file>