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B3A6B"/>
          <w:sz w:val="36"/>
          <w:szCs w:val="36"/>
        </w:rPr>
        <w:t xml:space="preserve">LORSON RANCH METROPOLITAN DISTRICTS NOS. 1–7</w:t>
      </w:r>
    </w:p>
    <w:p>
      <w:pPr>
        <w:spacing w:after="60" w:before="0"/>
      </w:pPr>
      <w:r>
        <w:rPr>
          <w:rFonts w:ascii="Arial" w:cs="Arial" w:eastAsia="Arial" w:hAnsi="Arial"/>
          <w:i/>
          <w:iCs/>
          <w:color w:val="555555"/>
          <w:sz w:val="22"/>
          <w:szCs w:val="22"/>
        </w:rPr>
        <w:t xml:space="preserve">Public Finance Briefing  |  El Paso County, Colorado  |  2026 Budget Year</w:t>
      </w:r>
    </w:p>
    <w:p>
      <w:pPr>
        <w:pBdr>
          <w:bottom w:val="single" w:color="1B3A6B" w:sz="8" w:space="4"/>
        </w:pBdr>
        <w:spacing w:after="240" w:before="0"/>
      </w:pPr>
      <w:r>
        <w:rPr>
          <w:rFonts w:ascii="Arial" w:cs="Arial" w:eastAsia="Arial" w:hAnsi="Arial"/>
          <w:color w:val="777777"/>
          <w:sz w:val="18"/>
          <w:szCs w:val="18"/>
        </w:rPr>
        <w:t xml:space="preserve">Prepared for internal government reference and continuous community knowledge transfer. All figures drawn from audited 2024 financials and 2026 adopted budgets.</w:t>
      </w:r>
    </w:p>
    <w:p>
      <w:pPr>
        <w:spacing w:after="80" w:before="80"/>
      </w:pPr>
      <w:r>
        <w:t xml:space="preserve"/>
      </w:r>
    </w:p>
    <w:p>
      <w:pPr>
        <w:pStyle w:val="Heading1"/>
        <w:pBdr>
          <w:bottom w:val="single" w:color="1B3A6B" w:sz="6" w:space="4"/>
        </w:pBdr>
        <w:spacing w:after="120" w:before="320"/>
      </w:pPr>
      <w:r>
        <w:rPr>
          <w:rFonts w:ascii="Arial" w:cs="Arial" w:eastAsia="Arial" w:hAnsi="Arial"/>
          <w:b/>
          <w:bCs/>
          <w:color w:val="1B3A6B"/>
          <w:sz w:val="28"/>
          <w:szCs w:val="28"/>
        </w:rPr>
        <w:t xml:space="preserve">What Is Lorson Ranch and How Is It Financed?</w:t>
      </w:r>
    </w:p>
    <w:p>
      <w:pPr>
        <w:spacing w:after="80" w:before="80"/>
      </w:pPr>
      <w:r>
        <w:rPr>
          <w:rFonts w:ascii="Arial" w:cs="Arial" w:eastAsia="Arial" w:hAnsi="Arial"/>
          <w:sz w:val="22"/>
          <w:szCs w:val="22"/>
        </w:rPr>
        <w:t xml:space="preserve">Lorson Ranch is a residential community in unincorporated El Paso County financed through seven special taxing districts — one that operates and maintains the neighborhood, and six that exist solely to borrow money, build infrastructure, and repay bondholders through property taxes collected from homeowners.</w:t>
      </w:r>
    </w:p>
    <w:p>
      <w:pPr>
        <w:spacing w:after="80" w:before="80"/>
      </w:pPr>
      <w:r>
        <w:t xml:space="preserve"/>
      </w:r>
    </w:p>
    <w:p>
      <w:pPr>
        <w:spacing w:after="80" w:before="80"/>
      </w:pPr>
      <w:r>
        <w:rPr>
          <w:rFonts w:ascii="Arial" w:cs="Arial" w:eastAsia="Arial" w:hAnsi="Arial"/>
          <w:sz w:val="22"/>
          <w:szCs w:val="22"/>
        </w:rPr>
        <w:t xml:space="preserve">This type of structure is called a metropolitan district under Colorado Title 32. The developer creates the districts, issues bonds to pay for roads, parks, and utilities, then gradually transfers control to homeowners as the community builds out. In the meantime, homeowners pay both a standard property tax and a district mill levy that can be substantially higher than a typical county levy.</w:t>
      </w:r>
    </w:p>
    <w:p>
      <w:pPr>
        <w:spacing w:after="80" w:before="80"/>
      </w:pPr>
      <w:r>
        <w:t xml:space="preserve"/>
      </w:r>
    </w:p>
    <w:p>
      <w:pPr>
        <w:pStyle w:val="Heading1"/>
        <w:pBdr>
          <w:bottom w:val="single" w:color="1B3A6B" w:sz="6" w:space="4"/>
        </w:pBdr>
        <w:spacing w:after="120" w:before="320"/>
      </w:pPr>
      <w:r>
        <w:rPr>
          <w:rFonts w:ascii="Arial" w:cs="Arial" w:eastAsia="Arial" w:hAnsi="Arial"/>
          <w:b/>
          <w:bCs/>
          <w:color w:val="1B3A6B"/>
          <w:sz w:val="28"/>
          <w:szCs w:val="28"/>
        </w:rPr>
        <w:t xml:space="preserve">The Headline Numbers — Explained Simply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residential market value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$1.62 billion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combined market value of all homes across all 7 districts today — the total tax base the bonds rely 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mill levy collected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$8.72 million/year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property tax revenue collected each year — $1.46M for operations, $7.25M for debt payments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Authorized debt ceiling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$300 million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maximum debt allowed by the Service Plan — total cap, not yet fully issued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Voter-authorized maximum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billion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voters theoretically approved — an absolute ceiling rarely approached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Combined audited net deficit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-$94.2 million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gap between what all 7 districts owe vs. own as of December 31, 2024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District 4 deficit alone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-$62.5 million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District 4 accounts for two-thirds of the deficit — primarily its 2022 bond structure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20"/>
              <w:bottom w:val="none" w:color="FFFFFF" w:sz="0"/>
              <w:right w:val="none" w:color="FFFFFF" w:sz="0"/>
            </w:tcBorders>
            <w:shd w:fill="FFF8E8" w:val="clear"/>
            <w:tcMar>
              <w:top w:type="dxa" w:w="120"/>
              <w:left w:type="dxa" w:w="240"/>
              <w:bottom w:type="dxa" w:w="120"/>
              <w:right w:type="dxa" w:w="120"/>
            </w:tcMar>
          </w:tcPr>
          <w:p>
            <w:r>
              <w:rPr>
                <w:rFonts w:ascii="Arial" w:cs="Arial" w:eastAsia="Arial" w:hAnsi="Arial"/>
                <w:i/>
                <w:iCs/>
                <w:sz w:val="22"/>
                <w:szCs w:val="22"/>
              </w:rPr>
              <w:t xml:space="preserve">Important context: A negative net position is structurally normal for this type of district. Financing districts borrow money, build infrastructure, and hand physical assets to the Service District (MD1) — while keeping debt on their own books. This is by design. What matters is whether annual tax revenue is sufficient to cover debt payments.</w:t>
            </w:r>
          </w:p>
        </w:tc>
      </w:tr>
    </w:tbl>
    <w:p>
      <w:pPr>
        <w:spacing w:after="80" w:before="80"/>
      </w:pPr>
      <w:r>
        <w:t xml:space="preserve"/>
      </w:r>
    </w:p>
    <w:p>
      <w:pPr>
        <w:pStyle w:val="Heading1"/>
        <w:pBdr>
          <w:bottom w:val="single" w:color="1B3A6B" w:sz="6" w:space="4"/>
        </w:pBdr>
        <w:spacing w:after="120" w:before="320"/>
      </w:pPr>
      <w:r>
        <w:rPr>
          <w:rFonts w:ascii="Arial" w:cs="Arial" w:eastAsia="Arial" w:hAnsi="Arial"/>
          <w:b/>
          <w:bCs/>
          <w:color w:val="1B3A6B"/>
          <w:sz w:val="28"/>
          <w:szCs w:val="28"/>
        </w:rPr>
        <w:t xml:space="preserve">Standard Bond Rates — What Is Normal vs. What Lorson Ranch Carries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200"/>
        <w:gridCol w:w="2860"/>
      </w:tblGrid>
      <w:t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Bond Type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Typical Rate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Lorson Ranch Rate</w:t>
            </w:r>
          </w:p>
        </w:tc>
        <w:tc>
          <w:tcPr>
            <w:tcW w:type="dxa" w:w="2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AAA-rated municipal (30-yr)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3.5%–4.5%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applicable</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Lorson Ranch bonds are unrated, high-yield instruments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Colorado metro district (standard)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MD2: 2–5%, MD3: 6%, MD4: 5.5%</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MD3 and MD4 rates are at the high end of normal range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Colorado metro district (subordinate)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7%–9%</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MD4 Series B: 8%</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MD4 subordinate bond is at the top of market range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MD1 Series 2012 (cash flow bond)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4%–5%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 locked until 2041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Significantly above market; no principal due until maturity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Statutory default rate (Colorado)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 compounded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Statutory floor</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C.R.S. § 5-12-102 — applies when no rate is specified</w:t>
            </w:r>
          </w:p>
        </w:tc>
      </w:tr>
    </w:tbl>
    <w:p>
      <w:pPr>
        <w:spacing w:after="80" w:before="80"/>
      </w:pPr>
      <w:r>
        <w:t xml:space="preserve"/>
      </w:r>
    </w:p>
    <w:p>
      <w:pPr>
        <w:spacing w:after="80" w:before="80"/>
      </w:pPr>
      <w:r>
        <w:rPr>
          <w:rFonts w:ascii="Arial" w:cs="Arial" w:eastAsia="Arial" w:hAnsi="Arial"/>
          <w:sz w:val="22"/>
          <w:szCs w:val="22"/>
        </w:rPr>
        <w:t xml:space="preserve">The MD1 Series 2012 bond at 10% is the most notable outlier. It is a cash flow bond — meaning interest accrues rather than defaulting when revenue is insufficient. As of 2024, $3.35 million in interest has already accrued unpaid, with no principal due until 2041.</w:t>
      </w:r>
    </w:p>
    <w:p>
      <w:pPr>
        <w:spacing w:after="80" w:before="80"/>
      </w:pPr>
      <w:r>
        <w:t xml:space="preserve"/>
      </w:r>
    </w:p>
    <w:p>
      <w:pPr>
        <w:pStyle w:val="Heading1"/>
        <w:pBdr>
          <w:bottom w:val="single" w:color="1B3A6B" w:sz="6" w:space="4"/>
        </w:pBdr>
        <w:spacing w:after="120" w:before="320"/>
      </w:pPr>
      <w:r>
        <w:rPr>
          <w:rFonts w:ascii="Arial" w:cs="Arial" w:eastAsia="Arial" w:hAnsi="Arial"/>
          <w:b/>
          <w:bCs/>
          <w:color w:val="1B3A6B"/>
          <w:sz w:val="28"/>
          <w:szCs w:val="28"/>
        </w:rPr>
        <w:t xml:space="preserve">Are Colorado Metro Districts Often Late on Bond Payments?</w:t>
      </w:r>
    </w:p>
    <w:p>
      <w:pPr>
        <w:spacing w:after="80" w:before="80"/>
      </w:pPr>
      <w:r>
        <w:rPr>
          <w:rFonts w:ascii="Arial" w:cs="Arial" w:eastAsia="Arial" w:hAnsi="Arial"/>
          <w:sz w:val="22"/>
          <w:szCs w:val="22"/>
        </w:rPr>
        <w:t xml:space="preserve">Yes — and this is a documented, growing trend statewide. According to a December 2024 report from Municipal Market Analytics, seven Colorado metropolitan districts tapped their debt service reserve funds for the first time in December 2024 to make bond payments they could not cover from regular tax revenue. Thirteen others recorded repeated technical defaults in the same month.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20"/>
              <w:bottom w:val="none" w:color="FFFFFF" w:sz="0"/>
              <w:right w:val="none" w:color="FFFFFF" w:sz="0"/>
            </w:tcBorders>
            <w:shd w:fill="FFF8E8" w:val="clear"/>
            <w:tcMar>
              <w:top w:type="dxa" w:w="120"/>
              <w:left w:type="dxa" w:w="240"/>
              <w:bottom w:type="dxa" w:w="120"/>
              <w:right w:type="dxa" w:w="120"/>
            </w:tcMar>
          </w:tcPr>
          <w:p>
            <w:r>
              <w:rPr>
                <w:rFonts w:ascii="Arial" w:cs="Arial" w:eastAsia="Arial" w:hAnsi="Arial"/>
                <w:i/>
                <w:iCs/>
                <w:sz w:val="22"/>
                <w:szCs w:val="22"/>
              </w:rPr>
              <w:t xml:space="preserve">A technical default does not mean the bond has failed — it means the district used its emergency reserve fund rather than current tax revenue to make a scheduled payment. Repeated use signals that tax revenue is not growing fast enough to keep pace with fixed debt obligations.</w:t>
            </w:r>
          </w:p>
        </w:tc>
      </w:tr>
    </w:tbl>
    <w:p>
      <w:pPr>
        <w:spacing w:after="80" w:before="80"/>
      </w:pPr>
      <w:r>
        <w:t xml:space="preserve"/>
      </w:r>
    </w:p>
    <w:p>
      <w:pPr>
        <w:spacing w:after="80" w:before="80"/>
      </w:pPr>
      <w:r>
        <w:rPr>
          <w:rFonts w:ascii="Arial" w:cs="Arial" w:eastAsia="Arial" w:hAnsi="Arial"/>
          <w:sz w:val="22"/>
          <w:szCs w:val="22"/>
        </w:rPr>
        <w:t xml:space="preserve">The root cause is almost always the same: housing development moved slower than financial projections assumed. When fewer homes are built, less tax revenue is collected, and bond payments — which are fixed — become harder to meet from current income alone.</w:t>
      </w:r>
    </w:p>
    <w:p>
      <w:pPr>
        <w:spacing w:after="80" w:before="80"/>
      </w:pPr>
      <w:r>
        <w:t xml:space="preserve"/>
      </w:r>
    </w:p>
    <w:p>
      <w:pPr>
        <w:pStyle w:val="Heading1"/>
        <w:pBdr>
          <w:bottom w:val="single" w:color="1B3A6B" w:sz="6" w:space="4"/>
        </w:pBdr>
        <w:spacing w:after="120" w:before="320"/>
      </w:pPr>
      <w:r>
        <w:rPr>
          <w:rFonts w:ascii="Arial" w:cs="Arial" w:eastAsia="Arial" w:hAnsi="Arial"/>
          <w:b/>
          <w:bCs/>
          <w:color w:val="1B3A6B"/>
          <w:sz w:val="28"/>
          <w:szCs w:val="28"/>
        </w:rPr>
        <w:t xml:space="preserve">The Colorado Springs Question: Why Would Any District Struggle Here?</w:t>
      </w:r>
    </w:p>
    <w:p>
      <w:pPr>
        <w:spacing w:after="80" w:before="80"/>
      </w:pPr>
      <w:r>
        <w:rPr>
          <w:rFonts w:ascii="Arial" w:cs="Arial" w:eastAsia="Arial" w:hAnsi="Arial"/>
          <w:sz w:val="22"/>
          <w:szCs w:val="22"/>
        </w:rPr>
        <w:t xml:space="preserve">Colorado Springs sits at the center of one of the most economically active defense corridors in the United States. The four major military installations in and around the city generate a combined economic impact that dwarfs most mid-sized American metros: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Installation</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Economic Impact</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Personnel Supported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Fort Carson (Army)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$2.4 billion/year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~64,750 soldiers, family members &amp; civilians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Peterson &amp; Schriever Space Force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$1.2B+ contracting demand/year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~18,400+ personnel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Schriever Space Force Base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$1.3 billion/year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~8,000 military &amp; civilian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Combined regional defense impact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$8.7B+ in FY2024 contract awards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of Pikes Peak region's total GDP</w:t>
            </w:r>
          </w:p>
        </w:tc>
      </w:tr>
    </w:tbl>
    <w:p>
      <w:pPr>
        <w:spacing w:after="80" w:before="80"/>
      </w:pPr>
      <w:r>
        <w:t xml:space="preserve"/>
      </w:r>
    </w:p>
    <w:p>
      <w:pPr>
        <w:spacing w:after="80" w:before="80"/>
      </w:pPr>
      <w:r>
        <w:rPr>
          <w:rFonts w:ascii="Arial" w:cs="Arial" w:eastAsia="Arial" w:hAnsi="Arial"/>
          <w:sz w:val="22"/>
          <w:szCs w:val="22"/>
        </w:rPr>
        <w:t xml:space="preserve">With this economic base, housing demand should be strong and consistent. Yet districts still face coverage gaps — not because demand is absent, but because of a timing mismatch between when bonds are issued and when homes are actually built and occupied. Military families often rent before buying; construction supply chains slowed post-2020; interest rate increases between 2022 and 2024 slowed purchases even in a strong employment market.</w:t>
      </w:r>
    </w:p>
    <w:p>
      <w:pPr>
        <w:spacing w:after="80" w:before="80"/>
      </w:pPr>
      <w:r>
        <w:t xml:space="preserve"/>
      </w:r>
    </w:p>
    <w:p>
      <w:pPr>
        <w:pStyle w:val="Heading1"/>
        <w:pBdr>
          <w:bottom w:val="single" w:color="1B3A6B" w:sz="6" w:space="4"/>
        </w:pBdr>
        <w:spacing w:after="120" w:before="320"/>
      </w:pPr>
      <w:r>
        <w:rPr>
          <w:rFonts w:ascii="Arial" w:cs="Arial" w:eastAsia="Arial" w:hAnsi="Arial"/>
          <w:b/>
          <w:bCs/>
          <w:color w:val="1B3A6B"/>
          <w:sz w:val="28"/>
          <w:szCs w:val="28"/>
        </w:rPr>
        <w:t xml:space="preserve">Why Are Residents Penalized When Development Is Late?</w:t>
      </w:r>
    </w:p>
    <w:p>
      <w:pPr>
        <w:spacing w:after="80" w:before="80"/>
      </w:pPr>
      <w:r>
        <w:rPr>
          <w:rFonts w:ascii="Arial" w:cs="Arial" w:eastAsia="Arial" w:hAnsi="Arial"/>
          <w:sz w:val="22"/>
          <w:szCs w:val="22"/>
        </w:rPr>
        <w:t xml:space="preserve">This is the most important structural question — and the answer is not flattering to the system as designed.</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The Incentive Structure Is Backwards for Residents</w:t>
      </w:r>
    </w:p>
    <w:p>
      <w:pPr>
        <w:spacing w:after="80" w:before="80"/>
      </w:pPr>
      <w:r>
        <w:rPr>
          <w:rFonts w:ascii="Arial" w:cs="Arial" w:eastAsia="Arial" w:hAnsi="Arial"/>
          <w:sz w:val="22"/>
          <w:szCs w:val="22"/>
        </w:rPr>
        <w:t xml:space="preserve">The people who design the financial structure — the developer and their bondholders — get paid early, regardless of what happens later. The people who bear the risk when development slows — the homeowners — had no voice in creating the structure.</w:t>
      </w:r>
    </w:p>
    <w:p>
      <w:pPr>
        <w:spacing w:after="80" w:before="80"/>
      </w:pPr>
      <w:r>
        <w:t xml:space="preserve"/>
      </w:r>
    </w:p>
    <w:p>
      <w:pPr>
        <w:spacing w:after="80" w:before="80"/>
      </w:pPr>
      <w:r>
        <w:rPr>
          <w:rFonts w:ascii="Arial" w:cs="Arial" w:eastAsia="Arial" w:hAnsi="Arial"/>
          <w:sz w:val="22"/>
          <w:szCs w:val="22"/>
        </w:rPr>
        <w:t xml:space="preserve">The developer issues bonds, gets reimbursed for infrastructure already built, and exits. Bondholders receive scheduled interest payments from whatever tax revenue exists. The developer's profit is locked in at bond closing — none of it is contingent on whether 500 homes or 200 homes eventually get built.</w:t>
      </w:r>
    </w:p>
    <w:p>
      <w:pPr>
        <w:spacing w:after="80" w:before="80"/>
      </w:pPr>
      <w:r>
        <w:t xml:space="preserve"/>
      </w:r>
    </w:p>
    <w:p>
      <w:pPr>
        <w:spacing w:after="80" w:before="80"/>
      </w:pPr>
      <w:r>
        <w:rPr>
          <w:rFonts w:ascii="Arial" w:cs="Arial" w:eastAsia="Arial" w:hAnsi="Arial"/>
          <w:sz w:val="22"/>
          <w:szCs w:val="22"/>
        </w:rPr>
        <w:t xml:space="preserve">When fewer homes are built than projected, the same debt payments must be covered by a smaller tax base. To compensate, the district can — and often does — raise mill levies on homes that already exist. Residents who bought early, trusting the projections, end up paying more precisely because those projections were not met. The system punishes the people who had the least information and the least power.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20"/>
              <w:bottom w:val="none" w:color="FFFFFF" w:sz="0"/>
              <w:right w:val="none" w:color="FFFFFF" w:sz="0"/>
            </w:tcBorders>
            <w:shd w:fill="FFF8E8" w:val="clear"/>
            <w:tcMar>
              <w:top w:type="dxa" w:w="120"/>
              <w:left w:type="dxa" w:w="240"/>
              <w:bottom w:type="dxa" w:w="120"/>
              <w:right w:type="dxa" w:w="120"/>
            </w:tcMar>
          </w:tcPr>
          <w:p>
            <w:r>
              <w:rPr>
                <w:rFonts w:ascii="Arial" w:cs="Arial" w:eastAsia="Arial" w:hAnsi="Arial"/>
                <w:i/>
                <w:iCs/>
                <w:sz w:val="22"/>
                <w:szCs w:val="22"/>
              </w:rPr>
              <w:t xml:space="preserve">Specific mechanisms that punish existing residents: Accruing interest on cash flow bonds compounds silently until maturity. Reserve fund draws must eventually be replenished from tax revenue. Cross-pledging chains pressure across multiple districts when any one underperforms. All roads lead back to the mill levy — and the homeowner.</w:t>
            </w:r>
          </w:p>
        </w:tc>
      </w:tr>
    </w:tbl>
    <w:p>
      <w:pPr>
        <w:spacing w:after="80" w:before="80"/>
      </w:pPr>
      <w:r>
        <w:t xml:space="preserve"/>
      </w:r>
    </w:p>
    <w:p>
      <w:pPr>
        <w:pStyle w:val="Heading2"/>
        <w:spacing w:after="100" w:before="240"/>
      </w:pPr>
      <w:r>
        <w:rPr>
          <w:rFonts w:ascii="Arial" w:cs="Arial" w:eastAsia="Arial" w:hAnsi="Arial"/>
          <w:b/>
          <w:bCs/>
          <w:color w:val="1B3A6B"/>
          <w:sz w:val="24"/>
          <w:szCs w:val="24"/>
        </w:rPr>
        <w:t xml:space="preserve">Colorado Springs Military Families Bear a Disproportionate Share</w:t>
      </w:r>
    </w:p>
    <w:p>
      <w:pPr>
        <w:spacing w:after="80" w:before="80"/>
      </w:pPr>
      <w:r>
        <w:rPr>
          <w:rFonts w:ascii="Arial" w:cs="Arial" w:eastAsia="Arial" w:hAnsi="Arial"/>
          <w:sz w:val="22"/>
          <w:szCs w:val="22"/>
        </w:rPr>
        <w:t xml:space="preserve">Military families relocate every two to three years on average. They cannot easily organize politically before their next PCS orders. They often purchase homes quickly without fully understanding the district tax structure layered on top of standard county taxes. And they are concentrated in exactly the kind of new construction communities — like Lorson Ranch — that use this financing model. The population most likely to absorb the cost of slow buildout is also the population least positioned to stay, organize, and push back.</w:t>
      </w:r>
    </w:p>
    <w:p>
      <w:pPr>
        <w:spacing w:after="80" w:before="80"/>
      </w:pPr>
      <w:r>
        <w:t xml:space="preserve"/>
      </w:r>
    </w:p>
    <w:p>
      <w:pPr>
        <w:pStyle w:val="Heading1"/>
        <w:pBdr>
          <w:bottom w:val="single" w:color="1B3A6B" w:sz="6" w:space="4"/>
        </w:pBdr>
        <w:spacing w:after="120" w:before="320"/>
      </w:pPr>
      <w:r>
        <w:rPr>
          <w:rFonts w:ascii="Arial" w:cs="Arial" w:eastAsia="Arial" w:hAnsi="Arial"/>
          <w:b/>
          <w:bCs/>
          <w:color w:val="1B3A6B"/>
          <w:sz w:val="28"/>
          <w:szCs w:val="28"/>
        </w:rPr>
        <w:t xml:space="preserve">How to Change This: A Practical Reform Roadmap</w:t>
      </w:r>
    </w:p>
    <w:p>
      <w:pPr>
        <w:spacing w:after="80" w:before="80"/>
      </w:pPr>
      <w:r>
        <w:rPr>
          <w:rFonts w:ascii="Arial" w:cs="Arial" w:eastAsia="Arial" w:hAnsi="Arial"/>
          <w:sz w:val="22"/>
          <w:szCs w:val="22"/>
        </w:rPr>
        <w:t xml:space="preserve">The current system is legal. That does not make it fair. Change requires action at three levels simultaneously — legislative, local government, and community. Here is a concrete roadmap.</w:t>
      </w:r>
    </w:p>
    <w:p>
      <w:pPr>
        <w:spacing w:after="80" w:before="80"/>
      </w:pPr>
      <w:r>
        <w:t xml:space="preserve"/>
      </w:r>
    </w:p>
    <w:p>
      <w:pPr>
        <w:pStyle w:val="Heading2"/>
        <w:spacing w:after="100" w:before="240"/>
      </w:pPr>
      <w:r>
        <w:rPr>
          <w:rFonts w:ascii="Arial" w:cs="Arial" w:eastAsia="Arial" w:hAnsi="Arial"/>
          <w:b/>
          <w:bCs/>
          <w:color w:val="1A5C38"/>
          <w:sz w:val="24"/>
          <w:szCs w:val="24"/>
        </w:rPr>
        <w:t xml:space="preserve">Level 1: Legislative Reform — State Level</w:t>
      </w:r>
    </w:p>
    <w:p>
      <w:pPr>
        <w:spacing w:after="60" w:before="160"/>
      </w:pPr>
      <w:r>
        <w:rPr>
          <w:rFonts w:ascii="Arial" w:cs="Arial" w:eastAsia="Arial" w:hAnsi="Arial"/>
          <w:b/>
          <w:bCs/>
          <w:color w:val="1A5C38"/>
          <w:sz w:val="22"/>
          <w:szCs w:val="22"/>
        </w:rPr>
        <w:t xml:space="preserve">Step 1A: </w:t>
      </w:r>
      <w:r>
        <w:rPr>
          <w:rFonts w:ascii="Arial" w:cs="Arial" w:eastAsia="Arial" w:hAnsi="Arial"/>
          <w:b/>
          <w:bCs/>
          <w:color w:val="1B3A6B"/>
          <w:sz w:val="22"/>
          <w:szCs w:val="22"/>
        </w:rPr>
        <w:t xml:space="preserve">Require Performance-Based Bond Coverage</w:t>
      </w:r>
    </w:p>
    <w:p>
      <w:pPr>
        <w:spacing w:after="100" w:before="60"/>
      </w:pPr>
      <w:r>
        <w:rPr>
          <w:rFonts w:ascii="Arial" w:cs="Arial" w:eastAsia="Arial" w:hAnsi="Arial"/>
          <w:sz w:val="22"/>
          <w:szCs w:val="22"/>
        </w:rPr>
        <w:t xml:space="preserve">Introduce legislation requiring that if a district's actual residential buildout falls more than 20% below projections within five years, the developer — not existing homeowners — must fund a debt service reserve replenishment. This already exists in some private development financing structures and can be written into Colorado Title 32 Service Plan requirements.</w:t>
      </w:r>
    </w:p>
    <w:p>
      <w:pPr>
        <w:spacing w:after="60" w:before="160"/>
      </w:pPr>
      <w:r>
        <w:rPr>
          <w:rFonts w:ascii="Arial" w:cs="Arial" w:eastAsia="Arial" w:hAnsi="Arial"/>
          <w:b/>
          <w:bCs/>
          <w:color w:val="1A5C38"/>
          <w:sz w:val="22"/>
          <w:szCs w:val="22"/>
        </w:rPr>
        <w:t xml:space="preserve">Step 1B: </w:t>
      </w:r>
      <w:r>
        <w:rPr>
          <w:rFonts w:ascii="Arial" w:cs="Arial" w:eastAsia="Arial" w:hAnsi="Arial"/>
          <w:b/>
          <w:bCs/>
          <w:color w:val="1B3A6B"/>
          <w:sz w:val="22"/>
          <w:szCs w:val="22"/>
        </w:rPr>
        <w:t xml:space="preserve">Cap Mill Levy Escalation on Existing Residents</w:t>
      </w:r>
    </w:p>
    <w:p>
      <w:pPr>
        <w:spacing w:after="100" w:before="60"/>
      </w:pPr>
      <w:r>
        <w:rPr>
          <w:rFonts w:ascii="Arial" w:cs="Arial" w:eastAsia="Arial" w:hAnsi="Arial"/>
          <w:sz w:val="22"/>
          <w:szCs w:val="22"/>
        </w:rPr>
        <w:t xml:space="preserve">Amend C.R.S. § 32-1-1101 to prohibit mill levy increases on parcels that were sold and occupied before a buildout shortfall occurred. The shortfall cost should fall on undeveloped parcels — which the developer still controls — not on families who already bought in.</w:t>
      </w:r>
    </w:p>
    <w:p>
      <w:pPr>
        <w:spacing w:after="60" w:before="160"/>
      </w:pPr>
      <w:r>
        <w:rPr>
          <w:rFonts w:ascii="Arial" w:cs="Arial" w:eastAsia="Arial" w:hAnsi="Arial"/>
          <w:b/>
          <w:bCs/>
          <w:color w:val="1A5C38"/>
          <w:sz w:val="22"/>
          <w:szCs w:val="22"/>
        </w:rPr>
        <w:t xml:space="preserve">Step 1C: </w:t>
      </w:r>
      <w:r>
        <w:rPr>
          <w:rFonts w:ascii="Arial" w:cs="Arial" w:eastAsia="Arial" w:hAnsi="Arial"/>
          <w:b/>
          <w:bCs/>
          <w:color w:val="1B3A6B"/>
          <w:sz w:val="22"/>
          <w:szCs w:val="22"/>
        </w:rPr>
        <w:t xml:space="preserve">Require Buildout Disclosure at Point of Sale</w:t>
      </w:r>
    </w:p>
    <w:p>
      <w:pPr>
        <w:spacing w:after="100" w:before="60"/>
      </w:pPr>
      <w:r>
        <w:rPr>
          <w:rFonts w:ascii="Arial" w:cs="Arial" w:eastAsia="Arial" w:hAnsi="Arial"/>
          <w:sz w:val="22"/>
          <w:szCs w:val="22"/>
        </w:rPr>
        <w:t xml:space="preserve">Mandate that all home purchase contracts in a metro district include a plain-language disclosure showing current buildout percentage, projected vs. actual unit count, current mill levy, and the maximum mill levy authorized. Colorado already requires some HOA disclosures — this extends the same principle to districts.</w:t>
      </w:r>
    </w:p>
    <w:p>
      <w:pPr>
        <w:spacing w:after="60" w:before="160"/>
      </w:pPr>
      <w:r>
        <w:rPr>
          <w:rFonts w:ascii="Arial" w:cs="Arial" w:eastAsia="Arial" w:hAnsi="Arial"/>
          <w:b/>
          <w:bCs/>
          <w:color w:val="1A5C38"/>
          <w:sz w:val="22"/>
          <w:szCs w:val="22"/>
        </w:rPr>
        <w:t xml:space="preserve">Step 1D: </w:t>
      </w:r>
      <w:r>
        <w:rPr>
          <w:rFonts w:ascii="Arial" w:cs="Arial" w:eastAsia="Arial" w:hAnsi="Arial"/>
          <w:b/>
          <w:bCs/>
          <w:color w:val="1B3A6B"/>
          <w:sz w:val="22"/>
          <w:szCs w:val="22"/>
        </w:rPr>
        <w:t xml:space="preserve">Strengthen Board Transition Timelines</w:t>
      </w:r>
    </w:p>
    <w:p>
      <w:pPr>
        <w:spacing w:after="100" w:before="60"/>
      </w:pPr>
      <w:r>
        <w:rPr>
          <w:rFonts w:ascii="Arial" w:cs="Arial" w:eastAsia="Arial" w:hAnsi="Arial"/>
          <w:sz w:val="22"/>
          <w:szCs w:val="22"/>
        </w:rPr>
        <w:t xml:space="preserve">Require developer-controlled boards to begin transition to resident-elected majorities once a community reaches 40% buildout, rather than waiting for full buildout. The current system allows developer control for the entire development window — often a decade or more.</w:t>
      </w:r>
    </w:p>
    <w:p>
      <w:pPr>
        <w:spacing w:after="80" w:before="80"/>
      </w:pPr>
      <w:r>
        <w:t xml:space="preserve"/>
      </w:r>
    </w:p>
    <w:p>
      <w:pPr>
        <w:pStyle w:val="Heading2"/>
        <w:spacing w:after="100" w:before="240"/>
      </w:pPr>
      <w:r>
        <w:rPr>
          <w:rFonts w:ascii="Arial" w:cs="Arial" w:eastAsia="Arial" w:hAnsi="Arial"/>
          <w:b/>
          <w:bCs/>
          <w:color w:val="1A5C38"/>
          <w:sz w:val="24"/>
          <w:szCs w:val="24"/>
        </w:rPr>
        <w:t xml:space="preserve">Level 2: Local Government Action — El Paso County</w:t>
      </w:r>
    </w:p>
    <w:p>
      <w:pPr>
        <w:spacing w:after="60" w:before="160"/>
      </w:pPr>
      <w:r>
        <w:rPr>
          <w:rFonts w:ascii="Arial" w:cs="Arial" w:eastAsia="Arial" w:hAnsi="Arial"/>
          <w:b/>
          <w:bCs/>
          <w:color w:val="1A5C38"/>
          <w:sz w:val="22"/>
          <w:szCs w:val="22"/>
        </w:rPr>
        <w:t xml:space="preserve">Step 2A: </w:t>
      </w:r>
      <w:r>
        <w:rPr>
          <w:rFonts w:ascii="Arial" w:cs="Arial" w:eastAsia="Arial" w:hAnsi="Arial"/>
          <w:b/>
          <w:bCs/>
          <w:color w:val="1B3A6B"/>
          <w:sz w:val="22"/>
          <w:szCs w:val="22"/>
        </w:rPr>
        <w:t xml:space="preserve">Create a Metro District Financial Dashboard</w:t>
      </w:r>
    </w:p>
    <w:p>
      <w:pPr>
        <w:spacing w:after="100" w:before="60"/>
      </w:pPr>
      <w:r>
        <w:rPr>
          <w:rFonts w:ascii="Arial" w:cs="Arial" w:eastAsia="Arial" w:hAnsi="Arial"/>
          <w:sz w:val="22"/>
          <w:szCs w:val="22"/>
        </w:rPr>
        <w:t xml:space="preserve">El Paso County should publish an annual public report — like the Lorson Ranch dashboard referenced in this briefing — for every Title 32 district in the county. Residents should not need to file CORA requests or hire consultants to understand the financial health of the district taxing their home.</w:t>
      </w:r>
    </w:p>
    <w:p>
      <w:pPr>
        <w:spacing w:after="60" w:before="160"/>
      </w:pPr>
      <w:r>
        <w:rPr>
          <w:rFonts w:ascii="Arial" w:cs="Arial" w:eastAsia="Arial" w:hAnsi="Arial"/>
          <w:b/>
          <w:bCs/>
          <w:color w:val="1A5C38"/>
          <w:sz w:val="22"/>
          <w:szCs w:val="22"/>
        </w:rPr>
        <w:t xml:space="preserve">Step 2B: </w:t>
      </w:r>
      <w:r>
        <w:rPr>
          <w:rFonts w:ascii="Arial" w:cs="Arial" w:eastAsia="Arial" w:hAnsi="Arial"/>
          <w:b/>
          <w:bCs/>
          <w:color w:val="1B3A6B"/>
          <w:sz w:val="22"/>
          <w:szCs w:val="22"/>
        </w:rPr>
        <w:t xml:space="preserve">Require DORA Annual Report Summaries in Plain Language</w:t>
      </w:r>
    </w:p>
    <w:p>
      <w:pPr>
        <w:spacing w:after="100" w:before="60"/>
      </w:pPr>
      <w:r>
        <w:rPr>
          <w:rFonts w:ascii="Arial" w:cs="Arial" w:eastAsia="Arial" w:hAnsi="Arial"/>
          <w:sz w:val="22"/>
          <w:szCs w:val="22"/>
        </w:rPr>
        <w:t xml:space="preserve">DORA already receives annual reports from every metropolitan district. The county should request that DORA produce a plain-language summary annually and distribute it to all affected property owners — not just file it in an agency database.</w:t>
      </w:r>
    </w:p>
    <w:p>
      <w:pPr>
        <w:spacing w:after="60" w:before="160"/>
      </w:pPr>
      <w:r>
        <w:rPr>
          <w:rFonts w:ascii="Arial" w:cs="Arial" w:eastAsia="Arial" w:hAnsi="Arial"/>
          <w:b/>
          <w:bCs/>
          <w:color w:val="1A5C38"/>
          <w:sz w:val="22"/>
          <w:szCs w:val="22"/>
        </w:rPr>
        <w:t xml:space="preserve">Step 2C: </w:t>
      </w:r>
      <w:r>
        <w:rPr>
          <w:rFonts w:ascii="Arial" w:cs="Arial" w:eastAsia="Arial" w:hAnsi="Arial"/>
          <w:b/>
          <w:bCs/>
          <w:color w:val="1B3A6B"/>
          <w:sz w:val="22"/>
          <w:szCs w:val="22"/>
        </w:rPr>
        <w:t xml:space="preserve">Establish a County Metro District Ombudsman</w:t>
      </w:r>
    </w:p>
    <w:p>
      <w:pPr>
        <w:spacing w:after="100" w:before="60"/>
      </w:pPr>
      <w:r>
        <w:rPr>
          <w:rFonts w:ascii="Arial" w:cs="Arial" w:eastAsia="Arial" w:hAnsi="Arial"/>
          <w:sz w:val="22"/>
          <w:szCs w:val="22"/>
        </w:rPr>
        <w:t xml:space="preserve">Appoint a single point of contact within county government whose job is to receive resident complaints about metropolitan district billing, governance, and financial disclosures — and to escalate substantiated concerns to DORA, the County Attorney, or the AG as appropriate.</w:t>
      </w:r>
    </w:p>
    <w:p>
      <w:pPr>
        <w:spacing w:after="60" w:before="160"/>
      </w:pPr>
      <w:r>
        <w:rPr>
          <w:rFonts w:ascii="Arial" w:cs="Arial" w:eastAsia="Arial" w:hAnsi="Arial"/>
          <w:b/>
          <w:bCs/>
          <w:color w:val="1A5C38"/>
          <w:sz w:val="22"/>
          <w:szCs w:val="22"/>
        </w:rPr>
        <w:t xml:space="preserve">Step 2D: </w:t>
      </w:r>
      <w:r>
        <w:rPr>
          <w:rFonts w:ascii="Arial" w:cs="Arial" w:eastAsia="Arial" w:hAnsi="Arial"/>
          <w:b/>
          <w:bCs/>
          <w:color w:val="1B3A6B"/>
          <w:sz w:val="22"/>
          <w:szCs w:val="22"/>
        </w:rPr>
        <w:t xml:space="preserve">Audit Service Plan Compliance</w:t>
      </w:r>
    </w:p>
    <w:p>
      <w:pPr>
        <w:spacing w:after="100" w:before="60"/>
      </w:pPr>
      <w:r>
        <w:rPr>
          <w:rFonts w:ascii="Arial" w:cs="Arial" w:eastAsia="Arial" w:hAnsi="Arial"/>
          <w:sz w:val="22"/>
          <w:szCs w:val="22"/>
        </w:rPr>
        <w:t xml:space="preserve">The county should conduct an annual review of whether active metro districts are complying with the terms of their approved Service Plans — including buildout projections, debt caps, and mill levy limits. Non-compliance should trigger formal notice and DORA referral.</w:t>
      </w:r>
    </w:p>
    <w:p>
      <w:pPr>
        <w:spacing w:after="80" w:before="80"/>
      </w:pPr>
      <w:r>
        <w:t xml:space="preserve"/>
      </w:r>
    </w:p>
    <w:p>
      <w:pPr>
        <w:pStyle w:val="Heading2"/>
        <w:spacing w:after="100" w:before="240"/>
      </w:pPr>
      <w:r>
        <w:rPr>
          <w:rFonts w:ascii="Arial" w:cs="Arial" w:eastAsia="Arial" w:hAnsi="Arial"/>
          <w:b/>
          <w:bCs/>
          <w:color w:val="1A5C38"/>
          <w:sz w:val="24"/>
          <w:szCs w:val="24"/>
        </w:rPr>
        <w:t xml:space="preserve">Level 3: Community Action — What Residents Can Do Now</w:t>
      </w:r>
    </w:p>
    <w:p>
      <w:pPr>
        <w:spacing w:after="60" w:before="160"/>
      </w:pPr>
      <w:r>
        <w:rPr>
          <w:rFonts w:ascii="Arial" w:cs="Arial" w:eastAsia="Arial" w:hAnsi="Arial"/>
          <w:b/>
          <w:bCs/>
          <w:color w:val="1A5C38"/>
          <w:sz w:val="22"/>
          <w:szCs w:val="22"/>
        </w:rPr>
        <w:t xml:space="preserve">Step 3A: </w:t>
      </w:r>
      <w:r>
        <w:rPr>
          <w:rFonts w:ascii="Arial" w:cs="Arial" w:eastAsia="Arial" w:hAnsi="Arial"/>
          <w:b/>
          <w:bCs/>
          <w:color w:val="1B3A6B"/>
          <w:sz w:val="22"/>
          <w:szCs w:val="22"/>
        </w:rPr>
        <w:t xml:space="preserve">Attend and Record Board Meetings</w:t>
      </w:r>
    </w:p>
    <w:p>
      <w:pPr>
        <w:spacing w:after="100" w:before="60"/>
      </w:pPr>
      <w:r>
        <w:rPr>
          <w:rFonts w:ascii="Arial" w:cs="Arial" w:eastAsia="Arial" w:hAnsi="Arial"/>
          <w:sz w:val="22"/>
          <w:szCs w:val="22"/>
        </w:rPr>
        <w:t xml:space="preserve">Every metropolitan district board is required to hold public meetings with advance notice. Residents can attend, ask questions on the record, and request copies of board minutes. A pattern of non-responsive or conflicted governance, documented over time, becomes the foundation for a formal DORA complaint.</w:t>
      </w:r>
    </w:p>
    <w:p>
      <w:pPr>
        <w:spacing w:after="60" w:before="160"/>
      </w:pPr>
      <w:r>
        <w:rPr>
          <w:rFonts w:ascii="Arial" w:cs="Arial" w:eastAsia="Arial" w:hAnsi="Arial"/>
          <w:b/>
          <w:bCs/>
          <w:color w:val="1A5C38"/>
          <w:sz w:val="22"/>
          <w:szCs w:val="22"/>
        </w:rPr>
        <w:t xml:space="preserve">Step 3B: </w:t>
      </w:r>
      <w:r>
        <w:rPr>
          <w:rFonts w:ascii="Arial" w:cs="Arial" w:eastAsia="Arial" w:hAnsi="Arial"/>
          <w:b/>
          <w:bCs/>
          <w:color w:val="1B3A6B"/>
          <w:sz w:val="22"/>
          <w:szCs w:val="22"/>
        </w:rPr>
        <w:t xml:space="preserve">File CORA and DORA Requests</w:t>
      </w:r>
    </w:p>
    <w:p>
      <w:pPr>
        <w:spacing w:after="100" w:before="60"/>
      </w:pPr>
      <w:r>
        <w:rPr>
          <w:rFonts w:ascii="Arial" w:cs="Arial" w:eastAsia="Arial" w:hAnsi="Arial"/>
          <w:sz w:val="22"/>
          <w:szCs w:val="22"/>
        </w:rPr>
        <w:t xml:space="preserve">Annual reports, bond documents, and financial audits filed with DORA are public records. Residents can request them directly. The Lorson Ranch financial dashboard referenced in this briefing was built entirely from publicly available records — no insider access required.</w:t>
      </w:r>
    </w:p>
    <w:p>
      <w:pPr>
        <w:spacing w:after="60" w:before="160"/>
      </w:pPr>
      <w:r>
        <w:rPr>
          <w:rFonts w:ascii="Arial" w:cs="Arial" w:eastAsia="Arial" w:hAnsi="Arial"/>
          <w:b/>
          <w:bCs/>
          <w:color w:val="1A5C38"/>
          <w:sz w:val="22"/>
          <w:szCs w:val="22"/>
        </w:rPr>
        <w:t xml:space="preserve">Step 3C: </w:t>
      </w:r>
      <w:r>
        <w:rPr>
          <w:rFonts w:ascii="Arial" w:cs="Arial" w:eastAsia="Arial" w:hAnsi="Arial"/>
          <w:b/>
          <w:bCs/>
          <w:color w:val="1B3A6B"/>
          <w:sz w:val="22"/>
          <w:szCs w:val="22"/>
        </w:rPr>
        <w:t xml:space="preserve">Organize Before the 2027 Ballot</w:t>
      </w:r>
    </w:p>
    <w:p>
      <w:pPr>
        <w:spacing w:after="100" w:before="60"/>
      </w:pPr>
      <w:r>
        <w:rPr>
          <w:rFonts w:ascii="Arial" w:cs="Arial" w:eastAsia="Arial" w:hAnsi="Arial"/>
          <w:sz w:val="22"/>
          <w:szCs w:val="22"/>
        </w:rPr>
        <w:t xml:space="preserve">Multiple board seats across Lorson Ranch districts appear on the 2027 ballot. Organized residents who file and run for these seats can begin the transition from developer-controlled governance to resident-controlled governance. This is the most direct path to structural change at the district level.</w:t>
      </w:r>
    </w:p>
    <w:p>
      <w:pPr>
        <w:spacing w:after="60" w:before="160"/>
      </w:pPr>
      <w:r>
        <w:rPr>
          <w:rFonts w:ascii="Arial" w:cs="Arial" w:eastAsia="Arial" w:hAnsi="Arial"/>
          <w:b/>
          <w:bCs/>
          <w:color w:val="1A5C38"/>
          <w:sz w:val="22"/>
          <w:szCs w:val="22"/>
        </w:rPr>
        <w:t xml:space="preserve">Step 3D: </w:t>
      </w:r>
      <w:r>
        <w:rPr>
          <w:rFonts w:ascii="Arial" w:cs="Arial" w:eastAsia="Arial" w:hAnsi="Arial"/>
          <w:b/>
          <w:bCs/>
          <w:color w:val="1B3A6B"/>
          <w:sz w:val="22"/>
          <w:szCs w:val="22"/>
        </w:rPr>
        <w:t xml:space="preserve">Connect With State Legislators</w:t>
      </w:r>
    </w:p>
    <w:p>
      <w:pPr>
        <w:spacing w:after="100" w:before="60"/>
      </w:pPr>
      <w:r>
        <w:rPr>
          <w:rFonts w:ascii="Arial" w:cs="Arial" w:eastAsia="Arial" w:hAnsi="Arial"/>
          <w:sz w:val="22"/>
          <w:szCs w:val="22"/>
        </w:rPr>
        <w:t xml:space="preserve">The 2023 Colorado metro district reform law passed because residents, journalists, and advocacy organizations built a sustained public case. Connecting with El Paso County's state legislative delegation and sharing documented examples of how the current system affects military families is the fastest path to additional reforms.</w:t>
      </w:r>
    </w:p>
    <w:p>
      <w:pPr>
        <w:spacing w:after="80" w:before="80"/>
      </w:pPr>
      <w:r>
        <w:t xml:space="preserve"/>
      </w:r>
    </w:p>
    <w:p>
      <w:pPr>
        <w:pStyle w:val="Heading1"/>
        <w:pBdr>
          <w:bottom w:val="single" w:color="1B3A6B" w:sz="6" w:space="4"/>
        </w:pBdr>
        <w:spacing w:after="120" w:before="320"/>
      </w:pPr>
      <w:r>
        <w:rPr>
          <w:rFonts w:ascii="Arial" w:cs="Arial" w:eastAsia="Arial" w:hAnsi="Arial"/>
          <w:b/>
          <w:bCs/>
          <w:color w:val="1B3A6B"/>
          <w:sz w:val="28"/>
          <w:szCs w:val="28"/>
        </w:rPr>
        <w:t xml:space="preserve">Knowledge Transfer: What the Next Person Needs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C38" w:sz="20"/>
              <w:bottom w:val="none" w:color="FFFFFF" w:sz="0"/>
              <w:right w:val="none" w:color="FFFFFF" w:sz="0"/>
            </w:tcBorders>
            <w:shd w:fill="E8F5EE" w:val="clear"/>
            <w:tcMar>
              <w:top w:type="dxa" w:w="120"/>
              <w:left w:type="dxa" w:w="240"/>
              <w:bottom w:type="dxa" w:w="120"/>
              <w:right w:type="dxa" w:w="120"/>
            </w:tcMar>
          </w:tcPr>
          <w:p>
            <w:r>
              <w:rPr>
                <w:rFonts w:ascii="Arial" w:cs="Arial" w:eastAsia="Arial" w:hAnsi="Arial"/>
                <w:i/>
                <w:iCs/>
                <w:sz w:val="22"/>
                <w:szCs w:val="22"/>
              </w:rPr>
              <w:t xml:space="preserve">This section is written specifically for whoever reads this document next — whether you are a new government employee, an incoming board member, a community organizer, a military family who just received orders to Colorado Springs, or a journalist. The information in this briefing should not have to be rediscovered from scratch each time someone new asks the same questions.</w:t>
            </w:r>
          </w:p>
        </w:tc>
      </w:tr>
    </w:tbl>
    <w:p>
      <w:pPr>
        <w:spacing w:after="80" w:before="80"/>
      </w:pPr>
      <w:r>
        <w:t xml:space="preserve"/>
      </w:r>
    </w:p>
    <w:p>
      <w:pPr>
        <w:pStyle w:val="Heading2"/>
        <w:spacing w:after="100" w:before="240"/>
      </w:pPr>
      <w:r>
        <w:rPr>
          <w:rFonts w:ascii="Arial" w:cs="Arial" w:eastAsia="Arial" w:hAnsi="Arial"/>
          <w:b/>
          <w:bCs/>
          <w:color w:val="1B3A6B"/>
          <w:sz w:val="24"/>
          <w:szCs w:val="24"/>
        </w:rPr>
        <w:t xml:space="preserve">What Has Already Been Done</w:t>
      </w:r>
    </w:p>
    <w:p>
      <w:pPr>
        <w:spacing w:after="80" w:before="80"/>
      </w:pPr>
      <w:r>
        <w:rPr>
          <w:rFonts w:ascii="Arial" w:cs="Arial" w:eastAsia="Arial" w:hAnsi="Arial"/>
          <w:sz w:val="22"/>
          <w:szCs w:val="22"/>
        </w:rPr>
        <w:t xml:space="preserve">As of April 2026, public records requests (CORA) have been filed with DORA seeking Lorson Ranch annual reports, bond filings, and development assumptions from 2020 to present. A financial dashboard has been independently built from public records and is accessible at cheetochopsticks.com/microsites/specialdistricts/LorsonRanch/lorson_ranch_dashboard. This briefing document is part of a broader accountability effort.</w:t>
      </w:r>
    </w:p>
    <w:p>
      <w:pPr>
        <w:spacing w:after="80" w:before="80"/>
      </w:pPr>
      <w:r>
        <w:t xml:space="preserve"/>
      </w:r>
    </w:p>
    <w:p>
      <w:pPr>
        <w:pStyle w:val="Heading2"/>
        <w:spacing w:after="100" w:before="240"/>
      </w:pPr>
      <w:r>
        <w:rPr>
          <w:rFonts w:ascii="Arial" w:cs="Arial" w:eastAsia="Arial" w:hAnsi="Arial"/>
          <w:b/>
          <w:bCs/>
          <w:color w:val="1B3A6B"/>
          <w:sz w:val="24"/>
          <w:szCs w:val="24"/>
        </w:rPr>
        <w:t xml:space="preserve">What Still Needs to Be Done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Outstanding Item</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Who Should Do It</w:t>
            </w:r>
          </w:p>
        </w:tc>
        <w:tc>
          <w:tcPr>
            <w:tcW w:type="dxa" w:w="4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DORA CORA request response (filed April 2026)</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Follow up if no response within 10 business days</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Official annual reports may contain buildout variances not visible in public filings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MD5 and MD7 buildout monitoring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County Planning or community volunteer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These two districts have almost no assessed value yet — they are the earliest warning signal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MD1 Series 2012 accrued interest tracking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Any future board member or county auditor</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$3.35M unpaid interest compounds annually — someone needs to be watching this number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2027 board election organizing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Resident community groups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seats across all 7 districts are on the ballot — this is the window for transition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Legislative outreach on performance-based coverage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Local resident groups + state legislative contacts</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2023 reform law was a start — performance bonding is the next needed step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Plain-language disclosure at point of sale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County or state legislative advocacy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Military families need this information before they buy, not after</w:t>
            </w:r>
          </w:p>
        </w:tc>
      </w:tr>
    </w:tbl>
    <w:p>
      <w:pPr>
        <w:spacing w:after="80" w:before="80"/>
      </w:pPr>
      <w:r>
        <w:t xml:space="preserve"/>
      </w:r>
    </w:p>
    <w:p>
      <w:pPr>
        <w:pStyle w:val="Heading2"/>
        <w:spacing w:after="100" w:before="240"/>
      </w:pPr>
      <w:r>
        <w:rPr>
          <w:rFonts w:ascii="Arial" w:cs="Arial" w:eastAsia="Arial" w:hAnsi="Arial"/>
          <w:b/>
          <w:bCs/>
          <w:color w:val="1B3A6B"/>
          <w:sz w:val="24"/>
          <w:szCs w:val="24"/>
        </w:rPr>
        <w:t xml:space="preserve">Key Contacts and Resources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Contact / Resource</w:t>
            </w:r>
          </w:p>
        </w:tc>
        <w:tc>
          <w:tcPr>
            <w:tcW w:type="dxa" w:w="3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DORA Division of Local Government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dora.colorado.gov/dlg</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Annual reports, Service Plans, bond filings for all metro districts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Paso County Assessor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assessor.elpasoco.com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assessed values, parcel search, property records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El Paso County Clerk &amp; Recorder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clerkandrecorder.elpasoco.com</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Recorded deeds, plats, liens — free public search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Municipal Market Analytics (MMA)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mma.com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Independent analysis of metro district bond health statewide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Colorado General Assembly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leg.colorado.gov</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Track and comment on pending metro district reform legislation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Bond Buyer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bondbuyer.com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 publication tracking Colorado metro district defaults</w:t>
            </w:r>
          </w:p>
        </w:tc>
      </w:tr>
    </w:tbl>
    <w:p>
      <w:pPr>
        <w:spacing w:after="80" w:before="80"/>
      </w:pPr>
      <w:r>
        <w:t xml:space="preserve"/>
      </w:r>
    </w:p>
    <w:p>
      <w:pPr>
        <w:pStyle w:val="Heading1"/>
        <w:pBdr>
          <w:bottom w:val="single" w:color="1B3A6B" w:sz="6" w:space="4"/>
        </w:pBdr>
        <w:spacing w:after="120" w:before="320"/>
      </w:pPr>
      <w:r>
        <w:rPr>
          <w:rFonts w:ascii="Arial" w:cs="Arial" w:eastAsia="Arial" w:hAnsi="Arial"/>
          <w:b/>
          <w:bCs/>
          <w:color w:val="1B3A6B"/>
          <w:sz w:val="28"/>
          <w:szCs w:val="28"/>
        </w:rPr>
        <w:t xml:space="preserve">A Note on Civic Responsibility</w:t>
      </w:r>
    </w:p>
    <w:p>
      <w:pPr>
        <w:spacing w:after="80" w:before="80"/>
      </w:pPr>
      <w:r>
        <w:rPr>
          <w:rFonts w:ascii="Arial" w:cs="Arial" w:eastAsia="Arial" w:hAnsi="Arial"/>
          <w:sz w:val="22"/>
          <w:szCs w:val="22"/>
        </w:rPr>
        <w:t xml:space="preserve">This section addresses a question that often goes unasked in financial briefings but deserves a direct answer: when a legal system produces outcomes that most people would recognize as unfair, what is the responsibility of the individuals who designed, approved, and profited from it?</w:t>
      </w:r>
    </w:p>
    <w:p>
      <w:pPr>
        <w:spacing w:after="80" w:before="80"/>
      </w:pPr>
      <w:r>
        <w:t xml:space="preserve"/>
      </w:r>
    </w:p>
    <w:p>
      <w:pPr>
        <w:spacing w:after="80" w:before="80"/>
      </w:pPr>
      <w:r>
        <w:rPr>
          <w:rFonts w:ascii="Arial" w:cs="Arial" w:eastAsia="Arial" w:hAnsi="Arial"/>
          <w:sz w:val="22"/>
          <w:szCs w:val="22"/>
        </w:rPr>
        <w:t xml:space="preserve">Colorado's metropolitan district framework is legal. The developers, attorneys, bond underwriters, and board members who created the Lorson Ranch structure followed the rules as written. Conflict of interest disclosures were made. Voter authorizations were obtained — though typically through elections with very low participation, often before any residents lived in the district. None of this is secret. All of it is documented in public filings.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20"/>
              <w:bottom w:val="none" w:color="FFFFFF" w:sz="0"/>
              <w:right w:val="none" w:color="FFFFFF" w:sz="0"/>
            </w:tcBorders>
            <w:shd w:fill="EEEEFF" w:val="clear"/>
            <w:tcMar>
              <w:top w:type="dxa" w:w="120"/>
              <w:left w:type="dxa" w:w="240"/>
              <w:bottom w:type="dxa" w:w="120"/>
              <w:right w:type="dxa" w:w="120"/>
            </w:tcMar>
          </w:tcPr>
          <w:p>
            <w:r>
              <w:rPr>
                <w:rFonts w:ascii="Arial" w:cs="Arial" w:eastAsia="Arial" w:hAnsi="Arial"/>
                <w:i/>
                <w:iCs/>
                <w:sz w:val="22"/>
                <w:szCs w:val="22"/>
              </w:rPr>
              <w:t xml:space="preserve">Legal and ethical are not the same thing. A system can be entirely within the law and still transfer risk onto people who did not understand what they were agreeing to, could not meaningfully participate in the decisions that affected them, and have no practical exit once they have purchased a home.</w:t>
            </w:r>
          </w:p>
        </w:tc>
      </w:tr>
    </w:tbl>
    <w:p>
      <w:pPr>
        <w:spacing w:after="80" w:before="80"/>
      </w:pPr>
      <w:r>
        <w:t xml:space="preserve"/>
      </w:r>
    </w:p>
    <w:p>
      <w:pPr>
        <w:pStyle w:val="Heading2"/>
        <w:spacing w:after="100" w:before="240"/>
      </w:pPr>
      <w:r>
        <w:rPr>
          <w:rFonts w:ascii="Arial" w:cs="Arial" w:eastAsia="Arial" w:hAnsi="Arial"/>
          <w:b/>
          <w:bCs/>
          <w:color w:val="1B3A6B"/>
          <w:sz w:val="24"/>
          <w:szCs w:val="24"/>
        </w:rPr>
        <w:t xml:space="preserve">What Civic Responsibility Looks Like Here</w:t>
      </w:r>
    </w:p>
    <w:p>
      <w:pPr>
        <w:spacing w:after="80" w:before="80"/>
      </w:pPr>
      <w:r>
        <w:rPr>
          <w:rFonts w:ascii="Arial" w:cs="Arial" w:eastAsia="Arial" w:hAnsi="Arial"/>
          <w:sz w:val="22"/>
          <w:szCs w:val="22"/>
        </w:rPr>
        <w:t xml:space="preserve">For developers and their attorneys: The responsible path forward is transparency — publishing plain-language financial summaries alongside marketing materials, not burying mill levy information in Service Plan documents most buyers never read. Proactively disclosing buildout shortfalls. Supporting rather than resisting resident board transitions.</w:t>
      </w:r>
    </w:p>
    <w:p>
      <w:pPr>
        <w:spacing w:after="80" w:before="80"/>
      </w:pPr>
      <w:r>
        <w:t xml:space="preserve"/>
      </w:r>
    </w:p>
    <w:p>
      <w:pPr>
        <w:spacing w:after="80" w:before="80"/>
      </w:pPr>
      <w:r>
        <w:rPr>
          <w:rFonts w:ascii="Arial" w:cs="Arial" w:eastAsia="Arial" w:hAnsi="Arial"/>
          <w:sz w:val="22"/>
          <w:szCs w:val="22"/>
        </w:rPr>
        <w:t xml:space="preserve">For bondholders and financial advisors: Structuring instruments at rates that reflect actual risk — not rates that maximize return while insulating the issuer from consequences of slow buildout. A 10% cash flow bond with no principal until 2041 is not a market rate. It is a transfer of risk onto future residents who had no say in the original transaction.</w:t>
      </w:r>
    </w:p>
    <w:p>
      <w:pPr>
        <w:spacing w:after="80" w:before="80"/>
      </w:pPr>
      <w:r>
        <w:t xml:space="preserve"/>
      </w:r>
    </w:p>
    <w:p>
      <w:pPr>
        <w:spacing w:after="80" w:before="80"/>
      </w:pPr>
      <w:r>
        <w:rPr>
          <w:rFonts w:ascii="Arial" w:cs="Arial" w:eastAsia="Arial" w:hAnsi="Arial"/>
          <w:sz w:val="22"/>
          <w:szCs w:val="22"/>
        </w:rPr>
        <w:t xml:space="preserve">For local government employees and elected officials: The county approves Service Plans. It has the authority to condition approval on performance protections, plain-language disclosures, and accelerated board transition timelines. Approving plans as submitted without these protections is a choice — and it is a choice that is made repeatedly, in every county in Colorado where these structures are used.</w:t>
      </w:r>
    </w:p>
    <w:p>
      <w:pPr>
        <w:spacing w:after="80" w:before="80"/>
      </w:pPr>
      <w:r>
        <w:t xml:space="preserve"/>
      </w:r>
    </w:p>
    <w:p>
      <w:pPr>
        <w:spacing w:after="80" w:before="80"/>
      </w:pPr>
      <w:r>
        <w:rPr>
          <w:rFonts w:ascii="Arial" w:cs="Arial" w:eastAsia="Arial" w:hAnsi="Arial"/>
          <w:sz w:val="22"/>
          <w:szCs w:val="22"/>
        </w:rPr>
        <w:t xml:space="preserve">For military families and all residents: The question of honor and character is not only for the developer. It is also for the community that allows these structures to repeat, election after election, without sustained public attention. Every time a Lorson Ranch board election passes with no resident candidates, the developer retains control by default. Participation is not optional if change is the goal.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C38" w:sz="20"/>
              <w:bottom w:val="none" w:color="FFFFFF" w:sz="0"/>
              <w:right w:val="none" w:color="FFFFFF" w:sz="0"/>
            </w:tcBorders>
            <w:shd w:fill="E8F5EE" w:val="clear"/>
            <w:tcMar>
              <w:top w:type="dxa" w:w="120"/>
              <w:left w:type="dxa" w:w="240"/>
              <w:bottom w:type="dxa" w:w="120"/>
              <w:right w:type="dxa" w:w="120"/>
            </w:tcMar>
          </w:tcPr>
          <w:p>
            <w:r>
              <w:rPr>
                <w:rFonts w:ascii="Arial" w:cs="Arial" w:eastAsia="Arial" w:hAnsi="Arial"/>
                <w:i/>
                <w:iCs/>
                <w:sz w:val="22"/>
                <w:szCs w:val="22"/>
              </w:rPr>
              <w:t xml:space="preserve">Colorado Springs has built its identity around service, sacrifice, and institutional integrity. Five military installations. Generations of families who moved here on orders and chose to stay. That culture of accountability does not stop at the base gate. It extends to every institution that touches the lives of the people who live here — including the special districts that tax their homes.</w:t>
            </w:r>
          </w:p>
        </w:tc>
      </w:tr>
    </w:tbl>
    <w:p>
      <w:pPr>
        <w:spacing w:after="80" w:before="80"/>
      </w:pPr>
      <w:r>
        <w:t xml:space="preserve"/>
      </w:r>
    </w:p>
    <w:p>
      <w:pPr>
        <w:spacing w:after="80" w:before="80"/>
      </w:pPr>
      <w:r>
        <w:rPr>
          <w:rFonts w:ascii="Arial" w:cs="Arial" w:eastAsia="Arial" w:hAnsi="Arial"/>
          <w:sz w:val="22"/>
          <w:szCs w:val="22"/>
        </w:rPr>
        <w:t xml:space="preserve">The goal of this briefing is not to assign blame. It is to ensure that the people who come next — the next government employee, the next military family, the next community organizer — do not have to start from zero. Knowledge transferred is accountability sustained.</w:t>
      </w:r>
    </w:p>
    <w:p>
      <w:pPr>
        <w:spacing w:after="80" w:before="80"/>
      </w:pPr>
      <w:r>
        <w:t xml:space="preserve"/>
      </w:r>
    </w:p>
    <w:p>
      <w:pPr>
        <w:pBdr>
          <w:top w:val="single" w:color="CCCCCC" w:sz="4" w:space="4"/>
        </w:pBdr>
        <w:spacing w:after="0" w:before="240"/>
      </w:pPr>
      <w:r>
        <w:rPr>
          <w:rFonts w:ascii="Arial" w:cs="Arial" w:eastAsia="Arial" w:hAnsi="Arial"/>
          <w:i/>
          <w:iCs/>
          <w:color w:val="777777"/>
          <w:sz w:val="18"/>
          <w:szCs w:val="18"/>
        </w:rPr>
        <w:t xml:space="preserve">Sources: Lorson Ranch Metropolitan Districts 2024 audited financials (Wipfli LLP); 2026 adopted budgets; Bond Buyer (December 2024); Municipal Market Analytics; Colorado Revised Statutes Title 32; U.S. military installation economic impact data (FY2024); Colorado General Assembly legislative history; Colorado DORA Division of Local Government. Prepared April 2026. This document is intended for public distribution and knowledge transfer.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3A6B"/>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2026-04-29T00:50:07.168Z</dcterms:created>
  <dcterms:modified xsi:type="dcterms:W3CDTF">2026-04-29T00:50:07.181Z</dcterms:modified>
</cp:coreProperties>
</file>

<file path=docProps/custom.xml><?xml version="1.0" encoding="utf-8"?>
<Properties xmlns="http://schemas.openxmlformats.org/officeDocument/2006/custom-properties" xmlns:vt="http://schemas.openxmlformats.org/officeDocument/2006/docPropsVTypes"/>
</file>