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jc w:val="center"/>
      </w:pPr>
      <w:r>
        <w:rPr>
          <w:b/>
          <w:bCs/>
          <w:color w:val="1F3A5F"/>
          <w:sz w:val="44"/>
          <w:szCs w:val="44"/>
        </w:rPr>
        <w:t xml:space="preserve">Digital Accessibility &amp; Public Participation Compliance Audit</w:t>
      </w:r>
    </w:p>
    <w:p>
      <w:pPr>
        <w:spacing w:after="480" w:before="240"/>
        <w:jc w:val="center"/>
      </w:pPr>
      <w:r>
        <w:rPr>
          <w:color w:val="595959"/>
          <w:sz w:val="26"/>
          <w:szCs w:val="26"/>
        </w:rPr>
        <w:t xml:space="preserve">Three Public-Facing Assets — City of Colorado Springs</w:t>
      </w:r>
    </w:p>
    <w:p>
      <w:pPr>
        <w:spacing w:before="240"/>
        <w:jc w:val="center"/>
      </w:pPr>
      <w:r>
        <w:rPr>
          <w:sz w:val="22"/>
          <w:szCs w:val="22"/>
        </w:rPr>
        <w:t xml:space="preserve">Audit Report — Version 1.0</w:t>
      </w:r>
    </w:p>
    <w:p>
      <w:pPr>
        <w:spacing w:before="120"/>
        <w:jc w:val="center"/>
      </w:pPr>
      <w:r>
        <w:rPr>
          <w:sz w:val="22"/>
          <w:szCs w:val="22"/>
        </w:rPr>
        <w:t xml:space="preserve">May 4, 2026</w:t>
      </w:r>
    </w:p>
    <w:p>
      <w:pPr>
        <w:spacing w:before="1600"/>
      </w:pPr>
      <w:r>
        <w:t xml:space="preserve"/>
      </w:r>
    </w:p>
    <w:tbl>
      <w:tblPr>
        <w:tblW w:type="dxa" w:w="6480"/>
        <w:jc w:val="center"/>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sz w:val="20"/>
                <w:szCs w:val="20"/>
              </w:rPr>
              <w:t xml:space="preserve">Prepared for</w:t>
            </w:r>
          </w:p>
        </w:tc>
        <w:tc>
          <w:tcPr>
            <w:tcW w:type="dxa" w:w="43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City of Colorado Springs — Office of Accessibility</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sz w:val="20"/>
                <w:szCs w:val="20"/>
              </w:rPr>
              <w:t xml:space="preserve">Subject</w:t>
            </w:r>
          </w:p>
        </w:tc>
        <w:tc>
          <w:tcPr>
            <w:tcW w:type="dxa" w:w="43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HOME-ARP Public Comment Process — Digital Asset Compliance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sz w:val="20"/>
                <w:szCs w:val="20"/>
              </w:rPr>
              <w:t xml:space="preserve">Audit date</w:t>
            </w:r>
          </w:p>
        </w:tc>
        <w:tc>
          <w:tcPr>
            <w:tcW w:type="dxa" w:w="43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May 4, 2026</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sz w:val="20"/>
                <w:szCs w:val="20"/>
              </w:rPr>
              <w:t xml:space="preserve">Comment period</w:t>
            </w:r>
          </w:p>
        </w:tc>
        <w:tc>
          <w:tcPr>
            <w:tcW w:type="dxa" w:w="43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April 24, 2026 – May 26, 2026 (active)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r>
              <w:rPr>
                <w:b/>
                <w:bCs/>
                <w:sz w:val="20"/>
                <w:szCs w:val="20"/>
              </w:rPr>
              <w:t xml:space="preserve">Standards applied</w:t>
            </w:r>
          </w:p>
        </w:tc>
        <w:tc>
          <w:tcPr>
            <w:tcW w:type="dxa" w:w="432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2.1 AA, Section 508, ADA Title II (28 CFR Part 35), 24 CFR 91.105, Title VI</w:t>
            </w:r>
          </w:p>
        </w:tc>
      </w:tr>
    </w:tbl>
    <w:p>
      <w:r>
        <w:br w:type="page"/>
      </w:r>
    </w:p>
    <w:p>
      <w:pPr>
        <w:pStyle w:val="Heading1"/>
      </w:pPr>
      <w:r>
        <w:t xml:space="preserve">Executive Summary</w:t>
      </w:r>
    </w:p>
    <w:p>
      <w:r>
        <w:t xml:space="preserve">This report reviews three public-facing digital assets of the City of Colorado Springs that participate in or relate to the active HOME-ARP Allocation Plan amendment public comment process (April 24 – May 26, 2026). The review applies the Web Content Accessibility Guidelines (WCAG) 2.1 Level AA, Section 508 of the Rehabilitation Act, the U.S. Department of Justice Title II rule on web and mobile accessibility (28 CFR Part 35), the U.S. Department of Housing and Urban Development citizen participation rule (24 CFR 91.105), and Title VI of the Civil Rights Act.</w:t>
      </w:r>
    </w:p>
    <w:p>
      <w:r>
        <w:t xml:space="preserve"/>
      </w:r>
    </w:p>
    <w:p>
      <w:r>
        <w:t xml:space="preserve">The three assets reviewed are:</w:t>
      </w:r>
    </w:p>
    <w:p>
      <w:pPr>
        <w:pStyle w:val="ListParagraph"/>
        <w:numPr>
          <w:ilvl w:val="0"/>
          <w:numId w:val="2"/>
        </w:numPr>
      </w:pPr>
      <w:r>
        <w:t xml:space="preserve">Talkin' Trees podcast page at coloradosprings.gov/news/podcast-talkin-trees, published May 1, 2026.</w:t>
      </w:r>
    </w:p>
    <w:p>
      <w:pPr>
        <w:pStyle w:val="ListParagraph"/>
        <w:numPr>
          <w:ilvl w:val="0"/>
          <w:numId w:val="2"/>
        </w:numPr>
      </w:pPr>
      <w:r>
        <w:t xml:space="preserve">Amended HOME-ARP Allocation Plan, April 2026 draft (PDF), served via the city's Document Viewer wrapper at coloradosprings.gov/document/amended-home-arp-planapril2026-draft.pdf.</w:t>
      </w:r>
    </w:p>
    <w:p>
      <w:pPr>
        <w:pStyle w:val="ListParagraph"/>
        <w:numPr>
          <w:ilvl w:val="0"/>
          <w:numId w:val="2"/>
        </w:numPr>
      </w:pPr>
      <w:r>
        <w:t xml:space="preserve">HOME-ARP Amendment Feedback Survey, hosted on Esri ArcGIS Survey123 at survey123.arcgis.com/share/c647a2a4a46543cf83d193ef4287d10b.</w:t>
      </w:r>
    </w:p>
    <w:p>
      <w:r>
        <w:t xml:space="preserve"/>
      </w:r>
    </w:p>
    <w:p>
      <w:r>
        <w:t xml:space="preserve">Findings of note:</w:t>
      </w:r>
    </w:p>
    <w:p>
      <w:pPr>
        <w:pStyle w:val="ListParagraph"/>
        <w:numPr>
          <w:ilvl w:val="0"/>
          <w:numId w:val="2"/>
        </w:numPr>
      </w:pPr>
      <w:r/>
      <w:r/>
    </w:p>
    <w:p>
      <w:pPr>
        <w:pStyle w:val="ListParagraph"/>
        <w:numPr>
          <w:ilvl w:val="0"/>
          <w:numId w:val="2"/>
        </w:numPr>
      </w:pPr>
      <w:r/>
      <w:r/>
    </w:p>
    <w:p>
      <w:pPr>
        <w:pStyle w:val="ListParagraph"/>
        <w:numPr>
          <w:ilvl w:val="0"/>
          <w:numId w:val="2"/>
        </w:numPr>
      </w:pPr>
      <w:r/>
      <w:r/>
    </w:p>
    <w:p>
      <w:pPr>
        <w:pStyle w:val="ListParagraph"/>
        <w:numPr>
          <w:ilvl w:val="0"/>
          <w:numId w:val="2"/>
        </w:numPr>
      </w:pPr>
      <w:r/>
      <w:r/>
    </w:p>
    <w:p>
      <w:r>
        <w:t xml:space="preserve"/>
      </w:r>
    </w:p>
    <w:p>
      <w:r>
        <w:t xml:space="preserve">Recommended remediations are detailed in §6 and prioritized in §7. Remediation is technically straightforward for the podcast and PDF assets. The Survey123 form requires either an alternative submission channel published prominently alongside the form, or replacement of the form with an accessible alternative.</w:t>
      </w:r>
    </w:p>
    <w:p>
      <w:r>
        <w:t xml:space="preserve"/>
      </w:r>
    </w:p>
    <w:p>
      <w:pPr>
        <w:pStyle w:val="Heading1"/>
      </w:pPr>
      <w:r>
        <w:t xml:space="preserve">1. Scope, Methodology, and Limitations</w:t>
      </w:r>
    </w:p>
    <w:p>
      <w:pPr>
        <w:pStyle w:val="Heading2"/>
      </w:pPr>
      <w:r>
        <w:t xml:space="preserve">1.1 Scope</w:t>
      </w:r>
    </w:p>
    <w:p>
      <w:r>
        <w:t xml:space="preserve">Three URLs were reviewed:</w:t>
      </w:r>
    </w:p>
    <w:p>
      <w:pPr>
        <w:pStyle w:val="ListParagraph"/>
        <w:numPr>
          <w:ilvl w:val="0"/>
          <w:numId w:val="2"/>
        </w:numPr>
      </w:pPr>
      <w:r>
        <w:t xml:space="preserve">https://coloradosprings.gov/news/podcast-talkin-trees</w:t>
      </w:r>
    </w:p>
    <w:p>
      <w:pPr>
        <w:pStyle w:val="ListParagraph"/>
        <w:numPr>
          <w:ilvl w:val="0"/>
          <w:numId w:val="2"/>
        </w:numPr>
      </w:pPr>
      <w:r>
        <w:t xml:space="preserve">https://coloradosprings.gov/document/amended-home-arp-planapril2026-draft.pdf</w:t>
      </w:r>
    </w:p>
    <w:p>
      <w:pPr>
        <w:pStyle w:val="ListParagraph"/>
        <w:numPr>
          <w:ilvl w:val="0"/>
          <w:numId w:val="2"/>
        </w:numPr>
      </w:pPr>
      <w:r>
        <w:t xml:space="preserve">https://survey123.arcgis.com/share/c647a2a4a46543cf83d193ef4287d10b</w:t>
      </w:r>
    </w:p>
    <w:p>
      <w:r>
        <w:t xml:space="preserve"/>
      </w:r>
    </w:p>
    <w:p>
      <w:pPr>
        <w:pStyle w:val="Heading2"/>
      </w:pPr>
      <w:r>
        <w:t xml:space="preserve">1.2 Methodology</w:t>
      </w:r>
    </w:p>
    <w:p>
      <w:r>
        <w:t xml:space="preserve">The review combined:</w:t>
      </w:r>
    </w:p>
    <w:p>
      <w:pPr>
        <w:pStyle w:val="ListParagraph"/>
        <w:numPr>
          <w:ilvl w:val="0"/>
          <w:numId w:val="2"/>
        </w:numPr>
      </w:pPr>
      <w:r>
        <w:t xml:space="preserve">Direct retrieval and inspection of the rendered HTML for the podcast page and for the city's Document Viewer wrapper page.</w:t>
      </w:r>
    </w:p>
    <w:p>
      <w:pPr>
        <w:pStyle w:val="ListParagraph"/>
        <w:numPr>
          <w:ilvl w:val="0"/>
          <w:numId w:val="2"/>
        </w:numPr>
      </w:pPr>
      <w:r>
        <w:t xml:space="preserve">Review of Esri's published April 29, 2024 Accessibility Conformance Report (ACR) for ArcGIS Survey123 web (version 3.19), prepared by certified accessibility professionals using JAWS 2022 and keyboard-only testing.</w:t>
      </w:r>
    </w:p>
    <w:p>
      <w:pPr>
        <w:pStyle w:val="ListParagraph"/>
        <w:numPr>
          <w:ilvl w:val="0"/>
          <w:numId w:val="2"/>
        </w:numPr>
      </w:pPr>
      <w:r>
        <w:t xml:space="preserve">Review of the City of Colorado Springs accessibility statement, Title VI Language Access policy, and Document Viewer template.</w:t>
      </w:r>
    </w:p>
    <w:p>
      <w:pPr>
        <w:pStyle w:val="ListParagraph"/>
        <w:numPr>
          <w:ilvl w:val="0"/>
          <w:numId w:val="2"/>
        </w:numPr>
      </w:pPr>
      <w:r>
        <w:t xml:space="preserve">Application of the WCAG 2.1 AA success criteria, Revised Section 508 standards, ADA Title II rule, HUD 24 CFR 91.105, and PDF/UA-1 (ISO 14289-1) where applicable.</w:t>
      </w:r>
    </w:p>
    <w:p>
      <w:r>
        <w:t xml:space="preserve"/>
      </w:r>
    </w:p>
    <w:p>
      <w:pPr>
        <w:pStyle w:val="Heading2"/>
      </w:pPr>
      <w:r>
        <w:t xml:space="preserve">1.3 Limitations</w:t>
      </w:r>
    </w:p>
    <w:p>
      <w:r>
        <w:t xml:space="preserve">The following limitations apply to the present review:</w:t>
      </w:r>
    </w:p>
    <w:p>
      <w:pPr>
        <w:pStyle w:val="ListParagraph"/>
        <w:numPr>
          <w:ilvl w:val="0"/>
          <w:numId w:val="2"/>
        </w:numPr>
      </w:pPr>
      <w:r>
        <w:t xml:space="preserve">The Document Viewer wrapper that the city interposes between PDF links and the underlying file prevented direct retrieval of the PDF byte stream. The PDF-internal audit (tag tree, alt text, language attribute, table headers, document title metadata, etc.) is therefore presented as a checklist with delivery-layer findings rather than file-internal findings. A follow-up audit using Adobe Acrobat Pro Accessibility Checker and PAC 2024 is recommended.</w:t>
      </w:r>
    </w:p>
    <w:p>
      <w:pPr>
        <w:pStyle w:val="ListParagraph"/>
        <w:numPr>
          <w:ilvl w:val="0"/>
          <w:numId w:val="2"/>
        </w:numPr>
      </w:pPr>
      <w:r>
        <w:t xml:space="preserve">The Survey123 form is a JavaScript single-page application. A non-JavaScript fetch returned only the page title. The form-internal audit therefore relies on the vendor's published ACR and on the documented behavior of Survey123 web rather than direct interaction with this specific form. Field-level findings (whether this particular form requires login, whether a Spanish-language version exists, whether required fields are surfaced to assistive technology, etc.) require live testing.</w:t>
      </w:r>
    </w:p>
    <w:p>
      <w:pPr>
        <w:pStyle w:val="ListParagraph"/>
        <w:numPr>
          <w:ilvl w:val="0"/>
          <w:numId w:val="2"/>
        </w:numPr>
      </w:pPr>
      <w:r>
        <w:t xml:space="preserve">Color contrast measurements on the rendered pages were not performed. WCAG 1.4.3 and 1.4.11 should be verified by automated tooling (axe DevTools, WAVE, Lighthouse) and manual sampling.</w:t>
      </w:r>
    </w:p>
    <w:p>
      <w:r>
        <w:t xml:space="preserve"/>
      </w:r>
    </w:p>
    <w:p>
      <w:r>
        <w:t xml:space="preserve">These limitations do not affect the principal findings. The vendor ACR is the authoritative source for Survey123 conformance; the wrapper findings are observable in the served HTML; and the podcast page findings are observable in the served HTML.</w:t>
      </w:r>
    </w:p>
    <w:p>
      <w:r>
        <w:t xml:space="preserve"/>
      </w:r>
    </w:p>
    <w:p>
      <w:pPr>
        <w:pStyle w:val="Heading1"/>
      </w:pPr>
      <w:r>
        <w:t xml:space="preserve">2. Regulatory and Standards Framework</w:t>
      </w:r>
    </w:p>
    <w:p>
      <w:r>
        <w:t xml:space="preserve">The following authorities apply to the assets reviewed.</w:t>
      </w:r>
    </w:p>
    <w:p>
      <w:r>
        <w:t xml:space="preserve"/>
      </w:r>
    </w:p>
    <w:p>
      <w:pPr>
        <w:pStyle w:val="Heading2"/>
      </w:pPr>
      <w:r>
        <w:t xml:space="preserve">2.1 ADA Title II — Web and Mobile Application Accessibility</w:t>
      </w:r>
    </w:p>
    <w:p>
      <w:r>
        <w:t xml:space="preserve">The U.S. Department of Justice published a final rule under Title II of the Americans with Disabilities Act on April 24, 2024 (89 FR 31320), codifying WCAG 2.1 Level AA as the technical standard for state and local government web content and mobile applications. On April 20, 2026, DOJ issued an Interim Final Rule (91 FR 17122) extending the compliance date for state and local government entities with a population of 50,000 or more from April 24, 2026 to April 26, 2027. Colorado Springs is a 50,000-or-more entity; the operative compliance date is April 26, 2027.</w:t>
      </w:r>
    </w:p>
    <w:p>
      <w:r>
        <w:t xml:space="preserve"/>
      </w:r>
    </w:p>
    <w:p>
      <w:r>
        <w:t xml:space="preserve">The deadline extension applies to the codified WCAG technical standard. It does not extend the underlying ADA Title II obligation of “equally effective communication,” which has applied to digital services since well before the rule and has been the basis of Title II complaints and federal court rulings concerning inaccessible government web content for many years. Existing complaints based on equal access remain actionable today.</w:t>
      </w:r>
    </w:p>
    <w:p>
      <w:r>
        <w:t xml:space="preserve"/>
      </w:r>
    </w:p>
    <w:p>
      <w:pPr>
        <w:pStyle w:val="Heading2"/>
      </w:pPr>
      <w:r>
        <w:t xml:space="preserve">2.2 Section 508 of the Rehabilitation Act</w:t>
      </w:r>
    </w:p>
    <w:p>
      <w:r>
        <w:t xml:space="preserve">29 U.S.C. § 794d, as updated by the U.S. Access Board's Revised 508 Standards (effective January 18, 2018), requires that information and communication technology developed, procured, maintained, or used by federal agencies conform to WCAG 2.0 Level A and Level AA. HUD applies Section 508 to grantee-procured ICT used in federally funded programs. The HOME-ARP program is a federal funding stream administered by HUD.</w:t>
      </w:r>
    </w:p>
    <w:p>
      <w:r>
        <w:t xml:space="preserve"/>
      </w:r>
    </w:p>
    <w:p>
      <w:pPr>
        <w:pStyle w:val="Heading2"/>
      </w:pPr>
      <w:r>
        <w:t xml:space="preserve">2.3 24 CFR 91.105 — HUD Citizen Participation Plan</w:t>
      </w:r>
    </w:p>
    <w:p>
      <w:r>
        <w:t xml:space="preserve">HUD's Citizen Participation Plan rule requires participating jurisdictions to provide reasonable notice and an opportunity to comment on proposed plan amendments, with a public comment period of not less than 30 days for substantial amendments. Section 91.105(a)(4) requires the participating jurisdiction's procedures to provide for accessibility to persons with disabilities. The current public comment process for the April 2026 amendment falls squarely within this rule.</w:t>
      </w:r>
    </w:p>
    <w:p>
      <w:r>
        <w:t xml:space="preserve"/>
      </w:r>
    </w:p>
    <w:p>
      <w:pPr>
        <w:pStyle w:val="Heading2"/>
      </w:pPr>
      <w:r>
        <w:t xml:space="preserve">2.4 Title VI of the Civil Rights Act — Limited English Proficiency</w:t>
      </w:r>
    </w:p>
    <w:p>
      <w:r>
        <w:t xml:space="preserve">Title VI prohibits discrimination on the basis of national origin in federally funded programs. Executive Order 13166 and HUD's LEP guidance (72 FR 2732) require recipients of federal financial assistance to take reasonable steps to ensure meaningful access for persons with limited English proficiency, including translation of vital documents. Public comment notices, plan summaries, and comment forms for federally funded plans are vital documents under standard LEP analysis. The City of Colorado Springs has its own published Title VI Language Access policy.</w:t>
      </w:r>
    </w:p>
    <w:p>
      <w:r>
        <w:t xml:space="preserve"/>
      </w:r>
    </w:p>
    <w:p>
      <w:pPr>
        <w:pStyle w:val="Heading2"/>
      </w:pPr>
      <w:r>
        <w:t xml:space="preserve">2.5 PDF/UA-1 (ISO 14289-1)</w:t>
      </w:r>
    </w:p>
    <w:p>
      <w:r>
        <w:t xml:space="preserve">PDF/UA-1 is the technical accessibility standard specifically for PDF documents. It is the standard referenced in Section 508 for non-Web documents and the practical conformance target for HUD plan deliverables. The City of Colorado Springs' published accessibility statement claims conformance to WCAG 2.1 and Section 508 but does not reference PDF/UA. PDFs that meet PDF/UA satisfy the relevant Section 508 requirements for non-Web documents.</w:t>
      </w:r>
    </w:p>
    <w:p>
      <w:r>
        <w:t xml:space="preserve"/>
      </w:r>
    </w:p>
    <w:p>
      <w:r>
        <w:br w:type="page"/>
      </w:r>
    </w:p>
    <w:p>
      <w:pPr>
        <w:pStyle w:val="Heading1"/>
      </w:pPr>
      <w:r>
        <w:t xml:space="preserve">3. Asset 1 — Talkin' Trees Podcast Page</w:t>
      </w:r>
    </w:p>
    <w:p>
      <w:pPr>
        <w:pStyle w:val="Heading2"/>
      </w:pPr>
      <w:r>
        <w:t xml:space="preserve">3.1 Identification</w:t>
      </w:r>
    </w:p>
    <w:p>
      <w:pPr>
        <w:pStyle w:val="ListParagraph"/>
        <w:numPr>
          <w:ilvl w:val="0"/>
          <w:numId w:val="2"/>
        </w:numPr>
      </w:pPr>
      <w:r/>
      <w:r/>
    </w:p>
    <w:p>
      <w:pPr>
        <w:pStyle w:val="ListParagraph"/>
        <w:numPr>
          <w:ilvl w:val="0"/>
          <w:numId w:val="2"/>
        </w:numPr>
      </w:pPr>
      <w:r/>
      <w:r/>
    </w:p>
    <w:p>
      <w:pPr>
        <w:pStyle w:val="ListParagraph"/>
        <w:numPr>
          <w:ilvl w:val="0"/>
          <w:numId w:val="2"/>
        </w:numPr>
      </w:pPr>
      <w:r/>
      <w:r/>
    </w:p>
    <w:p>
      <w:pPr>
        <w:pStyle w:val="ListParagraph"/>
        <w:numPr>
          <w:ilvl w:val="0"/>
          <w:numId w:val="2"/>
        </w:numPr>
      </w:pPr>
      <w:r/>
      <w:r/>
    </w:p>
    <w:p>
      <w:r>
        <w:t xml:space="preserve"/>
      </w:r>
    </w:p>
    <w:p>
      <w:pPr>
        <w:pStyle w:val="Heading2"/>
      </w:pPr>
      <w:r>
        <w:t xml:space="preserve">3.2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000"/>
        <w:gridCol w:w="1100"/>
        <w:gridCol w:w="146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ID</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Criterion</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Finding</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Standard</w:t>
            </w:r>
          </w:p>
        </w:tc>
        <w:tc>
          <w:tcPr>
            <w:tcW w:type="dxa" w:w="1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Severity</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P-01</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Headings without content</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Two H2 headings (“Watch the episode” and “Listen to the episode”) are present in the rendered DOM but are not followed by content equivalents accessible to assistive technology. Screen readers announce empty headings.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1.3.1 (A); 2.4.6 (AA)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P-02</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Captions for video</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captions or captions reference is provided for the video episode on the page. YouTube embed captions cannot be assumed to be human-corrected.</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1.2.2 (A)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P-03</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Audio description</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audio description or media alternative is provided for video content.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1.2.3 (A); 1.2.5 (AA)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P-04</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Audio-only alternative</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transcript or text alternative is provided for the audio podcast.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1.2.1 (A)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P-05</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Episode summary</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The page provides one introductory sentence. No substantive episode description, topic outline, or chapter timestamps are provided.</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2.4.6 (AA); 3.1.5 (AAA, recommended)</w:t>
            </w:r>
          </w:p>
        </w:tc>
        <w:tc>
          <w:tcPr>
            <w:tcW w:type="dxa" w:w="1460"/>
            <w:tcBorders>
              <w:top w:val="single" w:color="BFBFBF" w:sz="4"/>
              <w:left w:val="single" w:color="BFBFBF" w:sz="4"/>
              <w:bottom w:val="single" w:color="BFBFBF" w:sz="4"/>
              <w:right w:val="single" w:color="BFBFBF" w:sz="4"/>
            </w:tcBorders>
            <w:shd w:fill="FFC000" w:val="clear"/>
            <w:tcMar>
              <w:top w:type="dxa" w:w="80"/>
              <w:left w:type="dxa" w:w="140"/>
              <w:bottom w:type="dxa" w:w="80"/>
              <w:right w:type="dxa" w:w="140"/>
            </w:tcMar>
            <w:vAlign w:val="center"/>
          </w:tcPr>
          <w:p>
            <w:pPr>
              <w:jc w:val="center"/>
            </w:pPr>
            <w:r>
              <w:rPr>
                <w:b/>
                <w:bCs/>
                <w:color w:val="000000"/>
                <w:sz w:val="20"/>
                <w:szCs w:val="20"/>
              </w:rPr>
              <w:t xml:space="preserve">Medium</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P-06</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Page title and main heading</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The page title and main H1 are populated. No defect.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2.4.2 (A)</w:t>
            </w:r>
          </w:p>
        </w:tc>
        <w:tc>
          <w:tcPr>
            <w:tcW w:type="dxa" w:w="1460"/>
            <w:tcBorders>
              <w:top w:val="single" w:color="BFBFBF" w:sz="4"/>
              <w:left w:val="single" w:color="BFBFBF" w:sz="4"/>
              <w:bottom w:val="single" w:color="BFBFBF" w:sz="4"/>
              <w:right w:val="single" w:color="BFBFBF" w:sz="4"/>
            </w:tcBorders>
            <w:shd w:fill="70AD47" w:val="clear"/>
            <w:tcMar>
              <w:top w:type="dxa" w:w="80"/>
              <w:left w:type="dxa" w:w="140"/>
              <w:bottom w:type="dxa" w:w="80"/>
              <w:right w:type="dxa" w:w="140"/>
            </w:tcMar>
            <w:vAlign w:val="center"/>
          </w:tcPr>
          <w:p>
            <w:pPr>
              <w:jc w:val="center"/>
            </w:pPr>
            <w:r>
              <w:rPr>
                <w:b/>
                <w:bCs/>
                <w:color w:val="FFFFFF"/>
                <w:sz w:val="20"/>
                <w:szCs w:val="20"/>
              </w:rPr>
              <w:t xml:space="preserve">Low</w:t>
            </w:r>
          </w:p>
        </w:tc>
      </w:tr>
    </w:tbl>
    <w:p>
      <w:r>
        <w:t xml:space="preserve"/>
      </w:r>
    </w:p>
    <w:p>
      <w:pPr>
        <w:pStyle w:val="Heading2"/>
      </w:pPr>
      <w:r>
        <w:t xml:space="preserve">3.3 Recommended remediation</w:t>
      </w:r>
    </w:p>
    <w:p>
      <w:r>
        <w:t xml:space="preserve">This asset is the simplest of the three to remediate. Two complementary actions resolve the principal findings:</w:t>
      </w:r>
    </w:p>
    <w:p>
      <w:r>
        <w:t xml:space="preserve"/>
      </w:r>
    </w:p>
    <w:p>
      <w:r>
        <w:t xml:space="preserve">(a) Publish a transcript as a downloadable, structured asset linked from the page. Generation of a baseline transcript via automated services (Whisper, Otter, AWS Transcribe, etc.) is inexpensive and fast. The transcript should be edited for accuracy by a staff reviewer before publication. The download link should be a clearly labeled button or link adjacent to the embedded media — not embedded inside the player UI — so that screen reader users encounter it in normal page flow.</w:t>
      </w:r>
    </w:p>
    <w:p>
      <w:r>
        <w:t xml:space="preserve"/>
      </w:r>
    </w:p>
    <w:p>
      <w:r>
        <w:t xml:space="preserve">(b) For the video episode, ensure the YouTube embed uses human-corrected captions rather than auto-generated captions. Provided the YouTube channel itself is treated as a primary distribution surface (which is reasonable for long-term reach), captions and chapters managed in YouTube serve both the embed and the standalone YouTube viewing context. This avoids duplicate maintenance.</w:t>
      </w:r>
    </w:p>
    <w:p>
      <w:r>
        <w:t xml:space="preserve"/>
      </w:r>
    </w:p>
    <w:p>
      <w:r>
        <w:t xml:space="preserve">Additional recommended actions:</w:t>
      </w:r>
    </w:p>
    <w:p>
      <w:pPr>
        <w:pStyle w:val="ListParagraph"/>
        <w:numPr>
          <w:ilvl w:val="0"/>
          <w:numId w:val="2"/>
        </w:numPr>
      </w:pPr>
      <w:r>
        <w:t xml:space="preserve">Replace the empty section headings with content. If embeds are rendered client-side, populate the static page DOM with an episode summary, transcript link, captions notice, and a guest list.</w:t>
      </w:r>
    </w:p>
    <w:p>
      <w:pPr>
        <w:pStyle w:val="ListParagraph"/>
        <w:numPr>
          <w:ilvl w:val="0"/>
          <w:numId w:val="2"/>
        </w:numPr>
      </w:pPr>
      <w:r>
        <w:t xml:space="preserve">Add a 100–250 word episode description that summarizes topics discussed. This serves WCAG 2.4.6, supports search indexing, and gives users with cognitive disabilities a way to evaluate episode relevance before committing to listening or watching.</w:t>
      </w:r>
    </w:p>
    <w:p>
      <w:pPr>
        <w:pStyle w:val="ListParagraph"/>
        <w:numPr>
          <w:ilvl w:val="0"/>
          <w:numId w:val="2"/>
        </w:numPr>
      </w:pPr>
      <w:r>
        <w:t xml:space="preserve">Add chapter timestamps or topic markers. These benefit all users and dramatically improve assistive-technology navigation.</w:t>
      </w:r>
    </w:p>
    <w:p>
      <w:pPr>
        <w:pStyle w:val="ListParagraph"/>
        <w:numPr>
          <w:ilvl w:val="0"/>
          <w:numId w:val="2"/>
        </w:numPr>
      </w:pPr>
      <w:r>
        <w:t xml:space="preserve">Add a one-line accessibility note next to the media (“Transcript available; captions enabled”).</w:t>
      </w:r>
    </w:p>
    <w:p>
      <w:r>
        <w:t xml:space="preserve"/>
      </w:r>
    </w:p>
    <w:p>
      <w:r>
        <w:br w:type="page"/>
      </w:r>
    </w:p>
    <w:p>
      <w:pPr>
        <w:pStyle w:val="Heading1"/>
      </w:pPr>
      <w:r>
        <w:t xml:space="preserve">4. Asset 2 — Amended HOME-ARP Allocation Plan, April 2026 Draft</w:t>
      </w:r>
    </w:p>
    <w:p>
      <w:pPr>
        <w:pStyle w:val="Heading2"/>
      </w:pPr>
      <w:r>
        <w:t xml:space="preserve">4.1 Identification</w:t>
      </w:r>
    </w:p>
    <w:p>
      <w:pPr>
        <w:pStyle w:val="ListParagraph"/>
        <w:numPr>
          <w:ilvl w:val="0"/>
          <w:numId w:val="2"/>
        </w:numPr>
      </w:pPr>
      <w:r/>
      <w:r/>
    </w:p>
    <w:p>
      <w:pPr>
        <w:pStyle w:val="ListParagraph"/>
        <w:numPr>
          <w:ilvl w:val="0"/>
          <w:numId w:val="2"/>
        </w:numPr>
      </w:pPr>
      <w:r/>
      <w:r/>
    </w:p>
    <w:p>
      <w:pPr>
        <w:pStyle w:val="ListParagraph"/>
        <w:numPr>
          <w:ilvl w:val="0"/>
          <w:numId w:val="2"/>
        </w:numPr>
      </w:pPr>
      <w:r/>
      <w:r/>
    </w:p>
    <w:p>
      <w:pPr>
        <w:pStyle w:val="ListParagraph"/>
        <w:numPr>
          <w:ilvl w:val="0"/>
          <w:numId w:val="2"/>
        </w:numPr>
      </w:pPr>
      <w:r/>
      <w:r/>
    </w:p>
    <w:p>
      <w:pPr>
        <w:pStyle w:val="ListParagraph"/>
        <w:numPr>
          <w:ilvl w:val="0"/>
          <w:numId w:val="2"/>
        </w:numPr>
      </w:pPr>
      <w:r/>
      <w:r/>
    </w:p>
    <w:p>
      <w:r>
        <w:t xml:space="preserve"/>
      </w:r>
    </w:p>
    <w:p>
      <w:pPr>
        <w:pStyle w:val="Heading2"/>
      </w:pPr>
      <w:r>
        <w:t xml:space="preserve">4.2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000"/>
        <w:gridCol w:w="1100"/>
        <w:gridCol w:w="146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ID</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Criterion</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Finding</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Standard</w:t>
            </w:r>
          </w:p>
        </w:tc>
        <w:tc>
          <w:tcPr>
            <w:tcW w:type="dxa" w:w="1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Severity</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D-01</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Document delivery wrapper</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The PDF link redirects to a Drupal Document Viewer page that presents only the filename and a global accessibility disclaimer. The page does not surface the document's status as a draft in an active 30-day public comment window, the comment-period dates, the comment submission methods, or the public hearing schedule.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2.4.6 (AA); 24 CFR 91.105(b)(4)</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D-02</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Filename as link text</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On the wrapper page the filename text is not a link. Users who reach the page without a path to the underlying PDF have no obvious mechanism to access the file.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2.4.4 (A); 4.1.2 (A)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D-03</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Global accessibility disclaimer</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The wrapper carries a blanket statement that documents created by third parties may not meet all accessibility criteria. The disclaimer applies globally rather than per-document and provides no per-document accessibility status. Users with assistive technology have no way to know in advance whether a given file is conformant.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ADA Title II equal access; 24 CFR 91.105(a)(4)</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D-04</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Accommodation request channel</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The wrapper provides only a phone number (719-385-5169) for accessibility accommodations. Phone-only intake is itself a barrier for deaf, hard-of-hearing, and certain disabled users; relay use should not be required as the sole accommodation path.</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ADA Title II; 28 CFR 35.160</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D-05</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Document status disclosure</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The filename includes “- draft” but the wrapper does not announce the document's regulatory status (“public comment draft, comment period closes May 26, 2026”). A user landing on this URL from an external share has no context.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24 CFR 91.105(b)(4) (informed comment)</w:t>
            </w:r>
          </w:p>
        </w:tc>
        <w:tc>
          <w:tcPr>
            <w:tcW w:type="dxa" w:w="1460"/>
            <w:tcBorders>
              <w:top w:val="single" w:color="BFBFBF" w:sz="4"/>
              <w:left w:val="single" w:color="BFBFBF" w:sz="4"/>
              <w:bottom w:val="single" w:color="BFBFBF" w:sz="4"/>
              <w:right w:val="single" w:color="BFBFBF" w:sz="4"/>
            </w:tcBorders>
            <w:shd w:fill="FFC000" w:val="clear"/>
            <w:tcMar>
              <w:top w:type="dxa" w:w="80"/>
              <w:left w:type="dxa" w:w="140"/>
              <w:bottom w:type="dxa" w:w="80"/>
              <w:right w:type="dxa" w:w="140"/>
            </w:tcMar>
            <w:vAlign w:val="center"/>
          </w:tcPr>
          <w:p>
            <w:pPr>
              <w:jc w:val="center"/>
            </w:pPr>
            <w:r>
              <w:rPr>
                <w:b/>
                <w:bCs/>
                <w:color w:val="000000"/>
                <w:sz w:val="20"/>
                <w:szCs w:val="20"/>
              </w:rPr>
              <w:t xml:space="preserve">Medium</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D-06</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PDF/UA conformance (file-internal)</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Not directly tested in this audit (see §1.3). Standard PDF/UA conformance items must be verified: tagged document, /Lang attribute set, document title in metadata with DisplayDocTitle true, logical heading order, alt text on all images, table headers with scope, list semantics, descriptive link text, embedded fonts, security settings permitting screen reader access.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PDF/UA-1 (ISO 14289-1); Section 508 Ch. 6</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D-07</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Redline against approved 2022 plan</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The wrapper does not indicate whether the draft includes a tracked-changes view of how the amendment differs from the approved June 2022 plan. Without this, citizens cannot meaningfully comment on the amendment as such.</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24 CFR 91.105(b)(4)</w:t>
            </w:r>
          </w:p>
        </w:tc>
        <w:tc>
          <w:tcPr>
            <w:tcW w:type="dxa" w:w="1460"/>
            <w:tcBorders>
              <w:top w:val="single" w:color="BFBFBF" w:sz="4"/>
              <w:left w:val="single" w:color="BFBFBF" w:sz="4"/>
              <w:bottom w:val="single" w:color="BFBFBF" w:sz="4"/>
              <w:right w:val="single" w:color="BFBFBF" w:sz="4"/>
            </w:tcBorders>
            <w:shd w:fill="FFC000" w:val="clear"/>
            <w:tcMar>
              <w:top w:type="dxa" w:w="80"/>
              <w:left w:type="dxa" w:w="140"/>
              <w:bottom w:type="dxa" w:w="80"/>
              <w:right w:type="dxa" w:w="140"/>
            </w:tcMar>
            <w:vAlign w:val="center"/>
          </w:tcPr>
          <w:p>
            <w:pPr>
              <w:jc w:val="center"/>
            </w:pPr>
            <w:r>
              <w:rPr>
                <w:b/>
                <w:bCs/>
                <w:color w:val="000000"/>
                <w:sz w:val="20"/>
                <w:szCs w:val="20"/>
              </w:rPr>
              <w:t xml:space="preserve">Medium</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D-08</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LEP / Title VI</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 Spanish-language version of the draft amendment, the comment notice, or the wrapper page is referenced. Plan documents in HUD-funded programs are vital documents under LEP guidance.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Title VI; HUD LEP guidance (72 FR 2732)</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bl>
    <w:p>
      <w:r>
        <w:t xml:space="preserve"/>
      </w:r>
    </w:p>
    <w:p>
      <w:pPr>
        <w:pStyle w:val="Heading2"/>
      </w:pPr>
      <w:r>
        <w:t xml:space="preserve">4.3 Recommended remediation</w:t>
      </w:r>
    </w:p>
    <w:p>
      <w:r>
        <w:t xml:space="preserve">Two layers of remediation apply: the file itself, and the delivery surface.</w:t>
      </w:r>
    </w:p>
    <w:p>
      <w:r>
        <w:t xml:space="preserve"/>
      </w:r>
    </w:p>
    <w:p>
      <w:pPr>
        <w:pStyle w:val="Heading3"/>
      </w:pPr>
      <w:r>
        <w:t xml:space="preserve">4.3.1 File-internal remediation</w:t>
      </w:r>
    </w:p>
    <w:p>
      <w:r>
        <w:t xml:space="preserve">Run the draft through Adobe Acrobat Pro → Tools → Accessibility → Accessibility Check, with all rules enabled, and remediate every flagged item. Then run PAC 2024 (free, from Access for All) for stricter PDF/UA conformance verification. The Acrobat Make Accessible action wizard handles most basic remediation; structured documents typically need manual table tagging and image alt-text review.</w:t>
      </w:r>
    </w:p>
    <w:p>
      <w:r>
        <w:t xml:space="preserve"/>
      </w:r>
    </w:p>
    <w:p>
      <w:pPr>
        <w:pStyle w:val="Heading3"/>
      </w:pPr>
      <w:r>
        <w:t xml:space="preserve">4.3.2 Delivery-surface remediation</w:t>
      </w:r>
    </w:p>
    <w:p>
      <w:r>
        <w:t xml:space="preserve">The wrapper problem is independent of the file. Two complementary actions resolve the wrapper findings:</w:t>
      </w:r>
    </w:p>
    <w:p>
      <w:r>
        <w:t xml:space="preserve"/>
      </w:r>
    </w:p>
    <w:p>
      <w:r>
        <w:t xml:space="preserve">(a) Add a clearly labeled download button or link directly to the PDF on the wrapper page, so the file itself is reachable rather than only the wrapper. The download surface should also expose: the document title (separately from the filename), a one-paragraph plain-language summary, the regulatory status (active comment window, dates, submission methods, public hearing details), and a per-document accessibility status indicator (“this PDF has been tested for PDF/UA conformance”, or where it has not, an alternative-format request control). The accommodation request control should create a ticket through the city's request system rather than directing users to a phone number.</w:t>
      </w:r>
    </w:p>
    <w:p>
      <w:r>
        <w:t xml:space="preserve"/>
      </w:r>
    </w:p>
    <w:p>
      <w:r>
        <w:t xml:space="preserve">(b) For documents subject to a comment window, the wrapper page should include a structured, accessible plain-language summary as a first-class artifact. Where the source PDF cannot be made fully PDF/UA-conformant in time, the plain-language summary becomes the accessible representation. This is consistent with HUD's approach to alternative formats under 24 CFR 91.105(a)(4) and with WCAG's allowance of conforming alternate versions where direct conformance is infeasible.</w:t>
      </w:r>
    </w:p>
    <w:p>
      <w:r>
        <w:t xml:space="preserve"/>
      </w:r>
    </w:p>
    <w:p>
      <w:pPr>
        <w:pStyle w:val="Heading3"/>
      </w:pPr>
      <w:r>
        <w:t xml:space="preserve">4.3.3 LEP / Title VI</w:t>
      </w:r>
    </w:p>
    <w:p>
      <w:r>
        <w:t xml:space="preserve">Publish a Spanish-language version of the comment notice and the plain-language summary at minimum, with the full draft also translated where feasible. This is consistent with the city's own published Title VI Language Access policy and with HUD's LEP guidance for vital documents in federally funded programs.</w:t>
      </w:r>
    </w:p>
    <w:p>
      <w:r>
        <w:t xml:space="preserve"/>
      </w:r>
    </w:p>
    <w:p>
      <w:r>
        <w:br w:type="page"/>
      </w:r>
    </w:p>
    <w:p>
      <w:pPr>
        <w:pStyle w:val="Heading1"/>
      </w:pPr>
      <w:r>
        <w:t xml:space="preserve">5. Asset 3 — HOME-ARP Amendment Feedback Survey (Survey123)</w:t>
      </w:r>
    </w:p>
    <w:p>
      <w:pPr>
        <w:pStyle w:val="Heading2"/>
      </w:pPr>
      <w:r>
        <w:t xml:space="preserve">5.1 Identification</w:t>
      </w:r>
    </w:p>
    <w:p>
      <w:pPr>
        <w:pStyle w:val="ListParagraph"/>
        <w:numPr>
          <w:ilvl w:val="0"/>
          <w:numId w:val="2"/>
        </w:numPr>
      </w:pPr>
      <w:r/>
      <w:r/>
    </w:p>
    <w:p>
      <w:pPr>
        <w:pStyle w:val="ListParagraph"/>
        <w:numPr>
          <w:ilvl w:val="0"/>
          <w:numId w:val="2"/>
        </w:numPr>
      </w:pPr>
      <w:r/>
      <w:r/>
    </w:p>
    <w:p>
      <w:pPr>
        <w:pStyle w:val="ListParagraph"/>
        <w:numPr>
          <w:ilvl w:val="0"/>
          <w:numId w:val="2"/>
        </w:numPr>
      </w:pPr>
      <w:r/>
      <w:r/>
    </w:p>
    <w:p>
      <w:pPr>
        <w:pStyle w:val="ListParagraph"/>
        <w:numPr>
          <w:ilvl w:val="0"/>
          <w:numId w:val="2"/>
        </w:numPr>
      </w:pPr>
      <w:r/>
      <w:r/>
    </w:p>
    <w:p>
      <w:r>
        <w:t xml:space="preserve"/>
      </w:r>
    </w:p>
    <w:p>
      <w:pPr>
        <w:pStyle w:val="Heading2"/>
      </w:pPr>
      <w:r>
        <w:t xml:space="preserve">5.2 Findings (sourced from vendor ACR)</w:t>
      </w:r>
    </w:p>
    <w:p>
      <w:r>
        <w:t xml:space="preserve">All findings below are reported by Esri itself in its April 2024 Accessibility Conformance Report. Esri's own conformance levels are reproduced here. “Partially Supports” under the VPAT taxonomy means “does not entirely meet the letter and intent of the criterion, but does provide some level of access” — it is not a passing rating for Section 508 or DOJ Title II conformance.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4000"/>
        <w:gridCol w:w="1100"/>
        <w:gridCol w:w="1460"/>
      </w:tblGrid>
      <w:tr>
        <w:trPr>
          <w:tblHeader/>
        </w:trPr>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ID</w:t>
            </w:r>
          </w:p>
        </w:tc>
        <w:tc>
          <w:tcPr>
            <w:tcW w:type="dxa" w:w="17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Criterion</w:t>
            </w:r>
          </w:p>
        </w:tc>
        <w:tc>
          <w:tcPr>
            <w:tcW w:type="dxa" w:w="40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Finding</w:t>
            </w:r>
          </w:p>
        </w:tc>
        <w:tc>
          <w:tcPr>
            <w:tcW w:type="dxa" w:w="110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Standard</w:t>
            </w:r>
          </w:p>
        </w:tc>
        <w:tc>
          <w:tcPr>
            <w:tcW w:type="dxa" w:w="1460"/>
            <w:tcBorders>
              <w:top w:val="single" w:color="BFBFBF" w:sz="4"/>
              <w:left w:val="single" w:color="BFBFBF" w:sz="4"/>
              <w:bottom w:val="single" w:color="BFBFBF" w:sz="4"/>
              <w:right w:val="single" w:color="BFBFBF" w:sz="4"/>
            </w:tcBorders>
            <w:shd w:fill="1F3A5F" w:val="clear"/>
            <w:tcMar>
              <w:top w:type="dxa" w:w="100"/>
              <w:left w:type="dxa" w:w="140"/>
              <w:bottom w:type="dxa" w:w="100"/>
              <w:right w:type="dxa" w:w="140"/>
            </w:tcMar>
          </w:tcPr>
          <w:p>
            <w:r>
              <w:rPr>
                <w:b/>
                <w:bCs/>
                <w:color w:val="FFFFFF"/>
                <w:sz w:val="20"/>
                <w:szCs w:val="20"/>
              </w:rPr>
              <w:t xml:space="preserve">Severity</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F-01</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Non-text content</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(April 2024), Partially Supports: “In some cases, element does not have an alt attribute.”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1.1.1 (A)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F-02</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Info and relationships</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heading order semantically incorrect in cases; data tables not marked up as tables; many buttons unlabeled.</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1.3.1 (A)</w:t>
            </w:r>
          </w:p>
        </w:tc>
        <w:tc>
          <w:tcPr>
            <w:tcW w:type="dxa" w:w="1460"/>
            <w:tcBorders>
              <w:top w:val="single" w:color="BFBFBF" w:sz="4"/>
              <w:left w:val="single" w:color="BFBFBF" w:sz="4"/>
              <w:bottom w:val="single" w:color="BFBFBF" w:sz="4"/>
              <w:right w:val="single" w:color="BFBFBF" w:sz="4"/>
            </w:tcBorders>
            <w:shd w:fill="C00000" w:val="clear"/>
            <w:tcMar>
              <w:top w:type="dxa" w:w="80"/>
              <w:left w:type="dxa" w:w="140"/>
              <w:bottom w:type="dxa" w:w="80"/>
              <w:right w:type="dxa" w:w="140"/>
            </w:tcMar>
            <w:vAlign w:val="center"/>
          </w:tcPr>
          <w:p>
            <w:pPr>
              <w:jc w:val="center"/>
            </w:pPr>
            <w:r>
              <w:rPr>
                <w:b/>
                <w:bCs/>
                <w:color w:val="FFFFFF"/>
                <w:sz w:val="20"/>
                <w:szCs w:val="20"/>
              </w:rPr>
              <w:t xml:space="preserve">Critical</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F-03</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Use of color</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Partially Supports: “In rare instances, elements communicated information through color alone.”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1.4.1 (A)</w:t>
            </w:r>
          </w:p>
        </w:tc>
        <w:tc>
          <w:tcPr>
            <w:tcW w:type="dxa" w:w="1460"/>
            <w:tcBorders>
              <w:top w:val="single" w:color="BFBFBF" w:sz="4"/>
              <w:left w:val="single" w:color="BFBFBF" w:sz="4"/>
              <w:bottom w:val="single" w:color="BFBFBF" w:sz="4"/>
              <w:right w:val="single" w:color="BFBFBF" w:sz="4"/>
            </w:tcBorders>
            <w:shd w:fill="FFC000" w:val="clear"/>
            <w:tcMar>
              <w:top w:type="dxa" w:w="80"/>
              <w:left w:type="dxa" w:w="140"/>
              <w:bottom w:type="dxa" w:w="80"/>
              <w:right w:type="dxa" w:w="140"/>
            </w:tcMar>
            <w:vAlign w:val="center"/>
          </w:tcPr>
          <w:p>
            <w:pPr>
              <w:jc w:val="center"/>
            </w:pPr>
            <w:r>
              <w:rPr>
                <w:b/>
                <w:bCs/>
                <w:color w:val="000000"/>
                <w:sz w:val="20"/>
                <w:szCs w:val="20"/>
              </w:rPr>
              <w:t xml:space="preserve">Medium</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F-04</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Contrast (minimum)</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Partially Supports: “Some text elements have insufficient color contrast.”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1.4.3 (AA)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F-05</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Resize text</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META viewport configuration prevents user scaling in rare cases.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1.4.4 (AA)</w:t>
            </w:r>
          </w:p>
        </w:tc>
        <w:tc>
          <w:tcPr>
            <w:tcW w:type="dxa" w:w="1460"/>
            <w:tcBorders>
              <w:top w:val="single" w:color="BFBFBF" w:sz="4"/>
              <w:left w:val="single" w:color="BFBFBF" w:sz="4"/>
              <w:bottom w:val="single" w:color="BFBFBF" w:sz="4"/>
              <w:right w:val="single" w:color="BFBFBF" w:sz="4"/>
            </w:tcBorders>
            <w:shd w:fill="FFC000" w:val="clear"/>
            <w:tcMar>
              <w:top w:type="dxa" w:w="80"/>
              <w:left w:type="dxa" w:w="140"/>
              <w:bottom w:type="dxa" w:w="80"/>
              <w:right w:type="dxa" w:w="140"/>
            </w:tcMar>
            <w:vAlign w:val="center"/>
          </w:tcPr>
          <w:p>
            <w:pPr>
              <w:jc w:val="center"/>
            </w:pPr>
            <w:r>
              <w:rPr>
                <w:b/>
                <w:bCs/>
                <w:color w:val="000000"/>
                <w:sz w:val="20"/>
                <w:szCs w:val="20"/>
              </w:rPr>
              <w:t xml:space="preserve">Medium</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F-06</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Keyboard</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Partially Supports: “Many interactive controls do not receive focus and are not operable with the keyboard,” and “hidden elements receive keyboard focus.” This is the principal blocker for screen-reader and keyboard-only users.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2.1.1 (A)</w:t>
            </w:r>
          </w:p>
        </w:tc>
        <w:tc>
          <w:tcPr>
            <w:tcW w:type="dxa" w:w="1460"/>
            <w:tcBorders>
              <w:top w:val="single" w:color="BFBFBF" w:sz="4"/>
              <w:left w:val="single" w:color="BFBFBF" w:sz="4"/>
              <w:bottom w:val="single" w:color="BFBFBF" w:sz="4"/>
              <w:right w:val="single" w:color="BFBFBF" w:sz="4"/>
            </w:tcBorders>
            <w:shd w:fill="C00000" w:val="clear"/>
            <w:tcMar>
              <w:top w:type="dxa" w:w="80"/>
              <w:left w:type="dxa" w:w="140"/>
              <w:bottom w:type="dxa" w:w="80"/>
              <w:right w:type="dxa" w:w="140"/>
            </w:tcMar>
            <w:vAlign w:val="center"/>
          </w:tcPr>
          <w:p>
            <w:pPr>
              <w:jc w:val="center"/>
            </w:pPr>
            <w:r>
              <w:rPr>
                <w:b/>
                <w:bCs/>
                <w:color w:val="FFFFFF"/>
                <w:sz w:val="20"/>
                <w:szCs w:val="20"/>
              </w:rPr>
              <w:t xml:space="preserve">Critical</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F-07</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Focus order</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focus does not move to new content; elements not in logical focus order; focus on hidden or empty elements.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2.4.3 (A)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F-08</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Link purpose</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elements in tab order without accessible text.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2.4.4 (A)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F-09</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Headings and labels</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headings that do not describe content.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2.4.6 (AA)</w:t>
            </w:r>
          </w:p>
        </w:tc>
        <w:tc>
          <w:tcPr>
            <w:tcW w:type="dxa" w:w="1460"/>
            <w:tcBorders>
              <w:top w:val="single" w:color="BFBFBF" w:sz="4"/>
              <w:left w:val="single" w:color="BFBFBF" w:sz="4"/>
              <w:bottom w:val="single" w:color="BFBFBF" w:sz="4"/>
              <w:right w:val="single" w:color="BFBFBF" w:sz="4"/>
            </w:tcBorders>
            <w:shd w:fill="FFC000" w:val="clear"/>
            <w:tcMar>
              <w:top w:type="dxa" w:w="80"/>
              <w:left w:type="dxa" w:w="140"/>
              <w:bottom w:type="dxa" w:w="80"/>
              <w:right w:type="dxa" w:w="140"/>
            </w:tcMar>
            <w:vAlign w:val="center"/>
          </w:tcPr>
          <w:p>
            <w:pPr>
              <w:jc w:val="center"/>
            </w:pPr>
            <w:r>
              <w:rPr>
                <w:b/>
                <w:bCs/>
                <w:color w:val="000000"/>
                <w:sz w:val="20"/>
                <w:szCs w:val="20"/>
              </w:rPr>
              <w:t xml:space="preserve">Medium</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F-10</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Focus visible</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elements without visible focus indicator.</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2.4.7 (AA)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F-11</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Label in name</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form fields lack associated labels; many buttons lack accessible name.</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2.5.3 (A)</w:t>
            </w:r>
          </w:p>
        </w:tc>
        <w:tc>
          <w:tcPr>
            <w:tcW w:type="dxa" w:w="1460"/>
            <w:tcBorders>
              <w:top w:val="single" w:color="BFBFBF" w:sz="4"/>
              <w:left w:val="single" w:color="BFBFBF" w:sz="4"/>
              <w:bottom w:val="single" w:color="BFBFBF" w:sz="4"/>
              <w:right w:val="single" w:color="BFBFBF" w:sz="4"/>
            </w:tcBorders>
            <w:shd w:fill="C00000" w:val="clear"/>
            <w:tcMar>
              <w:top w:type="dxa" w:w="80"/>
              <w:left w:type="dxa" w:w="140"/>
              <w:bottom w:type="dxa" w:w="80"/>
              <w:right w:type="dxa" w:w="140"/>
            </w:tcMar>
            <w:vAlign w:val="center"/>
          </w:tcPr>
          <w:p>
            <w:pPr>
              <w:jc w:val="center"/>
            </w:pPr>
            <w:r>
              <w:rPr>
                <w:b/>
                <w:bCs/>
                <w:color w:val="FFFFFF"/>
                <w:sz w:val="20"/>
                <w:szCs w:val="20"/>
              </w:rPr>
              <w:t xml:space="preserve">Critical</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F-12</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Target size (minimum)</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undersized touch targets in rare instances.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2.5.8 (AA)</w:t>
            </w:r>
          </w:p>
        </w:tc>
        <w:tc>
          <w:tcPr>
            <w:tcW w:type="dxa" w:w="1460"/>
            <w:tcBorders>
              <w:top w:val="single" w:color="BFBFBF" w:sz="4"/>
              <w:left w:val="single" w:color="BFBFBF" w:sz="4"/>
              <w:bottom w:val="single" w:color="BFBFBF" w:sz="4"/>
              <w:right w:val="single" w:color="BFBFBF" w:sz="4"/>
            </w:tcBorders>
            <w:shd w:fill="70AD47" w:val="clear"/>
            <w:tcMar>
              <w:top w:type="dxa" w:w="80"/>
              <w:left w:type="dxa" w:w="140"/>
              <w:bottom w:type="dxa" w:w="80"/>
              <w:right w:type="dxa" w:w="140"/>
            </w:tcMar>
            <w:vAlign w:val="center"/>
          </w:tcPr>
          <w:p>
            <w:pPr>
              <w:jc w:val="center"/>
            </w:pPr>
            <w:r>
              <w:rPr>
                <w:b/>
                <w:bCs/>
                <w:color w:val="FFFFFF"/>
                <w:sz w:val="20"/>
                <w:szCs w:val="20"/>
              </w:rPr>
              <w:t xml:space="preserve">Low</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F-13</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Language of parts</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invalid lang attribute values.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3.1.2 (AA)</w:t>
            </w:r>
          </w:p>
        </w:tc>
        <w:tc>
          <w:tcPr>
            <w:tcW w:type="dxa" w:w="1460"/>
            <w:tcBorders>
              <w:top w:val="single" w:color="BFBFBF" w:sz="4"/>
              <w:left w:val="single" w:color="BFBFBF" w:sz="4"/>
              <w:bottom w:val="single" w:color="BFBFBF" w:sz="4"/>
              <w:right w:val="single" w:color="BFBFBF" w:sz="4"/>
            </w:tcBorders>
            <w:shd w:fill="70AD47" w:val="clear"/>
            <w:tcMar>
              <w:top w:type="dxa" w:w="80"/>
              <w:left w:type="dxa" w:w="140"/>
              <w:bottom w:type="dxa" w:w="80"/>
              <w:right w:type="dxa" w:w="140"/>
            </w:tcMar>
            <w:vAlign w:val="center"/>
          </w:tcPr>
          <w:p>
            <w:pPr>
              <w:jc w:val="center"/>
            </w:pPr>
            <w:r>
              <w:rPr>
                <w:b/>
                <w:bCs/>
                <w:color w:val="FFFFFF"/>
                <w:sz w:val="20"/>
                <w:szCs w:val="20"/>
              </w:rPr>
              <w:t xml:space="preserve">Low</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F-14</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Labels or instructions</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input fields without visual labels in some cases.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3.3.2 (A)</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F-15</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Accessible authentication</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CAPTCHA used for verification in some flows. May affect public submissions.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3.3.8 (AA)</w:t>
            </w:r>
          </w:p>
        </w:tc>
        <w:tc>
          <w:tcPr>
            <w:tcW w:type="dxa" w:w="1460"/>
            <w:tcBorders>
              <w:top w:val="single" w:color="BFBFBF" w:sz="4"/>
              <w:left w:val="single" w:color="BFBFBF" w:sz="4"/>
              <w:bottom w:val="single" w:color="BFBFBF" w:sz="4"/>
              <w:right w:val="single" w:color="BFBFBF" w:sz="4"/>
            </w:tcBorders>
            <w:shd w:fill="FFC000" w:val="clear"/>
            <w:tcMar>
              <w:top w:type="dxa" w:w="80"/>
              <w:left w:type="dxa" w:w="140"/>
              <w:bottom w:type="dxa" w:w="80"/>
              <w:right w:type="dxa" w:w="140"/>
            </w:tcMar>
            <w:vAlign w:val="center"/>
          </w:tcPr>
          <w:p>
            <w:pPr>
              <w:jc w:val="center"/>
            </w:pPr>
            <w:r>
              <w:rPr>
                <w:b/>
                <w:bCs/>
                <w:color w:val="000000"/>
                <w:sz w:val="20"/>
                <w:szCs w:val="20"/>
              </w:rPr>
              <w:t xml:space="preserve">Medium</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F-16</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Name, role, value</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Per Esri ACR: multiple buttons without accessible names; ARIA id collisions; form fields without programmatic labels; missing or wrong roles.</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WCAG 4.1.2 (A)</w:t>
            </w:r>
          </w:p>
        </w:tc>
        <w:tc>
          <w:tcPr>
            <w:tcW w:type="dxa" w:w="1460"/>
            <w:tcBorders>
              <w:top w:val="single" w:color="BFBFBF" w:sz="4"/>
              <w:left w:val="single" w:color="BFBFBF" w:sz="4"/>
              <w:bottom w:val="single" w:color="BFBFBF" w:sz="4"/>
              <w:right w:val="single" w:color="BFBFBF" w:sz="4"/>
            </w:tcBorders>
            <w:shd w:fill="C00000" w:val="clear"/>
            <w:tcMar>
              <w:top w:type="dxa" w:w="80"/>
              <w:left w:type="dxa" w:w="140"/>
              <w:bottom w:type="dxa" w:w="80"/>
              <w:right w:type="dxa" w:w="140"/>
            </w:tcMar>
            <w:vAlign w:val="center"/>
          </w:tcPr>
          <w:p>
            <w:pPr>
              <w:jc w:val="center"/>
            </w:pPr>
            <w:r>
              <w:rPr>
                <w:b/>
                <w:bCs/>
                <w:color w:val="FFFFFF"/>
                <w:sz w:val="20"/>
                <w:szCs w:val="20"/>
              </w:rPr>
              <w:t xml:space="preserve">Critical</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F-17</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Alternative submission method</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Not verified in this audit. The form must publish, prominently and adjacent to the form, at least one alternative submission method (email, postal mail, in-person, accessible online form). If Survey123 is the sole submission channel, this finding is Critical.</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ADA Title II; 24 CFR 91.105(a)(4)</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r>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F-18</w:t>
            </w:r>
          </w:p>
        </w:tc>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LEP / Title VI</w:t>
            </w:r>
          </w:p>
        </w:tc>
        <w:tc>
          <w:tcPr>
            <w:tcW w:type="dxa" w:w="40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Not verified in this audit. A Spanish-language version of the survey must be published. Survey123 supports multi-language but only when the survey author configures it.</w:t>
            </w:r>
          </w:p>
        </w:tc>
        <w:tc>
          <w:tcPr>
            <w:tcW w:type="dxa" w:w="1100"/>
            <w:tcBorders>
              <w:top w:val="single" w:color="BFBFBF" w:sz="4"/>
              <w:left w:val="single" w:color="BFBFBF" w:sz="4"/>
              <w:bottom w:val="single" w:color="BFBFBF" w:sz="4"/>
              <w:right w:val="single" w:color="BFBFBF" w:sz="4"/>
            </w:tcBorders>
            <w:tcMar>
              <w:top w:type="dxa" w:w="80"/>
              <w:left w:type="dxa" w:w="140"/>
              <w:bottom w:type="dxa" w:w="80"/>
              <w:right w:type="dxa" w:w="140"/>
            </w:tcMar>
          </w:tcPr>
          <w:p>
            <w:r>
              <w:rPr>
                <w:sz w:val="20"/>
                <w:szCs w:val="20"/>
              </w:rPr>
              <w:t xml:space="preserve">Title VI; HUD LEP guidance</w:t>
            </w:r>
          </w:p>
        </w:tc>
        <w:tc>
          <w:tcPr>
            <w:tcW w:type="dxa" w:w="1460"/>
            <w:tcBorders>
              <w:top w:val="single" w:color="BFBFBF" w:sz="4"/>
              <w:left w:val="single" w:color="BFBFBF" w:sz="4"/>
              <w:bottom w:val="single" w:color="BFBFBF" w:sz="4"/>
              <w:right w:val="single" w:color="BFBFBF" w:sz="4"/>
            </w:tcBorders>
            <w:shd w:fill="E97132" w:val="clear"/>
            <w:tcMar>
              <w:top w:type="dxa" w:w="80"/>
              <w:left w:type="dxa" w:w="140"/>
              <w:bottom w:type="dxa" w:w="80"/>
              <w:right w:type="dxa" w:w="140"/>
            </w:tcMar>
            <w:vAlign w:val="center"/>
          </w:tcPr>
          <w:p>
            <w:pPr>
              <w:jc w:val="center"/>
            </w:pPr>
            <w:r>
              <w:rPr>
                <w:b/>
                <w:bCs/>
                <w:color w:val="FFFFFF"/>
                <w:sz w:val="20"/>
                <w:szCs w:val="20"/>
              </w:rPr>
              <w:t xml:space="preserve">High</w:t>
            </w:r>
          </w:p>
        </w:tc>
      </w:tr>
    </w:tbl>
    <w:p>
      <w:r>
        <w:t xml:space="preserve"/>
      </w:r>
    </w:p>
    <w:p>
      <w:pPr>
        <w:pStyle w:val="Heading2"/>
      </w:pPr>
      <w:r>
        <w:t xml:space="preserve">5.3 Significance</w:t>
      </w:r>
    </w:p>
    <w:p>
      <w:r>
        <w:t xml:space="preserve">The combination of findings F-02, F-06, F-11, and F-16 is, taken together, a screen-reader and keyboard-only user being unable to reliably complete the form. These are not minor cosmetic gaps; they affect form-completion fundamentals (button names, field labels, keyboard focus, programmatic role exposure). The vendor itself acknowledges the gaps.</w:t>
      </w:r>
    </w:p>
    <w:p>
      <w:r>
        <w:t xml:space="preserve"/>
      </w:r>
    </w:p>
    <w:p>
      <w:r>
        <w:t xml:space="preserve">This form is the principal public comment submission channel for a 30-day federally regulated public participation process under 24 CFR 91.105. A user with a disability who cannot complete the form is, in effect, denied participation in a HUD-funded planning decision. This is the most legally exposed asset of the three.</w:t>
      </w:r>
    </w:p>
    <w:p>
      <w:r>
        <w:t xml:space="preserve"/>
      </w:r>
    </w:p>
    <w:p>
      <w:pPr>
        <w:pStyle w:val="Heading2"/>
      </w:pPr>
      <w:r>
        <w:t xml:space="preserve">5.4 Recommended remediation</w:t>
      </w:r>
    </w:p>
    <w:p>
      <w:r>
        <w:t xml:space="preserve">Three options, in order of recommended priority:</w:t>
      </w:r>
    </w:p>
    <w:p>
      <w:r>
        <w:t xml:space="preserve"/>
      </w:r>
    </w:p>
    <w:p>
      <w:pPr>
        <w:pStyle w:val="Heading3"/>
      </w:pPr>
      <w:r>
        <w:t xml:space="preserve">5.4.1 Option A: Replace the form with a city-controlled accessible alternative (recommended)</w:t>
      </w:r>
    </w:p>
    <w:p>
      <w:r>
        <w:t xml:space="preserve">Build a public comment form on the city's existing Drupal platform with the Webform module. Drupal 10 with the Webform module produces forms that, when configured to standard patterns, meet WCAG 2.1 Level AA out of the box: native HTML form controls, programmatically associated labels, keyboard operability, accessible error messaging, and ARIA live regions for status. The form output can be configured to write to a structured backend (JSON, database, or a webhook into the city's record system) without changing user experience. This option eliminates the vendor-acknowledged accessibility gaps entirely and brings the comment intake under direct city control. It also opens a path to integration with the city's existing accommodation-request workflow and Spanish-language publishing.</w:t>
      </w:r>
    </w:p>
    <w:p>
      <w:r>
        <w:t xml:space="preserve"/>
      </w:r>
    </w:p>
    <w:p>
      <w:pPr>
        <w:pStyle w:val="Heading3"/>
      </w:pPr>
      <w:r>
        <w:t xml:space="preserve">5.4.2 Option B: Publish prominent alternative submission methods</w:t>
      </w:r>
    </w:p>
    <w:p>
      <w:r>
        <w:t xml:space="preserve">If the Survey123 form is to remain in service for this comment window, publish at least three alternative submission channels prominently and immediately adjacent to the form, not buried in the page footer or at the bottom of an FAQ:</w:t>
      </w:r>
    </w:p>
    <w:p>
      <w:pPr>
        <w:pStyle w:val="ListParagraph"/>
        <w:numPr>
          <w:ilvl w:val="0"/>
          <w:numId w:val="2"/>
        </w:numPr>
      </w:pPr>
      <w:r>
        <w:t xml:space="preserve">A direct email address for submitting comments, monitored daily during the comment period.</w:t>
      </w:r>
    </w:p>
    <w:p>
      <w:pPr>
        <w:pStyle w:val="ListParagraph"/>
        <w:numPr>
          <w:ilvl w:val="0"/>
          <w:numId w:val="2"/>
        </w:numPr>
      </w:pPr>
      <w:r>
        <w:t xml:space="preserve">A postal mail address.</w:t>
      </w:r>
    </w:p>
    <w:p>
      <w:pPr>
        <w:pStyle w:val="ListParagraph"/>
        <w:numPr>
          <w:ilvl w:val="0"/>
          <w:numId w:val="2"/>
        </w:numPr>
      </w:pPr>
      <w:r>
        <w:t xml:space="preserve">In-person comment intake at a published location with published hours.</w:t>
      </w:r>
    </w:p>
    <w:p>
      <w:pPr>
        <w:pStyle w:val="ListParagraph"/>
        <w:numPr>
          <w:ilvl w:val="0"/>
          <w:numId w:val="2"/>
        </w:numPr>
      </w:pPr>
      <w:r>
        <w:t xml:space="preserve">A telephone option with TTY/relay accommodation.</w:t>
      </w:r>
    </w:p>
    <w:p>
      <w:r>
        <w:t xml:space="preserve">The alternatives should be presented as equally valid, not as fallbacks. The page should make explicit that any comment submitted by any of these methods will be entered into the public record on equal footing with Survey123 submissions. This option is a partial mitigation. It does not cure the inaccessible form; it provides a parallel path. Under ADA Title II, this is the minimum acceptable posture if the form remains in use.</w:t>
      </w:r>
    </w:p>
    <w:p>
      <w:r>
        <w:t xml:space="preserve"/>
      </w:r>
    </w:p>
    <w:p>
      <w:pPr>
        <w:pStyle w:val="Heading3"/>
      </w:pPr>
      <w:r>
        <w:t xml:space="preserve">5.4.3 Option C: Configure Survey123 to its highest-accessibility profile and add LEP support</w:t>
      </w:r>
    </w:p>
    <w:p>
      <w:r>
        <w:t xml:space="preserve">Within Survey123's authoring options, ensure: every question has a clearly authored label and hint; no question relies on color alone; required fields are marked with text in addition to color; map and location-picker questions are removed or paired with text-input alternatives; CAPTCHA is disabled if not required for spam control or replaced with a non-cognitive challenge; the survey is configured for English and Spanish at minimum. This option does not cure the underlying vendor product gaps reported in the ACR but reduces the surface area of those gaps for this particular form.</w:t>
      </w:r>
    </w:p>
    <w:p>
      <w:r>
        <w:t xml:space="preserve"/>
      </w:r>
    </w:p>
    <w:p>
      <w:r>
        <w:t xml:space="preserve">Options A and C are not mutually exclusive. The recommended posture is Option A as the strategic answer, with Option B applied immediately to the current comment window.</w:t>
      </w:r>
    </w:p>
    <w:p>
      <w:r>
        <w:t xml:space="preserve"/>
      </w:r>
    </w:p>
    <w:p>
      <w:r>
        <w:br w:type="page"/>
      </w:r>
    </w:p>
    <w:p>
      <w:pPr>
        <w:pStyle w:val="Heading1"/>
      </w:pPr>
      <w:r>
        <w:t xml:space="preserve">6. Cross-Cutting Findings</w:t>
      </w:r>
    </w:p>
    <w:p>
      <w:r>
        <w:t xml:space="preserve">Several findings recur across the three assets and indicate systemic rather than asset-specific causes.</w:t>
      </w:r>
    </w:p>
    <w:p>
      <w:r>
        <w:t xml:space="preserve"/>
      </w:r>
    </w:p>
    <w:p>
      <w:pPr>
        <w:pStyle w:val="Heading2"/>
      </w:pPr>
      <w:r>
        <w:t xml:space="preserve">6.1 No per-asset accessibility status</w:t>
      </w:r>
    </w:p>
    <w:p>
      <w:r>
        <w:t xml:space="preserve">The city publishes a global accessibility statement and a global third-party-document disclaimer, but no per-asset accessibility metadata. A user encountering any individual document, video, podcast, or form has no way to know whether that asset has been tested, whether it conforms, when it was last reviewed, or what alternative formats exist. This pattern is consistent across all three assets reviewed.</w:t>
      </w:r>
    </w:p>
    <w:p>
      <w:r>
        <w:t xml:space="preserve"/>
      </w:r>
    </w:p>
    <w:p>
      <w:pPr>
        <w:pStyle w:val="Heading2"/>
      </w:pPr>
      <w:r>
        <w:t xml:space="preserve">6.2 No vendor accessibility register</w:t>
      </w:r>
    </w:p>
    <w:p>
      <w:r>
        <w:t xml:space="preserve">The Survey123 finding illustrates a category of risk that applies to every third-party tool the city deploys to the public, including Esri products, Accela / GoCOS, Drupal modules, embedded YouTube, embedded social-media widgets, and any future procurement. Under the DOJ Title II rule, the city remains the responsible public entity for accessibility of services it makes available to the public, regardless of vendor. A vendor accessibility register — with VPAT URL, VPAT date, criteria flagged Partially Supports or worse, and mitigation plan, per vendor — is the minimum governance artifact required.</w:t>
      </w:r>
    </w:p>
    <w:p>
      <w:r>
        <w:t xml:space="preserve"/>
      </w:r>
    </w:p>
    <w:p>
      <w:pPr>
        <w:pStyle w:val="Heading2"/>
      </w:pPr>
      <w:r>
        <w:t xml:space="preserve">6.3 Phone-only accommodation intake</w:t>
      </w:r>
    </w:p>
    <w:p>
      <w:r>
        <w:t xml:space="preserve">Each of the three assets directs accommodation requests to a phone number. Phone-only intake disadvantages deaf, hard-of-hearing, and certain disabled users, who must use TTY/relay services to access an accommodation channel that should itself be barrier-free. An online accommodation request form, monitored by the Office of Accessibility with a published response-time SLA, should be the primary channel.</w:t>
      </w:r>
    </w:p>
    <w:p>
      <w:r>
        <w:t xml:space="preserve"/>
      </w:r>
    </w:p>
    <w:p>
      <w:pPr>
        <w:pStyle w:val="Heading2"/>
      </w:pPr>
      <w:r>
        <w:t xml:space="preserve">6.4 No multi-language accessibility</w:t>
      </w:r>
    </w:p>
    <w:p>
      <w:r>
        <w:t xml:space="preserve">None of the three assets surfaces Spanish-language content or a language selector. The city's own Title VI Language Access policy obligates vital documents in Spanish, and HUD LEP guidance applies to plan documents and comment processes in HOME-ARP. This is a finding that recurs across the public comment process as a whole, not just the Survey123 form.</w:t>
      </w:r>
    </w:p>
    <w:p>
      <w:r>
        <w:t xml:space="preserve"/>
      </w:r>
    </w:p>
    <w:p>
      <w:pPr>
        <w:pStyle w:val="Heading2"/>
      </w:pPr>
      <w:r>
        <w:t xml:space="preserve">6.5 Content fragmented across siloed tools</w:t>
      </w:r>
    </w:p>
    <w:p>
      <w:r>
        <w:t xml:space="preserve">The HOME-ARP comment process spans at least four distinct platforms: the city's main Drupal site, a YouTube channel, an Esri Survey123 instance, and a PDF rendered behind a Drupal Document Viewer wrapper. There is no record-level binding that ties them together; a user has to assemble the picture from four separate surfaces. The accessibility gaps and the user-experience gaps share a common root.</w:t>
      </w:r>
    </w:p>
    <w:p>
      <w:r>
        <w:t xml:space="preserve"/>
      </w:r>
    </w:p>
    <w:p>
      <w:r>
        <w:br w:type="page"/>
      </w:r>
    </w:p>
    <w:p>
      <w:pPr>
        <w:pStyle w:val="Heading1"/>
      </w:pPr>
      <w:r>
        <w:t xml:space="preserve">7. Recommendations</w:t>
      </w:r>
    </w:p>
    <w:p>
      <w:r>
        <w:t xml:space="preserve">Recommendations are presented in priority order. Items 1–3 should be acted on within the active April 24 – May 26, 2026 comment window. Items 4–7 are structural recommendations for the next planning cycle.</w:t>
      </w:r>
    </w:p>
    <w:p>
      <w:r>
        <w:t xml:space="preserve"/>
      </w:r>
    </w:p>
    <w:p>
      <w:pPr>
        <w:pStyle w:val="Heading2"/>
      </w:pPr>
      <w:r>
        <w:t xml:space="preserve">7.1 Immediate (within current comment window)</w:t>
      </w:r>
    </w:p>
    <w:p>
      <w:r>
        <w:t xml:space="preserve">1. Publish alternative submission methods for HOME-ARP comments — email, postal mail, in-person, telephone with TTY/relay — prominently and adjacent to the Survey123 form. Make explicit that comments by any method enter the public record on equal footing.</w:t>
      </w:r>
    </w:p>
    <w:p>
      <w:r>
        <w:t xml:space="preserve"/>
      </w:r>
    </w:p>
    <w:p>
      <w:r>
        <w:t xml:space="preserve">2. Publish a Spanish-language version of the comment notice and a plain-language summary of the draft amendment, with a Spanish-language submission channel staffed during the comment window.</w:t>
      </w:r>
    </w:p>
    <w:p>
      <w:r>
        <w:t xml:space="preserve"/>
      </w:r>
    </w:p>
    <w:p>
      <w:r>
        <w:t xml:space="preserve">3. Add a transcript download button and a YouTube-captions notice to the Talkin' Trees page. Generation of a baseline transcript and human review can be completed within hours.</w:t>
      </w:r>
    </w:p>
    <w:p>
      <w:r>
        <w:t xml:space="preserve"/>
      </w:r>
    </w:p>
    <w:p>
      <w:pPr>
        <w:pStyle w:val="Heading2"/>
      </w:pPr>
      <w:r>
        <w:t xml:space="preserve">7.2 Near-term (within 60 days)</w:t>
      </w:r>
    </w:p>
    <w:p>
      <w:r>
        <w:t xml:space="preserve">4. Run the April 2026 draft amendment PDF through Adobe Acrobat Pro Accessibility Check and PAC 2024. Remediate findings. Re-publish.</w:t>
      </w:r>
    </w:p>
    <w:p>
      <w:r>
        <w:t xml:space="preserve"/>
      </w:r>
    </w:p>
    <w:p>
      <w:r>
        <w:t xml:space="preserve">5. Replace the Document Viewer wrapper template with a per-document landing page that exposes: title, plain-language summary, regulatory status (where applicable), per-document accessibility status, structured accommodation request control routed to the Office of Accessibility, and direct download of the file.</w:t>
      </w:r>
    </w:p>
    <w:p>
      <w:r>
        <w:t xml:space="preserve"/>
      </w:r>
    </w:p>
    <w:p>
      <w:r>
        <w:t xml:space="preserve">6. Build the city-controlled comment form on Drupal Webform for the next plan amendment, with structured JSON output to the city's record system.</w:t>
      </w:r>
    </w:p>
    <w:p>
      <w:r>
        <w:t xml:space="preserve"/>
      </w:r>
    </w:p>
    <w:p>
      <w:pPr>
        <w:pStyle w:val="Heading2"/>
      </w:pPr>
      <w:r>
        <w:t xml:space="preserve">7.3 Structural (within next planning cycle)</w:t>
      </w:r>
    </w:p>
    <w:p>
      <w:r>
        <w:t xml:space="preserve">7. Stand up a vendor accessibility register and a per-asset accessibility status field tied to every public-facing record. Make publishing conditional on those fields being populated. Replace phone-only accommodation intake with an online request form routed through the city's existing ticket workflow, with published response-time SLAs. Adopt PDF/UA-1 explicitly as the document standard for all city PDF deliverables, in addition to WCAG 2.1 AA for web content.</w:t>
      </w:r>
    </w:p>
    <w:p>
      <w:r>
        <w:t xml:space="preserve"/>
      </w:r>
    </w:p>
    <w:p>
      <w:r>
        <w:br w:type="page"/>
      </w:r>
    </w:p>
    <w:p>
      <w:pPr>
        <w:pStyle w:val="Heading1"/>
      </w:pPr>
      <w:r>
        <w:t xml:space="preserve">8. References</w:t>
      </w:r>
    </w:p>
    <w:p>
      <w:pPr>
        <w:pStyle w:val="ListParagraph"/>
        <w:numPr>
          <w:ilvl w:val="0"/>
          <w:numId w:val="2"/>
        </w:numPr>
      </w:pPr>
      <w:r>
        <w:t xml:space="preserve">U.S. Department of Justice, “Nondiscrimination on the Basis of Disability; Accessibility of Web Information and Services of State and Local Government Entities,” Final Rule, 89 FR 31320 (April 24, 2024).</w:t>
      </w:r>
    </w:p>
    <w:p>
      <w:pPr>
        <w:pStyle w:val="ListParagraph"/>
        <w:numPr>
          <w:ilvl w:val="0"/>
          <w:numId w:val="2"/>
        </w:numPr>
      </w:pPr>
      <w:r>
        <w:t xml:space="preserve">U.S. Department of Justice, “Extension of Compliance Dates for Nondiscrimination on the Basis of Disability; Accessibility of Web Information and Services of State and Local Government Entities,” Interim Final Rule, 91 FR 17122 (April 20, 2026).</w:t>
      </w:r>
    </w:p>
    <w:p>
      <w:pPr>
        <w:pStyle w:val="ListParagraph"/>
        <w:numPr>
          <w:ilvl w:val="0"/>
          <w:numId w:val="2"/>
        </w:numPr>
      </w:pPr>
      <w:r>
        <w:t xml:space="preserve">U.S. Access Board, Information and Communication Technology Standards and Guidelines (Revised Section 508 Standards), 36 CFR Part 1194.</w:t>
      </w:r>
    </w:p>
    <w:p>
      <w:pPr>
        <w:pStyle w:val="ListParagraph"/>
        <w:numPr>
          <w:ilvl w:val="0"/>
          <w:numId w:val="2"/>
        </w:numPr>
      </w:pPr>
      <w:r>
        <w:t xml:space="preserve">U.S. Department of Housing and Urban Development, Citizen Participation Plan, 24 CFR 91.105.</w:t>
      </w:r>
    </w:p>
    <w:p>
      <w:pPr>
        <w:pStyle w:val="ListParagraph"/>
        <w:numPr>
          <w:ilvl w:val="0"/>
          <w:numId w:val="2"/>
        </w:numPr>
      </w:pPr>
      <w:r>
        <w:t xml:space="preserve">U.S. Department of Housing and Urban Development, “Final Guidance to Federal Financial Assistance Recipients Regarding Title VI Prohibition Against National Origin Discrimination Affecting Limited English Proficient Persons,” 72 FR 2732 (January 22, 2007).</w:t>
      </w:r>
    </w:p>
    <w:p>
      <w:pPr>
        <w:pStyle w:val="ListParagraph"/>
        <w:numPr>
          <w:ilvl w:val="0"/>
          <w:numId w:val="2"/>
        </w:numPr>
      </w:pPr>
      <w:r>
        <w:t xml:space="preserve">World Wide Web Consortium, Web Content Accessibility Guidelines (WCAG) 2.1, W3C Recommendation, June 5, 2018.</w:t>
      </w:r>
    </w:p>
    <w:p>
      <w:pPr>
        <w:pStyle w:val="ListParagraph"/>
        <w:numPr>
          <w:ilvl w:val="0"/>
          <w:numId w:val="2"/>
        </w:numPr>
      </w:pPr>
      <w:r>
        <w:t xml:space="preserve">ISO 14289-1:2014, “Document management applications — Electronic document file format enhancement for accessibility — Part 1: Use of ISO 32000-1 (PDF/UA-1).”</w:t>
      </w:r>
    </w:p>
    <w:p>
      <w:pPr>
        <w:pStyle w:val="ListParagraph"/>
        <w:numPr>
          <w:ilvl w:val="0"/>
          <w:numId w:val="2"/>
        </w:numPr>
      </w:pPr>
      <w:r>
        <w:t xml:space="preserve">Esri, “ArcGIS Survey123 Accessibility Conformance Report,” version 3.19, dated April 29, 2024.</w:t>
      </w:r>
    </w:p>
    <w:p>
      <w:pPr>
        <w:pStyle w:val="ListParagraph"/>
        <w:numPr>
          <w:ilvl w:val="0"/>
          <w:numId w:val="2"/>
        </w:numPr>
      </w:pPr>
      <w:r>
        <w:t xml:space="preserve">City of Colorado Springs, “Accessible Information Technology” and Title VI Language Access Policy, published at coloradosprings.gov.</w:t>
      </w:r>
    </w:p>
    <w:p>
      <w:r>
        <w:t xml:space="preserve"/>
      </w:r>
    </w:p>
    <w:p>
      <w:r>
        <w:rPr>
          <w:i/>
          <w:iCs/>
          <w:color w:val="808080"/>
        </w:rPr>
        <w:t xml:space="preserve">End of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City of Colorado Springs   |   May 4, 2026   |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8"/>
        <w:szCs w:val="18"/>
      </w:rPr>
      <w:t xml:space="preserve">Digital Accessibility &amp; Public Participation Compliance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Accessibility &amp; Public Participation Compliance Audit</dc:title>
  <dc:creator>Independent Accessibility Review</dc:creator>
  <dc:description>Compliance audit covering three public-facing City of Colorado Springs digital assets</dc:description>
  <cp:lastModifiedBy>Un-named</cp:lastModifiedBy>
  <cp:revision>1</cp:revision>
  <dcterms:created xsi:type="dcterms:W3CDTF">2026-05-04T06:48:35.316Z</dcterms:created>
  <dcterms:modified xsi:type="dcterms:W3CDTF">2026-05-04T06:48:35.316Z</dcterms:modified>
</cp:coreProperties>
</file>

<file path=docProps/custom.xml><?xml version="1.0" encoding="utf-8"?>
<Properties xmlns="http://schemas.openxmlformats.org/officeDocument/2006/custom-properties" xmlns:vt="http://schemas.openxmlformats.org/officeDocument/2006/docPropsVTypes"/>
</file>