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pPr>
      <w:r>
        <w:rPr>
          <w:rFonts w:ascii="Arial" w:cs="Arial" w:eastAsia="Arial" w:hAnsi="Arial"/>
          <w:color w:val="666666"/>
          <w:sz w:val="21"/>
          <w:szCs w:val="21"/>
        </w:rPr>
        <w:t xml:space="preserve">April 1, 2026</w:t>
      </w:r>
    </w:p>
    <w:p>
      <w:pPr>
        <w:spacing w:after="120" w:before="0"/>
      </w:pPr>
      <w:r>
        <w:rPr>
          <w:rFonts w:ascii="Arial" w:cs="Arial" w:eastAsia="Arial" w:hAnsi="Arial"/>
          <w:b/>
          <w:bCs/>
          <w:color w:val="0D1B2E"/>
          <w:sz w:val="22"/>
          <w:szCs w:val="22"/>
        </w:rPr>
        <w:t xml:space="preserve">TO:</w:t>
      </w:r>
      <w:r>
        <w:rPr>
          <w:rFonts w:ascii="Arial" w:cs="Arial" w:eastAsia="Arial" w:hAnsi="Arial"/>
          <w:color w:val="333333"/>
          <w:sz w:val="22"/>
          <w:szCs w:val="22"/>
        </w:rPr>
        <w:t xml:space="preserve">  Disability Rights Section, Civil Rights Division</w:t>
      </w:r>
    </w:p>
    <w:p>
      <w:pPr>
        <w:spacing w:after="120" w:before="0"/>
      </w:pPr>
      <w:r>
        <w:rPr>
          <w:rFonts w:ascii="Arial" w:cs="Arial" w:eastAsia="Arial" w:hAnsi="Arial"/>
          <w:color w:val="333333"/>
          <w:sz w:val="22"/>
          <w:szCs w:val="22"/>
        </w:rPr>
        <w:t xml:space="preserve">       U.S. Department of Justice</w:t>
      </w:r>
    </w:p>
    <w:p>
      <w:pPr>
        <w:spacing w:after="120" w:before="0"/>
      </w:pPr>
      <w:r>
        <w:rPr>
          <w:rFonts w:ascii="Arial" w:cs="Arial" w:eastAsia="Arial" w:hAnsi="Arial"/>
          <w:color w:val="333333"/>
          <w:sz w:val="22"/>
          <w:szCs w:val="22"/>
        </w:rPr>
        <w:t xml:space="preserve">       950 Pennsylvania Avenue, NW — NYA</w:t>
      </w:r>
    </w:p>
    <w:p>
      <w:pPr>
        <w:spacing w:after="80" w:before="0"/>
      </w:pPr>
      <w:r>
        <w:rPr>
          <w:rFonts w:ascii="Arial" w:cs="Arial" w:eastAsia="Arial" w:hAnsi="Arial"/>
          <w:color w:val="333333"/>
          <w:sz w:val="22"/>
          <w:szCs w:val="22"/>
        </w:rPr>
        <w:t xml:space="preserve">       Washington, DC 20530</w:t>
      </w:r>
    </w:p>
    <w:p>
      <w:pPr>
        <w:spacing w:after="120" w:before="0"/>
      </w:pPr>
      <w:r>
        <w:rPr>
          <w:rFonts w:ascii="Arial" w:cs="Arial" w:eastAsia="Arial" w:hAnsi="Arial"/>
          <w:b/>
          <w:bCs/>
          <w:color w:val="0D1B2E"/>
          <w:sz w:val="22"/>
          <w:szCs w:val="22"/>
        </w:rPr>
        <w:t xml:space="preserve">CC:</w:t>
      </w:r>
      <w:r>
        <w:rPr>
          <w:rFonts w:ascii="Arial" w:cs="Arial" w:eastAsia="Arial" w:hAnsi="Arial"/>
          <w:color w:val="333333"/>
          <w:sz w:val="22"/>
          <w:szCs w:val="22"/>
        </w:rPr>
        <w:t xml:space="preserve">  Dwayne Spriggs, DOJ Section 508 Program Manager</w:t>
      </w:r>
    </w:p>
    <w:p>
      <w:pPr>
        <w:spacing w:after="80" w:before="0"/>
      </w:pPr>
      <w:r>
        <w:rPr>
          <w:rFonts w:ascii="Arial" w:cs="Arial" w:eastAsia="Arial" w:hAnsi="Arial"/>
          <w:color w:val="333333"/>
          <w:sz w:val="22"/>
          <w:szCs w:val="22"/>
        </w:rPr>
        <w:t xml:space="preserve">       Section508ProgramManager@usdoj.gov</w:t>
      </w:r>
    </w:p>
    <w:p>
      <w:pPr>
        <w:spacing w:after="120" w:before="0"/>
      </w:pPr>
      <w:r>
        <w:rPr>
          <w:rFonts w:ascii="Arial" w:cs="Arial" w:eastAsia="Arial" w:hAnsi="Arial"/>
          <w:b/>
          <w:bCs/>
          <w:color w:val="0D1B2E"/>
          <w:sz w:val="22"/>
          <w:szCs w:val="22"/>
        </w:rPr>
        <w:t xml:space="preserve">CC:</w:t>
      </w:r>
      <w:r>
        <w:rPr>
          <w:rFonts w:ascii="Arial" w:cs="Arial" w:eastAsia="Arial" w:hAnsi="Arial"/>
          <w:color w:val="333333"/>
          <w:sz w:val="22"/>
          <w:szCs w:val="22"/>
        </w:rPr>
        <w:t xml:space="preserve">  FBI Internet Content Manager, Room 7790-C</w:t>
      </w:r>
    </w:p>
    <w:p>
      <w:pPr>
        <w:spacing w:after="280" w:before="0"/>
      </w:pPr>
      <w:r>
        <w:rPr>
          <w:rFonts w:ascii="Arial" w:cs="Arial" w:eastAsia="Arial" w:hAnsi="Arial"/>
          <w:color w:val="333333"/>
          <w:sz w:val="22"/>
          <w:szCs w:val="22"/>
        </w:rPr>
        <w:t xml:space="preserve">       935 Pennsylvania Avenue, NW — Washington, DC 20535-0001</w:t>
      </w:r>
    </w:p>
    <w:p>
      <w:pPr>
        <w:spacing w:after="280" w:before="0"/>
      </w:pPr>
      <w:r>
        <w:rPr>
          <w:rFonts w:ascii="Arial" w:cs="Arial" w:eastAsia="Arial" w:hAnsi="Arial"/>
          <w:b/>
          <w:bCs/>
          <w:color w:val="0D1B2E"/>
          <w:sz w:val="22"/>
          <w:szCs w:val="22"/>
        </w:rPr>
        <w:t xml:space="preserve">RE:</w:t>
      </w:r>
      <w:r>
        <w:rPr>
          <w:rFonts w:ascii="Arial" w:cs="Arial" w:eastAsia="Arial" w:hAnsi="Arial"/>
          <w:color w:val="333333"/>
          <w:sz w:val="22"/>
          <w:szCs w:val="22"/>
        </w:rPr>
        <w:t xml:space="preserve">  Section 508 / ADA Accessibility Deficiencies at tips.fbi.gov — Proactive Notice, Documented Findings, and Remediation Cost Estimate</w:t>
      </w:r>
    </w:p>
    <w:p>
      <w:pPr>
        <w:pBdr>
          <w:bottom w:val="single" w:color="C8A84B" w:sz="4" w:space="4"/>
        </w:pBdr>
        <w:spacing w:after="280" w:before="0"/>
      </w:pPr>
    </w:p>
    <w:p>
      <w:pPr>
        <w:spacing w:after="160" w:before="0"/>
      </w:pPr>
      <w:r>
        <w:rPr>
          <w:rFonts w:ascii="Arial" w:cs="Arial" w:eastAsia="Arial" w:hAnsi="Arial"/>
          <w:color w:val="333333"/>
          <w:sz w:val="22"/>
          <w:szCs w:val="22"/>
        </w:rPr>
        <w:t xml:space="preserve">Dear Disability Rights Section and Section 508 Program Manager:</w:t>
      </w:r>
    </w:p>
    <w:p>
      <w:pPr>
        <w:spacing w:after="160" w:before="0"/>
      </w:pPr>
      <w:r>
        <w:rPr>
          <w:rFonts w:ascii="Arial" w:cs="Arial" w:eastAsia="Arial" w:hAnsi="Arial"/>
          <w:color w:val="333333"/>
          <w:sz w:val="22"/>
          <w:szCs w:val="22"/>
        </w:rPr>
        <w:t xml:space="preserve">StorySeed Studios operates </w:t>
      </w:r>
      <w:r>
        <w:rPr>
          <w:rFonts w:ascii="Arial" w:cs="Arial" w:eastAsia="Arial" w:hAnsi="Arial"/>
          <w:i/>
          <w:iCs/>
          <w:color w:val="666666"/>
          <w:sz w:val="22"/>
          <w:szCs w:val="22"/>
        </w:rPr>
        <w:t xml:space="preserve">The Dais</w:t>
      </w:r>
      <w:r>
        <w:rPr>
          <w:rFonts w:ascii="Arial" w:cs="Arial" w:eastAsia="Arial" w:hAnsi="Arial"/>
          <w:color w:val="333333"/>
          <w:sz w:val="22"/>
          <w:szCs w:val="22"/>
        </w:rPr>
        <w:t xml:space="preserve">, a civic journalism and digital accessibility project based in El Paso County, Colorado. This letter is submitted proactively — not as a complaint of personal harm, but as a documented notice of accessibility deficiencies on a federal government website that affects every person in the United States who attempts to report a crime to the Federal Bureau of Investigation.</w:t>
      </w:r>
    </w:p>
    <w:p>
      <w:pPr>
        <w:spacing w:after="160" w:before="0"/>
      </w:pPr>
      <w:r>
        <w:rPr>
          <w:rFonts w:ascii="Arial" w:cs="Arial" w:eastAsia="Arial" w:hAnsi="Arial"/>
          <w:color w:val="333333"/>
          <w:sz w:val="22"/>
          <w:szCs w:val="22"/>
        </w:rPr>
        <w:t xml:space="preserve">The website at </w:t>
      </w:r>
      <w:r>
        <w:rPr>
          <w:rFonts w:ascii="Arial" w:cs="Arial" w:eastAsia="Arial" w:hAnsi="Arial"/>
          <w:b/>
          <w:bCs/>
          <w:color w:val="0D1B2E"/>
          <w:sz w:val="22"/>
          <w:szCs w:val="22"/>
        </w:rPr>
        <w:t xml:space="preserve">tips.fbi.gov</w:t>
      </w:r>
      <w:r>
        <w:rPr>
          <w:rFonts w:ascii="Arial" w:cs="Arial" w:eastAsia="Arial" w:hAnsi="Arial"/>
          <w:color w:val="333333"/>
          <w:sz w:val="22"/>
          <w:szCs w:val="22"/>
        </w:rPr>
        <w:t xml:space="preserve"> is the FBI’s primary public interface for citizen crime reporting. It is a public-facing electronic information system subject to </w:t>
      </w:r>
      <w:r>
        <w:rPr>
          <w:rFonts w:ascii="Arial" w:cs="Arial" w:eastAsia="Arial" w:hAnsi="Arial"/>
          <w:b/>
          <w:bCs/>
          <w:color w:val="0D1B2E"/>
          <w:sz w:val="22"/>
          <w:szCs w:val="22"/>
        </w:rPr>
        <w:t xml:space="preserve">Section 508 of the Rehabilitation Act of 1973, as amended, 29 U.S.C. § 794d</w:t>
      </w:r>
      <w:r>
        <w:rPr>
          <w:rFonts w:ascii="Arial" w:cs="Arial" w:eastAsia="Arial" w:hAnsi="Arial"/>
          <w:color w:val="333333"/>
          <w:sz w:val="22"/>
          <w:szCs w:val="22"/>
        </w:rPr>
        <w:t xml:space="preserve">, and to the Department of Justice’s own implementing regulations. Unlike the April 24, 2026 Title II ADA deadline applicable to state and local governments, </w:t>
      </w:r>
      <w:r>
        <w:rPr>
          <w:rFonts w:ascii="Arial" w:cs="Arial" w:eastAsia="Arial" w:hAnsi="Arial"/>
          <w:b/>
          <w:bCs/>
          <w:color w:val="0D1B2E"/>
          <w:sz w:val="22"/>
          <w:szCs w:val="22"/>
        </w:rPr>
        <w:t xml:space="preserve">Section 508 carries no upcoming compliance date for federal agencies — it is the current, operative law.</w:t>
      </w:r>
      <w:r>
        <w:rPr>
          <w:rFonts w:ascii="Arial" w:cs="Arial" w:eastAsia="Arial" w:hAnsi="Arial"/>
          <w:color w:val="333333"/>
          <w:sz w:val="22"/>
          <w:szCs w:val="22"/>
        </w:rPr>
        <w:t xml:space="preserve"> tips.fbi.gov is required to be compliant today.</w:t>
      </w:r>
    </w:p>
    <w:p>
      <w:pPr>
        <w:spacing w:after="160" w:before="0"/>
      </w:pPr>
      <w:r>
        <w:rPr>
          <w:rFonts w:ascii="Arial" w:cs="Arial" w:eastAsia="Arial" w:hAnsi="Arial"/>
          <w:color w:val="333333"/>
          <w:sz w:val="22"/>
          <w:szCs w:val="22"/>
        </w:rPr>
        <w:t xml:space="preserve">We are writing to place documented findings on the record, to support proactive remediation, and to provide cost estimates that we believe demonstrate the low relative investment required to bring this system into compliance.</w:t>
      </w:r>
    </w:p>
    <w:p>
      <w:pPr>
        <w:pBdr>
          <w:bottom w:val="single" w:color="C8A84B" w:sz="6" w:space="4"/>
        </w:pBdr>
        <w:spacing w:after="80" w:before="320"/>
      </w:pPr>
      <w:r>
        <w:rPr>
          <w:rFonts w:ascii="Arial" w:cs="Arial" w:eastAsia="Arial" w:hAnsi="Arial"/>
          <w:b/>
          <w:bCs/>
          <w:color w:val="0D1B2E"/>
          <w:sz w:val="30"/>
          <w:szCs w:val="30"/>
        </w:rPr>
        <w:t xml:space="preserve">I.  The Website’s Technical Architecture Creates Categorical Barriers</w:t>
      </w:r>
    </w:p>
    <w:p>
      <w:pPr>
        <w:spacing w:after="120" w:before="0"/>
      </w:pPr>
      <w:r>
        <w:rPr>
          <w:rFonts w:ascii="Arial" w:cs="Arial" w:eastAsia="Arial" w:hAnsi="Arial"/>
          <w:color w:val="333333"/>
          <w:sz w:val="22"/>
          <w:szCs w:val="22"/>
        </w:rPr>
        <w:t xml:space="preserve">tips.fbi.gov is built as a fully client-side Angular single-page application. The HTML shell delivered to every user’s browser contains a single element — </w:t>
      </w:r>
      <w:r>
        <w:rPr>
          <w:rFonts w:ascii="Courier New" w:cs="Courier New" w:eastAsia="Courier New" w:hAnsi="Courier New"/>
          <w:color w:val="C0392B"/>
          <w:sz w:val="20"/>
          <w:szCs w:val="20"/>
        </w:rPr>
        <w:t xml:space="preserve">&lt;app-root&gt;&lt;/app-root&gt;</w:t>
      </w:r>
      <w:r>
        <w:rPr>
          <w:rFonts w:ascii="Arial" w:cs="Arial" w:eastAsia="Arial" w:hAnsi="Arial"/>
          <w:color w:val="333333"/>
          <w:sz w:val="22"/>
          <w:szCs w:val="22"/>
        </w:rPr>
        <w:t xml:space="preserve"> — with no server-rendered content. This architectural choice means:</w:t>
      </w:r>
    </w:p>
    <w:p>
      <w:pPr>
        <w:pStyle w:val="ListParagraph"/>
        <w:numPr>
          <w:ilvl w:val="0"/>
          <w:numId w:val="2"/>
        </w:numPr>
        <w:spacing w:after="80" w:before="0"/>
      </w:pPr>
      <w:r>
        <w:rPr>
          <w:rFonts w:ascii="Arial" w:cs="Arial" w:eastAsia="Arial" w:hAnsi="Arial"/>
          <w:color w:val="333333"/>
          <w:sz w:val="21"/>
          <w:szCs w:val="21"/>
        </w:rPr>
        <w:t xml:space="preserve">If JavaScript fails to load, is blocked by a firewall, or executes slowly, the page is blank. A citizen attempting to report a crime sees nothing.</w:t>
      </w:r>
    </w:p>
    <w:p>
      <w:pPr>
        <w:pStyle w:val="ListParagraph"/>
        <w:numPr>
          <w:ilvl w:val="0"/>
          <w:numId w:val="2"/>
        </w:numPr>
        <w:spacing w:after="80" w:before="0"/>
      </w:pPr>
      <w:r>
        <w:rPr>
          <w:rFonts w:ascii="Arial" w:cs="Arial" w:eastAsia="Arial" w:hAnsi="Arial"/>
          <w:color w:val="333333"/>
          <w:sz w:val="21"/>
          <w:szCs w:val="21"/>
        </w:rPr>
        <w:t xml:space="preserve">Screen readers receive an empty document at parse time. Assistive technology that relies on server-rendered semantic markup has nothing to read until the Angular framework fully initializes.</w:t>
      </w:r>
    </w:p>
    <w:p>
      <w:pPr>
        <w:pStyle w:val="ListParagraph"/>
        <w:numPr>
          <w:ilvl w:val="0"/>
          <w:numId w:val="2"/>
        </w:numPr>
        <w:spacing w:after="80" w:before="0"/>
      </w:pPr>
      <w:r>
        <w:rPr>
          <w:rFonts w:ascii="Arial" w:cs="Arial" w:eastAsia="Arial" w:hAnsi="Arial"/>
          <w:color w:val="333333"/>
          <w:sz w:val="21"/>
          <w:szCs w:val="21"/>
        </w:rPr>
        <w:t xml:space="preserve">The form’s address field depends on the Google Maps JavaScript API. If that external API is unavailable, users cannot enter location information at all — a violation of WCAG 2.1 Success Criterion 1.3.3 (Sensory Characteristics).</w:t>
      </w:r>
    </w:p>
    <w:p>
      <w:pPr>
        <w:pStyle w:val="ListParagraph"/>
        <w:numPr>
          <w:ilvl w:val="0"/>
          <w:numId w:val="2"/>
        </w:numPr>
        <w:spacing w:after="80" w:before="0"/>
      </w:pPr>
      <w:r>
        <w:rPr>
          <w:rFonts w:ascii="Arial" w:cs="Arial" w:eastAsia="Arial" w:hAnsi="Arial"/>
          <w:color w:val="333333"/>
          <w:sz w:val="21"/>
          <w:szCs w:val="21"/>
        </w:rPr>
        <w:t xml:space="preserve">Google Tag Manager and reCAPTCHA v3 are loaded before a user has interacted with the form, tracking citizens on a site they visit specifically to report sensitive information to the federal government.</w:t>
      </w:r>
    </w:p>
    <w:p>
      <w:pPr>
        <w:spacing w:after="160" w:before="120"/>
      </w:pPr>
      <w:r>
        <w:rPr>
          <w:rFonts w:ascii="Arial" w:cs="Arial" w:eastAsia="Arial" w:hAnsi="Arial"/>
          <w:color w:val="333333"/>
          <w:sz w:val="22"/>
          <w:szCs w:val="22"/>
        </w:rPr>
        <w:t xml:space="preserve">None of these barriers are operationally necessary. A functionally equivalent, progressively enhanced, server-rendered form would eliminate every architectural failure listed above.</w:t>
      </w:r>
    </w:p>
    <w:p>
      <w:pPr>
        <w:pBdr>
          <w:bottom w:val="single" w:color="C8A84B" w:sz="6" w:space="4"/>
        </w:pBdr>
        <w:spacing w:after="80" w:before="320"/>
      </w:pPr>
      <w:r>
        <w:rPr>
          <w:rFonts w:ascii="Arial" w:cs="Arial" w:eastAsia="Arial" w:hAnsi="Arial"/>
          <w:b/>
          <w:bCs/>
          <w:color w:val="0D1B2E"/>
          <w:sz w:val="30"/>
          <w:szCs w:val="30"/>
        </w:rPr>
        <w:t xml:space="preserve">II.  Specific WCAG 2.1 AA Violations — Nine Documented Failures</w:t>
      </w:r>
    </w:p>
    <w:p>
      <w:pPr>
        <w:spacing w:after="160" w:before="0"/>
      </w:pPr>
      <w:r>
        <w:rPr>
          <w:rFonts w:ascii="Arial" w:cs="Arial" w:eastAsia="Arial" w:hAnsi="Arial"/>
          <w:color w:val="333333"/>
          <w:sz w:val="22"/>
          <w:szCs w:val="22"/>
        </w:rPr>
        <w:t xml:space="preserve">The following failures were identified through structural code analysis, review of the FBI’s own accessibility statement, and application of WCAG 2.1 AA criteria. The FBI’s current accessibility statement commits only to </w:t>
      </w:r>
      <w:r>
        <w:rPr>
          <w:rFonts w:ascii="Arial" w:cs="Arial" w:eastAsia="Arial" w:hAnsi="Arial"/>
          <w:b/>
          <w:bCs/>
          <w:color w:val="0D1B2E"/>
          <w:sz w:val="22"/>
          <w:szCs w:val="22"/>
        </w:rPr>
        <w:t xml:space="preserve">WCAG 2.0 AA</w:t>
      </w:r>
      <w:r>
        <w:rPr>
          <w:rFonts w:ascii="Arial" w:cs="Arial" w:eastAsia="Arial" w:hAnsi="Arial"/>
          <w:color w:val="333333"/>
          <w:sz w:val="22"/>
          <w:szCs w:val="22"/>
        </w:rPr>
        <w:t xml:space="preserve"> — the prior version. Section 508’s 2018 refresh (36 C.F.R. Part 1194) formally incorporates WCAG 2.0. WCAG 2.1, published June 2018, introduced additional success criteria that the DOJ has since adopted as the technical standard for state and local governments under its April 2024 Title II rule — and that the federal Section 508 program community increasingly references in guidance and procurement. tips.fbi.gov meets neither the version it claims nor the version now standard for government digital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pPr>
            <w:r>
              <w:rPr>
                <w:rFonts w:ascii="Arial" w:cs="Arial" w:eastAsia="Arial" w:hAnsi="Arial"/>
                <w:b/>
                <w:bCs/>
                <w:color w:val="FFFFFF"/>
                <w:sz w:val="20"/>
                <w:szCs w:val="20"/>
              </w:rPr>
              <w:t xml:space="preserve">Failure</w:t>
            </w:r>
          </w:p>
        </w:tc>
        <w:tc>
          <w:tcPr>
            <w:tcW w:type="dxa" w:w="1800"/>
            <w:tcBorders>
              <w:top w:val="single" w:color="CCCCCC" w:sz="1"/>
              <w:left w:val="single" w:color="CCCCCC" w:sz="1"/>
              <w:bottom w:val="single" w:color="CCCCCC" w:sz="1"/>
              <w:right w:val="single" w:color="CCCCCC" w:sz="1"/>
            </w:tcBorders>
            <w:shd w:fill="0D1B2E"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WCAG Criterion</w:t>
            </w:r>
          </w:p>
        </w:tc>
        <w:tc>
          <w:tcPr>
            <w:tcW w:type="dxa" w:w="4360"/>
            <w:tcBorders>
              <w:top w:val="single" w:color="CCCCCC" w:sz="1"/>
              <w:left w:val="single" w:color="CCCCCC" w:sz="1"/>
              <w:bottom w:val="single" w:color="CCCCCC" w:sz="1"/>
              <w:right w:val="single" w:color="CCCCCC" w:sz="1"/>
            </w:tcBorders>
            <w:shd w:fill="0D1B2E" w:val="clear"/>
            <w:tcMar>
              <w:top w:type="dxa" w:w="80"/>
              <w:left w:type="dxa" w:w="100"/>
              <w:bottom w:type="dxa" w:w="80"/>
              <w:right w:type="dxa" w:w="120"/>
            </w:tcMar>
          </w:tcPr>
          <w:p>
            <w:pPr>
              <w:spacing w:after="0" w:before="0"/>
            </w:pPr>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Form inputs without accessible labels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1.3.1 · 4.1.2 (A/AA)</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Screen reader users cannot identify required fields. Form completion is impossible without a mouse.</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No keyboard navigation path through conditional form sections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2.1.1 · 2.4.3 (A)</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Tab order breaks when conditional sections appear. Keyboard-only users become trapped or skip required fields.</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Session timeout with no accessible warning or extension mechanism</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2.2.1 (A)</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Timeout dialog is not announced via ARIA live region. Users relying on assistive technology lose their submission without warning.</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Dynamic section reveal has no status message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4.1.3 (AA — WCAG 2.1 addition)</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When crime category changes the visible form, no announcement is made. Screen reader users cannot detect the new content.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Google Maps dependency for address entry</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1.3.3 (A)</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Address field non-functional if Maps API is unavailable. Citizens in low-bandwidth or restricted environments cannot enter location.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Insufficient color contrast on helper text and labels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1.4.3 (AA)</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Light-gray helper text fails minimum 4.5:1 ratio for normal-weight text at small sizes.</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reCAPTCHA v3 with no accessible alternative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3.3.1 (A)</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v3 is invisible; if verification fails, no error message is provided to the user. Silent failure with no accessible error identification violates WCAG 3.3.1.</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No visible alternate reporting paths on landing</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Section 508 § 1194.22</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IC3.gov, NCMEC, field offices, and the disaster fraud line are not surfaced. Citizens are not informed of faster or more appropriate channels available to them.</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19"/>
                <w:szCs w:val="19"/>
              </w:rPr>
              <w:t xml:space="preserve">JavaScript-only rendering — zero server-rendered content</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pPr>
            <w:r>
              <w:rPr>
                <w:rFonts w:ascii="Courier New" w:cs="Courier New" w:eastAsia="Courier New" w:hAnsi="Courier New"/>
                <w:color w:val="555555"/>
                <w:sz w:val="18"/>
                <w:szCs w:val="18"/>
              </w:rPr>
              <w:t xml:space="preserve">4.1.1 (A)</w:t>
            </w:r>
          </w:p>
        </w:tc>
        <w:tc>
          <w:tcPr>
            <w:tcW w:type="dxa" w:w="4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color w:val="444444"/>
                <w:sz w:val="19"/>
                <w:szCs w:val="19"/>
              </w:rPr>
              <w:t xml:space="preserve">Empty document delivered at parse time. Screen readers announce nothing. No-JS fallback is absent entirely.</w:t>
            </w:r>
          </w:p>
        </w:tc>
      </w:tr>
    </w:tbl>
    <w:p>
      <w:pPr>
        <w:pBdr>
          <w:bottom w:val="single" w:color="C8A84B" w:sz="6" w:space="4"/>
        </w:pBdr>
        <w:spacing w:after="80" w:before="320"/>
      </w:pPr>
      <w:r>
        <w:rPr>
          <w:rFonts w:ascii="Arial" w:cs="Arial" w:eastAsia="Arial" w:hAnsi="Arial"/>
          <w:b/>
          <w:bCs/>
          <w:color w:val="0D1B2E"/>
          <w:sz w:val="30"/>
          <w:szCs w:val="30"/>
        </w:rPr>
        <w:t xml:space="preserve">III.  Operational Context: Why the Form Architecture Is the Problem</w:t>
      </w:r>
    </w:p>
    <w:p>
      <w:pPr>
        <w:spacing w:after="160" w:before="0"/>
      </w:pPr>
      <w:r>
        <w:rPr>
          <w:rFonts w:ascii="Arial" w:cs="Arial" w:eastAsia="Arial" w:hAnsi="Arial"/>
          <w:color w:val="333333"/>
          <w:sz w:val="22"/>
          <w:szCs w:val="22"/>
        </w:rPr>
        <w:t xml:space="preserve">The FBI’s own documentation states that every tip submitted to tips.fbi.gov is reviewed by at least two analysts at the Public Access Center Unit at FBI Headquarters, who vet tips for credibility and route them to the appropriate field or counterterrorism division. </w:t>
      </w:r>
      <w:r>
        <w:rPr>
          <w:rFonts w:ascii="Arial" w:cs="Arial" w:eastAsia="Arial" w:hAnsi="Arial"/>
          <w:b/>
          <w:bCs/>
          <w:color w:val="0D1B2E"/>
          <w:sz w:val="22"/>
          <w:szCs w:val="22"/>
        </w:rPr>
        <w:t xml:space="preserve">This means citizen-side crime-type categorization is not operationally required.</w:t>
      </w:r>
      <w:r>
        <w:rPr>
          <w:rFonts w:ascii="Arial" w:cs="Arial" w:eastAsia="Arial" w:hAnsi="Arial"/>
          <w:color w:val="333333"/>
          <w:sz w:val="22"/>
          <w:szCs w:val="22"/>
        </w:rPr>
        <w:t xml:space="preserve"> The current multi-stage routing tree — which requires users to select a crime category before they can describe what they witnessed — imposes a categorization burden that the FBI already handles internally.</w:t>
      </w:r>
    </w:p>
    <w:p>
      <w:pPr>
        <w:spacing w:after="160" w:before="0"/>
      </w:pPr>
      <w:r>
        <w:rPr>
          <w:rFonts w:ascii="Arial" w:cs="Arial" w:eastAsia="Arial" w:hAnsi="Arial"/>
          <w:color w:val="333333"/>
          <w:sz w:val="22"/>
          <w:szCs w:val="22"/>
        </w:rPr>
        <w:t xml:space="preserve">A plain-language describe-and-submit form, with optional crime-type selection surfaced below a free-text field, would reduce abandonment, lower accessibility barriers, and produce equivalent or better routing outcomes. The redesign developed by StorySeed Studios as an accompaniment to this letter demonstrates one implementation of this approach.</w:t>
      </w:r>
    </w:p>
    <w:p>
      <w:pPr>
        <w:pBdr>
          <w:bottom w:val="single" w:color="C8A84B" w:sz="6" w:space="4"/>
        </w:pBdr>
        <w:spacing w:after="80" w:before="320"/>
      </w:pPr>
      <w:r>
        <w:rPr>
          <w:rFonts w:ascii="Arial" w:cs="Arial" w:eastAsia="Arial" w:hAnsi="Arial"/>
          <w:b/>
          <w:bCs/>
          <w:color w:val="0D1B2E"/>
          <w:sz w:val="30"/>
          <w:szCs w:val="30"/>
        </w:rPr>
        <w:t xml:space="preserve">IV.  Remediation Cost Estimates</w:t>
      </w:r>
    </w:p>
    <w:p>
      <w:pPr>
        <w:spacing w:after="80" w:before="0"/>
      </w:pPr>
      <w:r>
        <w:rPr>
          <w:rFonts w:ascii="Arial" w:cs="Arial" w:eastAsia="Arial" w:hAnsi="Arial"/>
          <w:b/>
          <w:bCs/>
          <w:color w:val="0D1B2E"/>
          <w:sz w:val="22"/>
          <w:szCs w:val="22"/>
        </w:rPr>
        <w:t xml:space="preserve">A. Per-Application Engineering Estimates — tips.fbi.gov Targeted Scope</w:t>
      </w:r>
    </w:p>
    <w:p>
      <w:pPr>
        <w:spacing w:after="160" w:before="0"/>
      </w:pPr>
      <w:r>
        <w:rPr>
          <w:rFonts w:ascii="Arial" w:cs="Arial" w:eastAsia="Arial" w:hAnsi="Arial"/>
          <w:color w:val="333333"/>
          <w:sz w:val="22"/>
          <w:szCs w:val="22"/>
        </w:rPr>
        <w:t xml:space="preserve">The following figures represent estimated developer labor hours for targeted remediation of tips.fbi.gov as a single application. These are engineering-scope estimates, not enterprise Section 508 program costs. Rates are based on market contractor rates for federal IT work at the GS-13 to GS-14 equivalent level, applied to task-level hour estimates derived from the documented failures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360"/>
      </w:tblGrid>
      <w:tr>
        <w:trPr>
          <w:tblHeader/>
        </w:trPr>
        <w:tc>
          <w:tcPr>
            <w:tcW w:type="dxa" w:w="38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jc w:val="left"/>
            </w:pPr>
            <w:r>
              <w:rPr>
                <w:rFonts w:ascii="Arial" w:cs="Arial" w:eastAsia="Arial" w:hAnsi="Arial"/>
                <w:b/>
                <w:bCs/>
                <w:color w:val="FFFFFF"/>
                <w:sz w:val="20"/>
                <w:szCs w:val="20"/>
              </w:rPr>
              <w:t xml:space="preserve">Remediation Item</w:t>
            </w:r>
          </w:p>
        </w:tc>
        <w:tc>
          <w:tcPr>
            <w:tcW w:type="dxa" w:w="16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jc w:val="right"/>
            </w:pPr>
            <w:r>
              <w:rPr>
                <w:rFonts w:ascii="Arial" w:cs="Arial" w:eastAsia="Arial" w:hAnsi="Arial"/>
                <w:b/>
                <w:bCs/>
                <w:color w:val="FFFFFF"/>
                <w:sz w:val="20"/>
                <w:szCs w:val="20"/>
              </w:rPr>
              <w:t xml:space="preserve">Low Estimate</w:t>
            </w:r>
          </w:p>
        </w:tc>
        <w:tc>
          <w:tcPr>
            <w:tcW w:type="dxa" w:w="16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jc w:val="right"/>
            </w:pPr>
            <w:r>
              <w:rPr>
                <w:rFonts w:ascii="Arial" w:cs="Arial" w:eastAsia="Arial" w:hAnsi="Arial"/>
                <w:b/>
                <w:bCs/>
                <w:color w:val="FFFFFF"/>
                <w:sz w:val="20"/>
                <w:szCs w:val="20"/>
              </w:rPr>
              <w:t xml:space="preserve">High Estimate</w:t>
            </w:r>
          </w:p>
        </w:tc>
        <w:tc>
          <w:tcPr>
            <w:tcW w:type="dxa" w:w="236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Form label &amp; ARIA remediation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$8,000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$14,000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All form fields, all conditional states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Keyboard navigation &amp; focus management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$10,000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$18,000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Conditional section refactor</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Session timeout — accessible modal &amp; live region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$3,000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$6,000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alertdialog + countdown announcement</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Dynamic section status messages</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$2,500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$4,500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role=status, aria-live regions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Remove Google Maps dependency</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$4,000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$8,000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Plain-text address field replacement</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Color contrast remediation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$2,000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$4,000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Labels, helper text, interactive elements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reCAPTCHA — accessible alternative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$3,500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$7,000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Challenge fallback or honeypot approach</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Alternate path routing — surface on landing</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$1,500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$3,000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Static content, no backend changes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Server-side rendering / progressive enhancement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$22,000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$50,000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Largest item; architectural investment</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Automated + manual screen reader testing</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$8,000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$16,000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JAWS, NVDA, VoiceOver; 3 rounds</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00"/>
            </w:tcMar>
          </w:tcPr>
          <w:p>
            <w:pPr>
              <w:spacing w:after="0" w:before="0"/>
            </w:pPr>
            <w:r>
              <w:rPr>
                <w:rFonts w:ascii="Arial" w:cs="Arial" w:eastAsia="Arial" w:hAnsi="Arial"/>
                <w:color w:val="333333"/>
                <w:sz w:val="20"/>
                <w:szCs w:val="20"/>
              </w:rPr>
              <w:t xml:space="preserve">Remediation QA and VPAT update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$4,000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Arial" w:cs="Arial" w:eastAsia="Arial" w:hAnsi="Arial"/>
                <w:color w:val="333333"/>
                <w:sz w:val="20"/>
                <w:szCs w:val="20"/>
              </w:rPr>
              <w:t xml:space="preserve">$8,000</w:t>
            </w:r>
          </w:p>
        </w:tc>
        <w:tc>
          <w:tcPr>
            <w:tcW w:type="dxa" w:w="2360"/>
            <w:tcBorders>
              <w:top w:val="single" w:color="CCCCCC" w:sz="1"/>
              <w:left w:val="single" w:color="CCCCCC" w:sz="1"/>
              <w:bottom w:val="single" w:color="CCCCCC" w:sz="1"/>
              <w:right w:val="single" w:color="CCCCCC" w:sz="1"/>
            </w:tcBorders>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Sign-off documentation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00"/>
            </w:tcMar>
          </w:tcPr>
          <w:p>
            <w:pPr>
              <w:spacing w:after="0" w:before="0"/>
            </w:pPr>
            <w:r>
              <w:rPr>
                <w:rFonts w:ascii="Arial" w:cs="Arial" w:eastAsia="Arial" w:hAnsi="Arial"/>
                <w:b/>
                <w:bCs/>
                <w:color w:val="0D1B2E"/>
                <w:sz w:val="20"/>
                <w:szCs w:val="20"/>
              </w:rPr>
              <w:t xml:space="preserve">TOTAL ESTIMATED RANGE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right"/>
            </w:pPr>
            <w:r>
              <w:rPr>
                <w:rFonts w:ascii="Arial" w:cs="Arial" w:eastAsia="Arial" w:hAnsi="Arial"/>
                <w:b/>
                <w:bCs/>
                <w:color w:val="0D1B2E"/>
                <w:sz w:val="20"/>
                <w:szCs w:val="20"/>
              </w:rPr>
              <w:t xml:space="preserve">$68,500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spacing w:after="0" w:before="0"/>
              <w:jc w:val="right"/>
            </w:pPr>
            <w:r>
              <w:rPr>
                <w:rFonts w:ascii="Arial" w:cs="Arial" w:eastAsia="Arial" w:hAnsi="Arial"/>
                <w:b/>
                <w:bCs/>
                <w:color w:val="0D1B2E"/>
                <w:sz w:val="20"/>
                <w:szCs w:val="20"/>
              </w:rPr>
              <w:t xml:space="preserve">$138,500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Full scope, incl. arch.</w:t>
            </w:r>
          </w:p>
        </w:tc>
      </w:tr>
      <w:tr>
        <w:tc>
          <w:tcPr>
            <w:tcW w:type="dxa" w:w="38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00"/>
            </w:tcMar>
          </w:tcPr>
          <w:p>
            <w:pPr>
              <w:spacing w:after="0" w:before="0"/>
            </w:pPr>
            <w:r>
              <w:rPr>
                <w:rFonts w:ascii="Arial" w:cs="Arial" w:eastAsia="Arial" w:hAnsi="Arial"/>
                <w:b/>
                <w:bCs/>
                <w:color w:val="7A5C00"/>
                <w:sz w:val="20"/>
                <w:szCs w:val="20"/>
              </w:rPr>
              <w:t xml:space="preserve">Patch-only (no arch. rebuild)</w:t>
            </w:r>
          </w:p>
        </w:tc>
        <w:tc>
          <w:tcPr>
            <w:tcW w:type="dxa" w:w="1600"/>
            <w:tcBorders>
              <w:top w:val="single" w:color="CCCCCC" w:sz="1"/>
              <w:left w:val="single" w:color="CCCCCC" w:sz="1"/>
              <w:bottom w:val="single" w:color="CCCCCC" w:sz="1"/>
              <w:right w:val="single" w:color="CCCCCC" w:sz="1"/>
            </w:tcBorders>
            <w:shd w:fill="FFFBF0" w:val="clear"/>
            <w:tcMar>
              <w:top w:type="dxa" w:w="80"/>
              <w:left w:type="dxa" w:w="100"/>
              <w:bottom w:type="dxa" w:w="80"/>
              <w:right w:type="dxa" w:w="100"/>
            </w:tcMar>
          </w:tcPr>
          <w:p>
            <w:pPr>
              <w:spacing w:after="0" w:before="0"/>
              <w:jc w:val="right"/>
            </w:pPr>
            <w:r>
              <w:rPr>
                <w:rFonts w:ascii="Arial" w:cs="Arial" w:eastAsia="Arial" w:hAnsi="Arial"/>
                <w:b/>
                <w:bCs/>
                <w:color w:val="7A5C00"/>
                <w:sz w:val="20"/>
                <w:szCs w:val="20"/>
              </w:rPr>
              <w:t xml:space="preserve">$34,500</w:t>
            </w:r>
          </w:p>
        </w:tc>
        <w:tc>
          <w:tcPr>
            <w:tcW w:type="dxa" w:w="1600"/>
            <w:tcBorders>
              <w:top w:val="single" w:color="CCCCCC" w:sz="1"/>
              <w:left w:val="single" w:color="CCCCCC" w:sz="1"/>
              <w:bottom w:val="single" w:color="CCCCCC" w:sz="1"/>
              <w:right w:val="single" w:color="CCCCCC" w:sz="1"/>
            </w:tcBorders>
            <w:shd w:fill="FFFBF0" w:val="clear"/>
            <w:tcMar>
              <w:top w:type="dxa" w:w="80"/>
              <w:left w:type="dxa" w:w="100"/>
              <w:bottom w:type="dxa" w:w="80"/>
              <w:right w:type="dxa" w:w="100"/>
            </w:tcMar>
          </w:tcPr>
          <w:p>
            <w:pPr>
              <w:spacing w:after="0" w:before="0"/>
              <w:jc w:val="right"/>
            </w:pPr>
            <w:r>
              <w:rPr>
                <w:rFonts w:ascii="Arial" w:cs="Arial" w:eastAsia="Arial" w:hAnsi="Arial"/>
                <w:b/>
                <w:bCs/>
                <w:color w:val="7A5C00"/>
                <w:sz w:val="20"/>
                <w:szCs w:val="20"/>
              </w:rPr>
              <w:t xml:space="preserve">$68,000</w:t>
            </w:r>
          </w:p>
        </w:tc>
        <w:tc>
          <w:tcPr>
            <w:tcW w:type="dxa" w:w="2360"/>
            <w:tcBorders>
              <w:top w:val="single" w:color="CCCCCC" w:sz="1"/>
              <w:left w:val="single" w:color="CCCCCC" w:sz="1"/>
              <w:bottom w:val="single" w:color="CCCCCC" w:sz="1"/>
              <w:right w:val="single" w:color="CCCCCC" w:sz="1"/>
            </w:tcBorders>
            <w:shd w:fill="FFFBF0" w:val="clear"/>
            <w:tcMar>
              <w:top w:type="dxa" w:w="80"/>
              <w:left w:type="dxa" w:w="100"/>
              <w:bottom w:type="dxa" w:w="80"/>
              <w:right w:type="dxa" w:w="120"/>
            </w:tcMar>
          </w:tcPr>
          <w:p>
            <w:pPr>
              <w:spacing w:after="0" w:before="0"/>
            </w:pPr>
            <w:r>
              <w:rPr>
                <w:rFonts w:ascii="Arial" w:cs="Arial" w:eastAsia="Arial" w:hAnsi="Arial"/>
                <w:i/>
                <w:iCs/>
                <w:color w:val="666666"/>
                <w:sz w:val="19"/>
                <w:szCs w:val="19"/>
              </w:rPr>
              <w:t xml:space="preserve">Excludes SSR rebuild</w:t>
            </w:r>
          </w:p>
        </w:tc>
      </w:tr>
    </w:tbl>
    <w:p>
      <w:pPr>
        <w:spacing w:after="240" w:before="200"/>
      </w:pPr>
      <w:r>
        <w:rPr>
          <w:rFonts w:ascii="Arial" w:cs="Arial" w:eastAsia="Arial" w:hAnsi="Arial"/>
          <w:color w:val="333333"/>
          <w:sz w:val="22"/>
          <w:szCs w:val="22"/>
        </w:rPr>
        <w:t xml:space="preserve">Research widely cited in federal Section 508 program guidance — including work originating from IBM’s Systems Sciences Institute and the National Institute of Standards and Technology’s 2002 software testing cost analysis — has consistently found that defects discovered and remediated after deployment cost materially more to correct than equivalent work addressed during development. The current version of tips.fbi.gov is identified as version 1.36.1, indicating substantial prior investment in the Angular architecture. Remediation of the existing system is the appropriate path; the per-application estimates above reflect that scope.</w:t>
      </w:r>
    </w:p>
    <w:p>
      <w:pPr>
        <w:spacing w:after="80" w:before="0"/>
      </w:pPr>
      <w:r>
        <w:rPr>
          <w:rFonts w:ascii="Arial" w:cs="Arial" w:eastAsia="Arial" w:hAnsi="Arial"/>
          <w:b/>
          <w:bCs/>
          <w:color w:val="0D1B2E"/>
          <w:sz w:val="22"/>
          <w:szCs w:val="22"/>
        </w:rPr>
        <w:t xml:space="preserve">B. Federal Comparable Contract Awards</w:t>
      </w:r>
    </w:p>
    <w:p>
      <w:pPr>
        <w:spacing w:after="160" w:before="0"/>
      </w:pPr>
      <w:r>
        <w:rPr>
          <w:rFonts w:ascii="Arial" w:cs="Arial" w:eastAsia="Arial" w:hAnsi="Arial"/>
          <w:color w:val="333333"/>
          <w:sz w:val="22"/>
          <w:szCs w:val="22"/>
        </w:rPr>
        <w:t xml:space="preserve">The per-application estimates above reflect the engineering labor required to remediate a single federal web form. For context, the following publicly documented federal contract awards represent comparable Section 508 program support work across federal agencies. These awards cover broader program scope — multi-system compliance, ongoing testing infrastructure, VPAT documentation, and training — and are not directly equivalent to a single-site remediation. They are provided to establish that federal agencies regularly commit material resources to Section 508 compliance and that the remediation request described in this letter is well within the range of documented federal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tblHeader/>
        </w:trPr>
        <w:tc>
          <w:tcPr>
            <w:tcW w:type="dxa" w:w="16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jc w:val="left"/>
            </w:pPr>
            <w:r>
              <w:rPr>
                <w:rFonts w:ascii="Arial" w:cs="Arial" w:eastAsia="Arial" w:hAnsi="Arial"/>
                <w:b/>
                <w:bCs/>
                <w:color w:val="FFFFFF"/>
                <w:sz w:val="20"/>
                <w:szCs w:val="20"/>
              </w:rPr>
              <w:t xml:space="preserve">Award ID</w:t>
            </w:r>
          </w:p>
        </w:tc>
        <w:tc>
          <w:tcPr>
            <w:tcW w:type="dxa" w:w="24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jc w:val="left"/>
            </w:pPr>
            <w:r>
              <w:rPr>
                <w:rFonts w:ascii="Arial" w:cs="Arial" w:eastAsia="Arial" w:hAnsi="Arial"/>
                <w:b/>
                <w:bCs/>
                <w:color w:val="FFFFFF"/>
                <w:sz w:val="20"/>
                <w:szCs w:val="20"/>
              </w:rPr>
              <w:t xml:space="preserve">Agency / Description</w:t>
            </w:r>
          </w:p>
        </w:tc>
        <w:tc>
          <w:tcPr>
            <w:tcW w:type="dxa" w:w="256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jc w:val="right"/>
            </w:pPr>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0D1B2E" w:val="clear"/>
            <w:tcMar>
              <w:top w:type="dxa" w:w="80"/>
              <w:left w:type="dxa" w:w="140"/>
              <w:bottom w:type="dxa" w:w="80"/>
              <w:right w:type="dxa" w:w="100"/>
            </w:tcMar>
          </w:tcPr>
          <w:p>
            <w:pPr>
              <w:spacing w:after="0" w:before="0"/>
              <w:jc w:val="left"/>
            </w:pPr>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Courier New" w:cs="Courier New" w:eastAsia="Courier New" w:hAnsi="Courier New"/>
                <w:color w:val="333333"/>
                <w:sz w:val="17"/>
                <w:szCs w:val="17"/>
              </w:rPr>
              <w:t xml:space="preserve">15JPSS23F00000375</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color w:val="333333"/>
                <w:sz w:val="18"/>
                <w:szCs w:val="18"/>
              </w:rPr>
              <w:t xml:space="preserve">DOJ — Web Services Section 508 Program Support</w:t>
            </w:r>
          </w:p>
        </w:tc>
        <w:tc>
          <w:tcPr>
            <w:tcW w:type="dxa" w:w="256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right"/>
            </w:pPr>
            <w:r>
              <w:rPr>
                <w:rFonts w:ascii="Arial" w:cs="Arial" w:eastAsia="Arial" w:hAnsi="Arial"/>
                <w:b/>
                <w:bCs/>
                <w:color w:val="0D1B2E"/>
                <w:sz w:val="18"/>
                <w:szCs w:val="18"/>
              </w:rPr>
              <w:t xml:space="preserve">$4,499,990</w:t>
            </w:r>
          </w:p>
        </w:tc>
        <w:tc>
          <w:tcPr>
            <w:tcW w:type="dxa" w:w="2800"/>
            <w:tcBorders>
              <w:top w:val="single" w:color="CCCCCC" w:sz="1"/>
              <w:left w:val="single" w:color="CCCCCC" w:sz="1"/>
              <w:bottom w:val="single" w:color="CCCCCC" w:sz="1"/>
              <w:right w:val="single" w:color="CCCCCC" w:sz="1"/>
            </w:tcBorders>
            <w:tcMar>
              <w:top w:type="dxa" w:w="80"/>
              <w:left w:type="dxa" w:w="80"/>
              <w:bottom w:type="dxa" w:w="80"/>
              <w:right w:type="dxa" w:w="120"/>
            </w:tcMar>
          </w:tcPr>
          <w:p>
            <w:pPr>
              <w:spacing w:after="0" w:before="0"/>
            </w:pPr>
            <w:r>
              <w:rPr>
                <w:rFonts w:ascii="Arial" w:cs="Arial" w:eastAsia="Arial" w:hAnsi="Arial"/>
                <w:i/>
                <w:iCs/>
                <w:color w:val="666666"/>
                <w:sz w:val="17"/>
                <w:szCs w:val="17"/>
              </w:rPr>
              <w:t xml:space="preserve">OrangeSlices.ai</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Courier New" w:cs="Courier New" w:eastAsia="Courier New" w:hAnsi="Courier New"/>
                <w:color w:val="333333"/>
                <w:sz w:val="17"/>
                <w:szCs w:val="17"/>
              </w:rPr>
              <w:t xml:space="preserve">36C10B22N10140045</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color w:val="333333"/>
                <w:sz w:val="18"/>
                <w:szCs w:val="18"/>
              </w:rPr>
              <w:t xml:space="preserve">VA — Section 508 Enablement (task order)</w:t>
            </w:r>
          </w:p>
        </w:tc>
        <w:tc>
          <w:tcPr>
            <w:tcW w:type="dxa" w:w="256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right"/>
            </w:pPr>
            <w:r>
              <w:rPr>
                <w:rFonts w:ascii="Arial" w:cs="Arial" w:eastAsia="Arial" w:hAnsi="Arial"/>
                <w:b/>
                <w:bCs/>
                <w:color w:val="0D1B2E"/>
                <w:sz w:val="18"/>
                <w:szCs w:val="18"/>
              </w:rPr>
              <w:t xml:space="preserve">$5,453,925</w:t>
            </w:r>
          </w:p>
        </w:tc>
        <w:tc>
          <w:tcPr>
            <w:tcW w:type="dxa" w:w="2800"/>
            <w:tcBorders>
              <w:top w:val="single" w:color="CCCCCC" w:sz="1"/>
              <w:left w:val="single" w:color="CCCCCC" w:sz="1"/>
              <w:bottom w:val="single" w:color="CCCCCC" w:sz="1"/>
              <w:right w:val="single" w:color="CCCCCC" w:sz="1"/>
            </w:tcBorders>
            <w:tcMar>
              <w:top w:type="dxa" w:w="80"/>
              <w:left w:type="dxa" w:w="80"/>
              <w:bottom w:type="dxa" w:w="80"/>
              <w:right w:type="dxa" w:w="120"/>
            </w:tcMar>
          </w:tcPr>
          <w:p>
            <w:pPr>
              <w:spacing w:after="0" w:before="0"/>
            </w:pPr>
            <w:r>
              <w:rPr>
                <w:rFonts w:ascii="Arial" w:cs="Arial" w:eastAsia="Arial" w:hAnsi="Arial"/>
                <w:i/>
                <w:iCs/>
                <w:color w:val="666666"/>
                <w:sz w:val="17"/>
                <w:szCs w:val="17"/>
              </w:rPr>
              <w:t xml:space="preserve">USAspending.gov</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Courier New" w:cs="Courier New" w:eastAsia="Courier New" w:hAnsi="Courier New"/>
                <w:color w:val="333333"/>
                <w:sz w:val="17"/>
                <w:szCs w:val="17"/>
              </w:rPr>
              <w:t xml:space="preserve">70RTAC20FR0000084</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color w:val="333333"/>
                <w:sz w:val="18"/>
                <w:szCs w:val="18"/>
              </w:rPr>
              <w:t xml:space="preserve">DHS — Section 508 Program Support Services</w:t>
            </w:r>
          </w:p>
        </w:tc>
        <w:tc>
          <w:tcPr>
            <w:tcW w:type="dxa" w:w="256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right"/>
            </w:pPr>
            <w:r>
              <w:rPr>
                <w:rFonts w:ascii="Arial" w:cs="Arial" w:eastAsia="Arial" w:hAnsi="Arial"/>
                <w:b/>
                <w:bCs/>
                <w:color w:val="0D1B2E"/>
                <w:sz w:val="18"/>
                <w:szCs w:val="18"/>
              </w:rPr>
              <w:t xml:space="preserve">$8,598,048 obligated</w:t>
            </w:r>
          </w:p>
        </w:tc>
        <w:tc>
          <w:tcPr>
            <w:tcW w:type="dxa" w:w="2800"/>
            <w:tcBorders>
              <w:top w:val="single" w:color="CCCCCC" w:sz="1"/>
              <w:left w:val="single" w:color="CCCCCC" w:sz="1"/>
              <w:bottom w:val="single" w:color="CCCCCC" w:sz="1"/>
              <w:right w:val="single" w:color="CCCCCC" w:sz="1"/>
            </w:tcBorders>
            <w:tcMar>
              <w:top w:type="dxa" w:w="80"/>
              <w:left w:type="dxa" w:w="80"/>
              <w:bottom w:type="dxa" w:w="80"/>
              <w:right w:type="dxa" w:w="120"/>
            </w:tcMar>
          </w:tcPr>
          <w:p>
            <w:pPr>
              <w:spacing w:after="0" w:before="0"/>
            </w:pPr>
            <w:r>
              <w:rPr>
                <w:rFonts w:ascii="Arial" w:cs="Arial" w:eastAsia="Arial" w:hAnsi="Arial"/>
                <w:i/>
                <w:iCs/>
                <w:color w:val="666666"/>
                <w:sz w:val="17"/>
                <w:szCs w:val="17"/>
              </w:rPr>
              <w:t xml:space="preserve">USAspending.gov</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Courier New" w:cs="Courier New" w:eastAsia="Courier New" w:hAnsi="Courier New"/>
                <w:color w:val="333333"/>
                <w:sz w:val="17"/>
                <w:szCs w:val="17"/>
              </w:rPr>
              <w:t xml:space="preserve">36C10B22C0028</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color w:val="333333"/>
                <w:sz w:val="18"/>
                <w:szCs w:val="18"/>
              </w:rPr>
              <w:t xml:space="preserve">VA — Section 508 Accessibility Compliance Software</w:t>
            </w:r>
          </w:p>
        </w:tc>
        <w:tc>
          <w:tcPr>
            <w:tcW w:type="dxa" w:w="256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right"/>
            </w:pPr>
            <w:r>
              <w:rPr>
                <w:rFonts w:ascii="Arial" w:cs="Arial" w:eastAsia="Arial" w:hAnsi="Arial"/>
                <w:b/>
                <w:bCs/>
                <w:color w:val="0D1B2E"/>
                <w:sz w:val="18"/>
                <w:szCs w:val="18"/>
              </w:rPr>
              <w:t xml:space="preserve">$13,800,000 ceiling</w:t>
            </w:r>
          </w:p>
        </w:tc>
        <w:tc>
          <w:tcPr>
            <w:tcW w:type="dxa" w:w="2800"/>
            <w:tcBorders>
              <w:top w:val="single" w:color="CCCCCC" w:sz="1"/>
              <w:left w:val="single" w:color="CCCCCC" w:sz="1"/>
              <w:bottom w:val="single" w:color="CCCCCC" w:sz="1"/>
              <w:right w:val="single" w:color="CCCCCC" w:sz="1"/>
            </w:tcBorders>
            <w:tcMar>
              <w:top w:type="dxa" w:w="80"/>
              <w:left w:type="dxa" w:w="80"/>
              <w:bottom w:type="dxa" w:w="80"/>
              <w:right w:type="dxa" w:w="120"/>
            </w:tcMar>
          </w:tcPr>
          <w:p>
            <w:pPr>
              <w:spacing w:after="0" w:before="0"/>
            </w:pPr>
            <w:r>
              <w:rPr>
                <w:rFonts w:ascii="Arial" w:cs="Arial" w:eastAsia="Arial" w:hAnsi="Arial"/>
                <w:i/>
                <w:iCs/>
                <w:color w:val="666666"/>
                <w:sz w:val="17"/>
                <w:szCs w:val="17"/>
              </w:rPr>
              <w:t xml:space="preserve">FederalCompass.com</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80"/>
            </w:tcMar>
          </w:tcPr>
          <w:p>
            <w:pPr>
              <w:spacing w:after="0" w:before="0"/>
            </w:pPr>
            <w:r>
              <w:rPr>
                <w:rFonts w:ascii="Courier New" w:cs="Courier New" w:eastAsia="Courier New" w:hAnsi="Courier New"/>
                <w:color w:val="333333"/>
                <w:sz w:val="17"/>
                <w:szCs w:val="17"/>
              </w:rPr>
              <w:t xml:space="preserve">DOJ OIG award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pPr>
              <w:spacing w:after="0" w:before="0"/>
            </w:pPr>
            <w:r>
              <w:rPr>
                <w:rFonts w:ascii="Arial" w:cs="Arial" w:eastAsia="Arial" w:hAnsi="Arial"/>
                <w:color w:val="333333"/>
                <w:sz w:val="18"/>
                <w:szCs w:val="18"/>
              </w:rPr>
              <w:t xml:space="preserve">DOJ OIG — Web Content Support and 508 Compliance</w:t>
            </w:r>
          </w:p>
        </w:tc>
        <w:tc>
          <w:tcPr>
            <w:tcW w:type="dxa" w:w="256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before="0"/>
              <w:jc w:val="right"/>
            </w:pPr>
            <w:r>
              <w:rPr>
                <w:rFonts w:ascii="Arial" w:cs="Arial" w:eastAsia="Arial" w:hAnsi="Arial"/>
                <w:b/>
                <w:bCs/>
                <w:color w:val="0D1B2E"/>
                <w:sz w:val="18"/>
                <w:szCs w:val="18"/>
              </w:rPr>
              <w:t xml:space="preserve">$685,180</w:t>
            </w:r>
          </w:p>
        </w:tc>
        <w:tc>
          <w:tcPr>
            <w:tcW w:type="dxa" w:w="2800"/>
            <w:tcBorders>
              <w:top w:val="single" w:color="CCCCCC" w:sz="1"/>
              <w:left w:val="single" w:color="CCCCCC" w:sz="1"/>
              <w:bottom w:val="single" w:color="CCCCCC" w:sz="1"/>
              <w:right w:val="single" w:color="CCCCCC" w:sz="1"/>
            </w:tcBorders>
            <w:tcMar>
              <w:top w:type="dxa" w:w="80"/>
              <w:left w:type="dxa" w:w="80"/>
              <w:bottom w:type="dxa" w:w="80"/>
              <w:right w:type="dxa" w:w="120"/>
            </w:tcMar>
          </w:tcPr>
          <w:p>
            <w:pPr>
              <w:spacing w:after="0" w:before="0"/>
            </w:pPr>
            <w:r>
              <w:rPr>
                <w:rFonts w:ascii="Arial" w:cs="Arial" w:eastAsia="Arial" w:hAnsi="Arial"/>
                <w:i/>
                <w:iCs/>
                <w:color w:val="666666"/>
                <w:sz w:val="17"/>
                <w:szCs w:val="17"/>
              </w:rPr>
              <w:t xml:space="preserve">OrangeSlices.ai</w:t>
            </w:r>
          </w:p>
        </w:tc>
      </w:tr>
    </w:tbl>
    <w:p>
      <w:pPr>
        <w:spacing w:after="160" w:before="200"/>
      </w:pPr>
      <w:r>
        <w:rPr>
          <w:rFonts w:ascii="Arial" w:cs="Arial" w:eastAsia="Arial" w:hAnsi="Arial"/>
          <w:color w:val="333333"/>
          <w:sz w:val="22"/>
          <w:szCs w:val="22"/>
        </w:rPr>
        <w:t xml:space="preserve">On the basis of these comparable awards, a credible planning figure for a substantial Section 508 remediation effort on an existing federal web system is approximately </w:t>
      </w:r>
      <w:r>
        <w:rPr>
          <w:rFonts w:ascii="Arial" w:cs="Arial" w:eastAsia="Arial" w:hAnsi="Arial"/>
          <w:b/>
          <w:bCs/>
          <w:color w:val="0D1B2E"/>
          <w:sz w:val="22"/>
          <w:szCs w:val="22"/>
        </w:rPr>
        <w:t xml:space="preserve">$4.5 million to $5.5 million</w:t>
      </w:r>
      <w:r>
        <w:rPr>
          <w:rFonts w:ascii="Arial" w:cs="Arial" w:eastAsia="Arial" w:hAnsi="Arial"/>
          <w:color w:val="333333"/>
          <w:sz w:val="22"/>
          <w:szCs w:val="22"/>
        </w:rPr>
        <w:t xml:space="preserve">, consistent with the DOJ’s own award (15JPSS23F00000375) and the VA enablement task order. Broader enterprise-scope programs with tooling, platform compliance, and ongoing support reach $8.6 million to $13.8 million. The per-application engineering estimate in Section IV.A represents the minimum technical scope; program-level investment would be commensurate with the comparable awards above.</w:t>
      </w:r>
    </w:p>
    <w:p>
      <w:pPr>
        <w:pBdr>
          <w:bottom w:val="single" w:color="C8A84B" w:sz="6" w:space="4"/>
        </w:pBdr>
        <w:spacing w:after="80" w:before="320"/>
      </w:pPr>
      <w:r>
        <w:rPr>
          <w:rFonts w:ascii="Arial" w:cs="Arial" w:eastAsia="Arial" w:hAnsi="Arial"/>
          <w:b/>
          <w:bCs/>
          <w:color w:val="0D1B2E"/>
          <w:sz w:val="30"/>
          <w:szCs w:val="30"/>
        </w:rPr>
        <w:t xml:space="preserve">V.  Applicable Law and Enforcement Authority</w:t>
      </w:r>
    </w:p>
    <w:p>
      <w:pPr>
        <w:spacing w:after="60" w:before="0"/>
      </w:pPr>
      <w:r>
        <w:rPr>
          <w:rFonts w:ascii="Arial" w:cs="Arial" w:eastAsia="Arial" w:hAnsi="Arial"/>
          <w:b/>
          <w:bCs/>
          <w:color w:val="0D1B2E"/>
          <w:sz w:val="22"/>
          <w:szCs w:val="22"/>
        </w:rPr>
        <w:t xml:space="preserve">Section 508 of the Rehabilitation Act (29 U.S.C. § 794d)</w:t>
      </w:r>
    </w:p>
    <w:p>
      <w:pPr>
        <w:spacing w:after="160" w:before="0"/>
      </w:pPr>
      <w:r>
        <w:rPr>
          <w:rFonts w:ascii="Arial" w:cs="Arial" w:eastAsia="Arial" w:hAnsi="Arial"/>
          <w:color w:val="333333"/>
          <w:sz w:val="22"/>
          <w:szCs w:val="22"/>
        </w:rPr>
        <w:t xml:space="preserve">Requires every federal agency, when developing, procuring, maintaining, or using electronic and information technology, to ensure that individuals with disabilities have access to and use of that technology comparable to that available to individuals without disabilities. </w:t>
      </w:r>
      <w:r>
        <w:rPr>
          <w:rFonts w:ascii="Arial" w:cs="Arial" w:eastAsia="Arial" w:hAnsi="Arial"/>
          <w:b/>
          <w:bCs/>
          <w:color w:val="0D1B2E"/>
          <w:sz w:val="22"/>
          <w:szCs w:val="22"/>
        </w:rPr>
        <w:t xml:space="preserve">No deadline applies — this obligation is continuous and current.</w:t>
      </w:r>
      <w:r>
        <w:rPr>
          <w:rFonts w:ascii="Arial" w:cs="Arial" w:eastAsia="Arial" w:hAnsi="Arial"/>
          <w:color w:val="333333"/>
          <w:sz w:val="22"/>
          <w:szCs w:val="22"/>
        </w:rPr>
        <w:t xml:space="preserve"> The FBI is a component of the Department of Justice. Under 29 U.S.C. § 794d(b), the Attorney General is required to submit biennial reports to the President and Congress on governmentwide Section 508 compliance, and the DOJ’s Civil Rights Division processes Section 508-related complaints under the Rehabilitation Act. </w:t>
      </w:r>
      <w:r>
        <w:rPr>
          <w:rFonts w:ascii="Arial" w:cs="Arial" w:eastAsia="Arial" w:hAnsi="Arial"/>
          <w:b/>
          <w:bCs/>
          <w:color w:val="0D1B2E"/>
          <w:sz w:val="22"/>
          <w:szCs w:val="22"/>
        </w:rPr>
        <w:t xml:space="preserve">A DOJ component’s website failing Section 508 while the Attorney General reports on federal compliance creates an institutional consistency problem the Department has a direct interest in correcting.</w:t>
      </w:r>
    </w:p>
    <w:p>
      <w:pPr>
        <w:spacing w:after="60" w:before="0"/>
      </w:pPr>
      <w:r>
        <w:rPr>
          <w:rFonts w:ascii="Arial" w:cs="Arial" w:eastAsia="Arial" w:hAnsi="Arial"/>
          <w:b/>
          <w:bCs/>
          <w:color w:val="0D1B2E"/>
          <w:sz w:val="22"/>
          <w:szCs w:val="22"/>
        </w:rPr>
        <w:t xml:space="preserve">21st Century Integrated Digital Experience Act (21st Century IDEA, P.L. 115-336)</w:t>
      </w:r>
    </w:p>
    <w:p>
      <w:pPr>
        <w:spacing w:after="160" w:before="0"/>
      </w:pPr>
      <w:r>
        <w:rPr>
          <w:rFonts w:ascii="Arial" w:cs="Arial" w:eastAsia="Arial" w:hAnsi="Arial"/>
          <w:color w:val="333333"/>
          <w:sz w:val="22"/>
          <w:szCs w:val="22"/>
        </w:rPr>
        <w:t xml:space="preserve">Requires executive branch agencies to modernize their public-facing websites to meet accessibility standards, use modern technology, and improve the citizen digital experience. tips.fbi.gov’s fully client-side, JavaScript-dependent architecture conflicts with the modernization and accessibility requirements of this Act.</w:t>
      </w:r>
    </w:p>
    <w:p>
      <w:pPr>
        <w:spacing w:after="60" w:before="0"/>
      </w:pPr>
      <w:r>
        <w:rPr>
          <w:rFonts w:ascii="Arial" w:cs="Arial" w:eastAsia="Arial" w:hAnsi="Arial"/>
          <w:b/>
          <w:bCs/>
          <w:color w:val="0D1B2E"/>
          <w:sz w:val="22"/>
          <w:szCs w:val="22"/>
        </w:rPr>
        <w:t xml:space="preserve">ADA Title II — April 24, 2026 Deadline (State and Local Context)</w:t>
      </w:r>
    </w:p>
    <w:p>
      <w:pPr>
        <w:spacing w:after="160" w:before="0"/>
      </w:pPr>
      <w:r>
        <w:rPr>
          <w:rFonts w:ascii="Arial" w:cs="Arial" w:eastAsia="Arial" w:hAnsi="Arial"/>
          <w:color w:val="333333"/>
          <w:sz w:val="22"/>
          <w:szCs w:val="22"/>
        </w:rPr>
        <w:t xml:space="preserve">While the April 2026 WCAG 2.1 AA compliance deadline under the DOJ’s finalized Title II rule applies to state and local governments rather than federal agencies, it establishes the </w:t>
      </w:r>
      <w:r>
        <w:rPr>
          <w:rFonts w:ascii="Arial" w:cs="Arial" w:eastAsia="Arial" w:hAnsi="Arial"/>
          <w:i/>
          <w:iCs/>
          <w:color w:val="666666"/>
          <w:sz w:val="22"/>
          <w:szCs w:val="22"/>
        </w:rPr>
        <w:t xml:space="preserve">operative national standard</w:t>
      </w:r>
      <w:r>
        <w:rPr>
          <w:rFonts w:ascii="Arial" w:cs="Arial" w:eastAsia="Arial" w:hAnsi="Arial"/>
          <w:color w:val="333333"/>
          <w:sz w:val="22"/>
          <w:szCs w:val="22"/>
        </w:rPr>
        <w:t xml:space="preserve"> against which federal accessibility is now measured in litigation, procurement, and public accountability. State governments are legally required to meet a standard that a federal law enforcement agency’s primary public contact form does not currently meet.</w:t>
      </w:r>
    </w:p>
    <w:p>
      <w:pPr>
        <w:pBdr>
          <w:bottom w:val="single" w:color="C8A84B" w:sz="6" w:space="4"/>
        </w:pBdr>
        <w:spacing w:after="80" w:before="320"/>
      </w:pPr>
      <w:r>
        <w:rPr>
          <w:rFonts w:ascii="Arial" w:cs="Arial" w:eastAsia="Arial" w:hAnsi="Arial"/>
          <w:b/>
          <w:bCs/>
          <w:color w:val="0D1B2E"/>
          <w:sz w:val="30"/>
          <w:szCs w:val="30"/>
        </w:rPr>
        <w:t xml:space="preserve">VI.  What We Are Asking For</w:t>
      </w:r>
    </w:p>
    <w:p>
      <w:pPr>
        <w:spacing w:after="120" w:before="0"/>
      </w:pPr>
      <w:r>
        <w:rPr>
          <w:rFonts w:ascii="Arial" w:cs="Arial" w:eastAsia="Arial" w:hAnsi="Arial"/>
          <w:color w:val="333333"/>
          <w:sz w:val="22"/>
          <w:szCs w:val="22"/>
        </w:rPr>
        <w:t xml:space="preserve">We respectfully request the following:</w:t>
      </w:r>
    </w:p>
    <w:p>
      <w:pPr>
        <w:pStyle w:val="ListParagraph"/>
        <w:numPr>
          <w:ilvl w:val="0"/>
          <w:numId w:val="2"/>
        </w:numPr>
        <w:spacing w:after="80" w:before="0"/>
      </w:pPr>
      <w:r>
        <w:rPr>
          <w:rFonts w:ascii="Arial" w:cs="Arial" w:eastAsia="Arial" w:hAnsi="Arial"/>
          <w:color w:val="333333"/>
          <w:sz w:val="21"/>
          <w:szCs w:val="21"/>
        </w:rPr>
        <w:t xml:space="preserve">That the Disability Rights Section acknowledge receipt of this documented notice and forward it to the FBI’s Section 508 Coordinator for formal review.</w:t>
      </w:r>
    </w:p>
    <w:p>
      <w:pPr>
        <w:pStyle w:val="ListParagraph"/>
        <w:numPr>
          <w:ilvl w:val="0"/>
          <w:numId w:val="2"/>
        </w:numPr>
        <w:spacing w:after="80" w:before="0"/>
      </w:pPr>
      <w:r>
        <w:rPr>
          <w:rFonts w:ascii="Arial" w:cs="Arial" w:eastAsia="Arial" w:hAnsi="Arial"/>
          <w:color w:val="333333"/>
          <w:sz w:val="21"/>
          <w:szCs w:val="21"/>
        </w:rPr>
        <w:t xml:space="preserve">That the DOJ Section 508 Program Manager include tips.fbi.gov in its next scheduled governmentwide assessment cycle and note the architectural failures documented here.</w:t>
      </w:r>
    </w:p>
    <w:p>
      <w:pPr>
        <w:pStyle w:val="ListParagraph"/>
        <w:numPr>
          <w:ilvl w:val="0"/>
          <w:numId w:val="2"/>
        </w:numPr>
        <w:spacing w:after="80" w:before="0"/>
      </w:pPr>
      <w:r>
        <w:rPr>
          <w:rFonts w:ascii="Arial" w:cs="Arial" w:eastAsia="Arial" w:hAnsi="Arial"/>
          <w:color w:val="333333"/>
          <w:sz w:val="21"/>
          <w:szCs w:val="21"/>
        </w:rPr>
        <w:t xml:space="preserve">That the FBI be encouraged to develop a remediation roadmap for tips.fbi.gov within 90 days, addressing at minimum the four critical failures (form labels, keyboard navigation, session timeout, and dynamic section announcements) that currently prevent screen reader users from completing a tip submission.</w:t>
      </w:r>
    </w:p>
    <w:p>
      <w:pPr>
        <w:pStyle w:val="ListParagraph"/>
        <w:numPr>
          <w:ilvl w:val="0"/>
          <w:numId w:val="2"/>
        </w:numPr>
        <w:spacing w:after="80" w:before="0"/>
      </w:pPr>
      <w:r>
        <w:rPr>
          <w:rFonts w:ascii="Arial" w:cs="Arial" w:eastAsia="Arial" w:hAnsi="Arial"/>
          <w:color w:val="333333"/>
          <w:sz w:val="21"/>
          <w:szCs w:val="21"/>
        </w:rPr>
        <w:t xml:space="preserve">That the redesign prototype developed by StorySeed Studios — available at no cost for review at storyseedstudios.com — be considered as a reference architecture for the simplified, accessible, server-rendered approach described in this letter.</w:t>
      </w:r>
    </w:p>
    <w:p>
      <w:pPr>
        <w:spacing w:after="160" w:before="120"/>
      </w:pPr>
      <w:r>
        <w:rPr>
          <w:rFonts w:ascii="Arial" w:cs="Arial" w:eastAsia="Arial" w:hAnsi="Arial"/>
          <w:color w:val="333333"/>
          <w:sz w:val="22"/>
          <w:szCs w:val="22"/>
        </w:rPr>
        <w:t xml:space="preserve">We are not seeking a settlement, financial remedy, or legal proceeding. We are seeking a functional tip form that works for everyone. The FBI’s stated mission requires public trust and public participation. A form that excludes people with disabilities from reporting crimes undermines both.</w:t>
      </w:r>
    </w:p>
    <w:p>
      <w:pPr>
        <w:pBdr>
          <w:bottom w:val="single" w:color="C8A84B" w:sz="6" w:space="4"/>
        </w:pBdr>
        <w:spacing w:after="80" w:before="320"/>
      </w:pPr>
      <w:r>
        <w:rPr>
          <w:rFonts w:ascii="Arial" w:cs="Arial" w:eastAsia="Arial" w:hAnsi="Arial"/>
          <w:b/>
          <w:bCs/>
          <w:color w:val="0D1B2E"/>
          <w:sz w:val="30"/>
          <w:szCs w:val="30"/>
        </w:rPr>
        <w:t xml:space="preserve">VII.  Contact and Supporting Materials</w:t>
      </w:r>
    </w:p>
    <w:p>
      <w:pPr>
        <w:spacing w:after="100" w:before="0"/>
      </w:pPr>
      <w:r>
        <w:rPr>
          <w:rFonts w:ascii="Arial" w:cs="Arial" w:eastAsia="Arial" w:hAnsi="Arial"/>
          <w:color w:val="333333"/>
          <w:sz w:val="22"/>
          <w:szCs w:val="22"/>
        </w:rPr>
        <w:t xml:space="preserve">StorySeed Studios is available to provide:</w:t>
      </w:r>
    </w:p>
    <w:p>
      <w:pPr>
        <w:pStyle w:val="ListParagraph"/>
        <w:numPr>
          <w:ilvl w:val="0"/>
          <w:numId w:val="2"/>
        </w:numPr>
        <w:spacing w:after="80" w:before="0"/>
      </w:pPr>
      <w:r>
        <w:rPr>
          <w:rFonts w:ascii="Arial" w:cs="Arial" w:eastAsia="Arial" w:hAnsi="Arial"/>
          <w:color w:val="333333"/>
          <w:sz w:val="21"/>
          <w:szCs w:val="21"/>
        </w:rPr>
        <w:t xml:space="preserve">The complete annotated HTML source of the redesign prototype</w:t>
      </w:r>
    </w:p>
    <w:p>
      <w:pPr>
        <w:pStyle w:val="ListParagraph"/>
        <w:numPr>
          <w:ilvl w:val="0"/>
          <w:numId w:val="2"/>
        </w:numPr>
        <w:spacing w:after="80" w:before="0"/>
      </w:pPr>
      <w:r>
        <w:rPr>
          <w:rFonts w:ascii="Arial" w:cs="Arial" w:eastAsia="Arial" w:hAnsi="Arial"/>
          <w:color w:val="333333"/>
          <w:sz w:val="21"/>
          <w:szCs w:val="21"/>
        </w:rPr>
        <w:t xml:space="preserve">This letter’s findings in VPAT-compatible format</w:t>
      </w:r>
    </w:p>
    <w:p>
      <w:pPr>
        <w:pStyle w:val="ListParagraph"/>
        <w:numPr>
          <w:ilvl w:val="0"/>
          <w:numId w:val="2"/>
        </w:numPr>
        <w:spacing w:after="80" w:before="0"/>
      </w:pPr>
      <w:r>
        <w:rPr>
          <w:rFonts w:ascii="Arial" w:cs="Arial" w:eastAsia="Arial" w:hAnsi="Arial"/>
          <w:color w:val="333333"/>
          <w:sz w:val="21"/>
          <w:szCs w:val="21"/>
        </w:rPr>
        <w:t xml:space="preserve">Screen recording walkthroughs of each documented failure</w:t>
      </w:r>
    </w:p>
    <w:p>
      <w:pPr>
        <w:pStyle w:val="ListParagraph"/>
        <w:numPr>
          <w:ilvl w:val="0"/>
          <w:numId w:val="2"/>
        </w:numPr>
        <w:spacing w:after="80" w:before="0"/>
      </w:pPr>
      <w:r>
        <w:rPr>
          <w:rFonts w:ascii="Arial" w:cs="Arial" w:eastAsia="Arial" w:hAnsi="Arial"/>
          <w:color w:val="333333"/>
          <w:sz w:val="21"/>
          <w:szCs w:val="21"/>
        </w:rPr>
        <w:t xml:space="preserve">A technical briefing for FBI or DOJ web team staff, at no charge</w:t>
      </w:r>
    </w:p>
    <w:p>
      <w:pPr>
        <w:spacing w:after="280" w:before="160"/>
      </w:pPr>
      <w:r>
        <w:rPr>
          <w:rFonts w:ascii="Arial" w:cs="Arial" w:eastAsia="Arial" w:hAnsi="Arial"/>
          <w:color w:val="333333"/>
          <w:sz w:val="22"/>
          <w:szCs w:val="22"/>
        </w:rPr>
        <w:t xml:space="preserve">To respond or request materials, please contact StorySeed Studios at </w:t>
      </w:r>
      <w:r>
        <w:rPr>
          <w:rFonts w:ascii="Courier New" w:cs="Courier New" w:eastAsia="Courier New" w:hAnsi="Courier New"/>
          <w:color w:val="0D5C8F"/>
          <w:sz w:val="22"/>
          <w:szCs w:val="22"/>
        </w:rPr>
        <w:t xml:space="preserve">hello@storyseedstudios.com</w:t>
      </w:r>
      <w:r>
        <w:rPr>
          <w:rFonts w:ascii="Arial" w:cs="Arial" w:eastAsia="Arial" w:hAnsi="Arial"/>
          <w:color w:val="333333"/>
          <w:sz w:val="22"/>
          <w:szCs w:val="22"/>
        </w:rPr>
        <w:t xml:space="preserve">, or visit </w:t>
      </w:r>
      <w:r>
        <w:rPr>
          <w:rFonts w:ascii="Courier New" w:cs="Courier New" w:eastAsia="Courier New" w:hAnsi="Courier New"/>
          <w:color w:val="0D5C8F"/>
          <w:sz w:val="22"/>
          <w:szCs w:val="22"/>
        </w:rPr>
        <w:t xml:space="preserve">storyseedstudios.com/the-map-series</w:t>
      </w:r>
      <w:r>
        <w:rPr>
          <w:rFonts w:ascii="Arial" w:cs="Arial" w:eastAsia="Arial" w:hAnsi="Arial"/>
          <w:color w:val="333333"/>
          <w:sz w:val="22"/>
          <w:szCs w:val="22"/>
        </w:rPr>
        <w:t xml:space="preserve">.</w:t>
      </w:r>
    </w:p>
    <w:p>
      <w:pPr>
        <w:pBdr>
          <w:bottom w:val="single" w:color="C8A84B" w:sz="4" w:space="4"/>
        </w:pBdr>
        <w:spacing w:after="200" w:before="0"/>
      </w:pPr>
    </w:p>
    <w:p>
      <w:pPr>
        <w:spacing w:after="320" w:before="0"/>
      </w:pPr>
      <w:r>
        <w:rPr>
          <w:rFonts w:ascii="Arial" w:cs="Arial" w:eastAsia="Arial" w:hAnsi="Arial"/>
          <w:color w:val="333333"/>
          <w:sz w:val="22"/>
          <w:szCs w:val="22"/>
        </w:rPr>
        <w:t xml:space="preserve">Respectfully submitted,</w:t>
      </w:r>
    </w:p>
    <w:p>
      <w:pPr>
        <w:spacing w:after="120" w:before="0"/>
      </w:pPr>
      <w:r>
        <w:rPr>
          <w:rFonts w:ascii="Arial" w:cs="Arial" w:eastAsia="Arial" w:hAnsi="Arial"/>
          <w:b/>
          <w:bCs/>
          <w:color w:val="0D1B2E"/>
          <w:sz w:val="22"/>
          <w:szCs w:val="22"/>
        </w:rPr>
        <w:t xml:space="preserve">StorySeed Studios</w:t>
      </w:r>
    </w:p>
    <w:p>
      <w:pPr>
        <w:spacing w:after="120" w:before="0"/>
      </w:pPr>
      <w:r>
        <w:rPr>
          <w:rFonts w:ascii="Arial" w:cs="Arial" w:eastAsia="Arial" w:hAnsi="Arial"/>
          <w:i/>
          <w:iCs/>
          <w:color w:val="666666"/>
          <w:sz w:val="22"/>
          <w:szCs w:val="22"/>
        </w:rPr>
        <w:t xml:space="preserve">The Dais — Civic Journalism &amp; Accessibility Initiative</w:t>
      </w:r>
    </w:p>
    <w:p>
      <w:pPr>
        <w:spacing w:after="80" w:before="0"/>
      </w:pPr>
      <w:r>
        <w:rPr>
          <w:rFonts w:ascii="Arial" w:cs="Arial" w:eastAsia="Arial" w:hAnsi="Arial"/>
          <w:i/>
          <w:iCs/>
          <w:color w:val="666666"/>
          <w:sz w:val="22"/>
          <w:szCs w:val="22"/>
        </w:rPr>
        <w:t xml:space="preserve">El Paso County, Colorado</w:t>
      </w:r>
    </w:p>
    <w:p>
      <w:pPr>
        <w:spacing w:after="120" w:before="0"/>
      </w:pPr>
      <w:r>
        <w:rPr>
          <w:rFonts w:ascii="Arial" w:cs="Arial" w:eastAsia="Arial" w:hAnsi="Arial"/>
          <w:i/>
          <w:iCs/>
          <w:color w:val="666666"/>
          <w:sz w:val="22"/>
          <w:szCs w:val="22"/>
        </w:rPr>
        <w:t xml:space="preserve">April 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80"/>
    </w:pPr>
    <w:r>
      <w:rPr>
        <w:rFonts w:ascii="Arial" w:cs="Arial" w:eastAsia="Arial" w:hAnsi="Arial"/>
        <w:color w:val="666666"/>
        <w:sz w:val="16"/>
        <w:szCs w:val="16"/>
      </w:rPr>
      <w:t xml:space="preserve">tips.fbi.gov Accessibility — Section 508 / ADA Complaint and Remediation Proposal</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t xml:space="preserve"> — Confidential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4"/>
      </w:pBdr>
      <w:tabs>
        <w:tab w:val="right" w:pos="9026"/>
      </w:tabs>
      <w:spacing w:after="80" w:before="0"/>
    </w:pPr>
    <w:r>
      <w:rPr>
        <w:rFonts w:ascii="Arial" w:cs="Arial" w:eastAsia="Arial" w:hAnsi="Arial"/>
        <w:color w:val="666666"/>
        <w:sz w:val="16"/>
        <w:szCs w:val="16"/>
      </w:rPr>
      <w:t xml:space="preserve">StorySeed Studios  ·  The Dais  ·  Civic Accessibility Initiative</w:t>
    </w:r>
    <w:r>
      <w:rPr>
        <w:rFonts w:ascii="Arial" w:cs="Arial" w:eastAsia="Arial" w:hAnsi="Arial"/>
        <w:sz w:val="16"/>
        <w:szCs w:val="16"/>
      </w:rPr>
      <w:t xml:space="preserve">	</w:t>
    </w:r>
    <w:r>
      <w:rPr>
        <w:rFonts w:ascii="Arial" w:cs="Arial" w:eastAsia="Arial" w:hAnsi="Arial"/>
        <w:b/>
        <w:bCs/>
        <w:color w:val="C0392B"/>
        <w:sz w:val="16"/>
        <w:szCs w:val="16"/>
      </w:rPr>
      <w:t xml:space="preserve">CONFIDENTIAL — DOJ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2026-04-01T23:20:37.424Z</dcterms:created>
  <dcterms:modified xsi:type="dcterms:W3CDTF">2026-04-01T23:20:37.425Z</dcterms:modified>
</cp:coreProperties>
</file>

<file path=docProps/custom.xml><?xml version="1.0" encoding="utf-8"?>
<Properties xmlns="http://schemas.openxmlformats.org/officeDocument/2006/custom-properties" xmlns:vt="http://schemas.openxmlformats.org/officeDocument/2006/docPropsVTypes"/>
</file>