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C8A"/>
          <w:spacing w:val="80"/>
          <w:sz w:val="22"/>
          <w:szCs w:val="22"/>
        </w:rPr>
        <w:t xml:space="preserve">PUBLIC COMMENT</w:t>
      </w:r>
    </w:p>
    <w:p>
      <w:pPr>
        <w:spacing w:after="60"/>
      </w:pPr>
      <w:r>
        <w:rPr>
          <w:color w:val="6B6B6B"/>
          <w:sz w:val="24"/>
          <w:szCs w:val="24"/>
        </w:rPr>
        <w:t xml:space="preserve">On the City of Colorado Springs</w:t>
      </w:r>
    </w:p>
    <w:p>
      <w:pPr>
        <w:spacing w:after="60"/>
      </w:pPr>
      <w:r>
        <w:rPr>
          <w:b/>
          <w:bCs/>
          <w:color w:val="1F3A5F"/>
          <w:sz w:val="40"/>
          <w:szCs w:val="40"/>
        </w:rPr>
        <w:t xml:space="preserve">Digital Accessibility Transition Plan</w:t>
      </w:r>
    </w:p>
    <w:p>
      <w:pPr>
        <w:spacing w:after="240"/>
      </w:pPr>
      <w:r>
        <w:rPr>
          <w:i/>
          <w:iCs/>
          <w:color w:val="6B6B6B"/>
          <w:sz w:val="24"/>
          <w:szCs w:val="24"/>
        </w:rPr>
        <w:t xml:space="preserve">Current Practices and Future Commitments — Draft, 2026</w:t>
      </w:r>
    </w:p>
    <w:p>
      <w:pPr>
        <w:pBdr>
          <w:bottom w:val="single" w:color="C8A84B" w:sz="6" w:space="4"/>
        </w:pBdr>
        <w:spacing w:after="200"/>
      </w:pPr>
      <w:r>
        <w:t xml:space="preserve"/>
      </w:r>
    </w:p>
    <w:p>
      <w:pPr>
        <w:spacing w:after="60"/>
      </w:pPr>
      <w:r>
        <w:rPr>
          <w:b/>
          <w:bCs/>
          <w:color w:val="6B6B6B"/>
          <w:spacing w:val="40"/>
          <w:sz w:val="18"/>
          <w:szCs w:val="18"/>
        </w:rPr>
        <w:t xml:space="preserve">Submitted to     </w:t>
      </w:r>
      <w:r>
        <w:rPr>
          <w:sz w:val="22"/>
          <w:szCs w:val="22"/>
        </w:rPr>
        <w:t xml:space="preserve">Office of Accessibility, City of Colorado Springs</w:t>
      </w:r>
    </w:p>
    <w:p>
      <w:pPr>
        <w:spacing w:after="140"/>
      </w:pPr>
      <w:r>
        <w:rPr>
          <w:sz w:val="18"/>
          <w:szCs w:val="18"/>
        </w:rPr>
        <w:t xml:space="preserve">                            </w:t>
      </w:r>
      <w:r>
        <w:rPr>
          <w:color w:val="4A4A4A"/>
          <w:sz w:val="20"/>
          <w:szCs w:val="20"/>
        </w:rPr>
        <w:t xml:space="preserve">ADAcompliance@ColoradoSprings.gov  ·  719-385-5175 (7-1-1 via Colorado Relay)</w:t>
      </w:r>
    </w:p>
    <w:p>
      <w:pPr>
        <w:spacing w:after="100"/>
      </w:pPr>
      <w:r>
        <w:rPr>
          <w:b/>
          <w:bCs/>
          <w:color w:val="6B6B6B"/>
          <w:spacing w:val="40"/>
          <w:sz w:val="18"/>
          <w:szCs w:val="18"/>
        </w:rPr>
        <w:t xml:space="preserve">Re                   </w:t>
      </w:r>
      <w:r>
        <w:rPr>
          <w:sz w:val="22"/>
          <w:szCs w:val="22"/>
        </w:rPr>
        <w:t xml:space="preserve">Draft Digital Accessibility Transition Plan (2026)</w:t>
      </w:r>
    </w:p>
    <w:p>
      <w:pPr>
        <w:spacing w:after="100"/>
      </w:pPr>
      <w:r>
        <w:rPr>
          <w:b/>
          <w:bCs/>
          <w:color w:val="6B6B6B"/>
          <w:spacing w:val="40"/>
          <w:sz w:val="18"/>
          <w:szCs w:val="18"/>
        </w:rPr>
        <w:t xml:space="preserve">Comment period   </w:t>
      </w:r>
      <w:r>
        <w:rPr>
          <w:sz w:val="22"/>
          <w:szCs w:val="22"/>
        </w:rPr>
        <w:t xml:space="preserve">Open through end of January 2026</w:t>
      </w:r>
    </w:p>
    <w:p>
      <w:pPr>
        <w:spacing w:after="280"/>
      </w:pPr>
      <w:r>
        <w:rPr>
          <w:b/>
          <w:bCs/>
          <w:color w:val="6B6B6B"/>
          <w:spacing w:val="40"/>
          <w:sz w:val="18"/>
          <w:szCs w:val="18"/>
        </w:rPr>
        <w:t xml:space="preserve">Date submitted   </w:t>
      </w:r>
      <w:r>
        <w:rPr>
          <w:sz w:val="22"/>
          <w:szCs w:val="22"/>
        </w:rPr>
        <w:t xml:space="preserve">May 6, 2026</w:t>
      </w:r>
    </w:p>
    <w:p>
      <w:pPr>
        <w:pStyle w:val="Heading1"/>
        <w:spacing w:after="160" w:before="240"/>
      </w:pPr>
      <w:r>
        <w:t xml:space="preserve">Opening</w:t>
      </w:r>
    </w:p>
    <w:p>
      <w:pPr>
        <w:spacing w:after="160" w:line="320"/>
        <w:jc w:val="both"/>
      </w:pPr>
      <w:r>
        <w:rPr>
          <w:sz w:val="22"/>
          <w:szCs w:val="22"/>
        </w:rPr>
        <w:t xml:space="preserve">These comments are submitted in support of the City of Colorado Springs' continued investment in digital accessibility. The Office of Accessibility, the Innovation and Technology Department, and the Department Liaison network have built real institutional infrastructure: a signed Administrative Regulation, a defined organizational home in IT, a 24-person liaison network, a Municipal Accessibility Maturity Model, contractual indemnification language, and a public quarterly reporting cadence. The work reflected in the plan is substantial, and these comments do not contest that posture.</w:t>
      </w:r>
    </w:p>
    <w:p>
      <w:pPr>
        <w:spacing w:after="160" w:line="320"/>
        <w:jc w:val="both"/>
      </w:pPr>
      <w:r>
        <w:rPr>
          <w:sz w:val="22"/>
          <w:szCs w:val="22"/>
        </w:rPr>
        <w:t xml:space="preserve">The comments below are limited to specific revisions that would, in the submitter's view, improve the plan as a transition plan rather than as a status report. They are organized as twelve discrete items so that City staff can address each as a separate revision request. Each item identifies the page reference in the plan, paraphrases what the plan currently says, states the concern, and proposes a specific revision.</w:t>
      </w:r>
    </w:p>
    <w:p>
      <w:pPr>
        <w:spacing w:after="160" w:line="320"/>
        <w:jc w:val="both"/>
      </w:pPr>
      <w:r>
        <w:rPr>
          <w:sz w:val="22"/>
          <w:szCs w:val="22"/>
        </w:rPr>
        <w:t xml:space="preserve">Submitter: a Colorado Springs resident commenting in an individual capacity. The submitter is not a lawyer; the federal-rule references in this letter are based on publicly available DOJ guidance and should be verified by the City's legal department.</w:t>
      </w:r>
    </w:p>
    <w:p>
      <w:pPr>
        <w:pStyle w:val="Heading1"/>
        <w:spacing w:after="60" w:before="360"/>
      </w:pPr>
      <w:r>
        <w:t xml:space="preserve">Comments</w:t>
      </w:r>
    </w:p>
    <w:p>
      <w:pPr>
        <w:keepNext/>
        <w:spacing w:after="60" w:before="320"/>
      </w:pPr>
      <w:r>
        <w:rPr>
          <w:b/>
          <w:bCs/>
          <w:color w:val="C8A84B"/>
          <w:sz w:val="22"/>
          <w:szCs w:val="22"/>
        </w:rPr>
        <w:t xml:space="preserve">Comment 1.</w:t>
      </w:r>
      <w:r>
        <w:rPr>
          <w:b/>
          <w:bCs/>
          <w:color w:val="1F3A5F"/>
          <w:sz w:val="26"/>
          <w:szCs w:val="26"/>
        </w:rPr>
        <w:t xml:space="preserve">  Reconsider the 50-page document remediation cutoff</w:t>
      </w:r>
    </w:p>
    <w:p>
      <w:pPr>
        <w:keepNext/>
        <w:spacing w:after="160"/>
      </w:pPr>
      <w:r>
        <w:rPr>
          <w:b/>
          <w:bCs/>
          <w:color w:val="6B6B6B"/>
          <w:spacing w:val="30"/>
          <w:sz w:val="18"/>
          <w:szCs w:val="18"/>
        </w:rPr>
        <w:t xml:space="preserve">Plan reference  </w:t>
      </w:r>
      <w:r>
        <w:rPr>
          <w:i/>
          <w:iCs/>
          <w:color w:val="6B6B6B"/>
          <w:sz w:val="20"/>
          <w:szCs w:val="20"/>
        </w:rPr>
        <w:t xml:space="preserve">pp. 20–21 (Accessible Content Procedure); p. 25 (Accessibility Statements)</w:t>
      </w:r>
    </w:p>
    <w:p>
      <w:pPr>
        <w:spacing w:after="140" w:line="320"/>
        <w:jc w:val="both"/>
      </w:pPr>
      <w:r>
        <w:rPr>
          <w:b/>
          <w:bCs/>
          <w:sz w:val="22"/>
          <w:szCs w:val="22"/>
        </w:rPr>
        <w:t xml:space="preserve">What the plan says.  </w:t>
      </w:r>
      <w:r>
        <w:rPr>
          <w:sz w:val="22"/>
          <w:szCs w:val="22"/>
        </w:rPr>
        <w:t xml:space="preserve">The plan establishes that documents under 50 pages will be remediated as a matter of course, while documents over 50 pages will not be remediated by default; instead, those documents carry a disclaimer pointing readers to request an accessible version through the Office of Accessibility.</w:t>
      </w:r>
    </w:p>
    <w:p>
      <w:pPr>
        <w:spacing w:after="140" w:line="320"/>
        <w:jc w:val="both"/>
      </w:pPr>
      <w:r>
        <w:rPr>
          <w:b/>
          <w:bCs/>
          <w:sz w:val="22"/>
          <w:szCs w:val="22"/>
        </w:rPr>
        <w:t xml:space="preserve">Concern.  </w:t>
      </w:r>
      <w:r>
        <w:rPr>
          <w:sz w:val="22"/>
          <w:szCs w:val="22"/>
        </w:rPr>
        <w:t xml:space="preserve">The City's most consequential public documents — annual budgets, the comprehensive plan, master plans for parks and transportation, capital improvement plans, environmental impact reports, election guides — are routinely longer than 50 pages. A request-only policy applied to actively-used documents conflicts with the U.S. Department of Justice's April 2024 Title II final rule, which requires public entities serving populations of 50,000 or more (Colorado Springs is approximately 480,000) to make web content accessible by April 24, 2026, with no general size-based exemption for documents in active use.</w:t>
      </w:r>
    </w:p>
    <w:p>
      <w:pPr>
        <w:spacing w:after="200" w:line="320"/>
        <w:jc w:val="both"/>
      </w:pPr>
      <w:r>
        <w:rPr>
          <w:b/>
          <w:bCs/>
          <w:color w:val="1F3A5F"/>
          <w:sz w:val="22"/>
          <w:szCs w:val="22"/>
        </w:rPr>
        <w:t xml:space="preserve">Suggested revision.  </w:t>
      </w:r>
      <w:r>
        <w:rPr>
          <w:sz w:val="22"/>
          <w:szCs w:val="22"/>
        </w:rPr>
        <w:t xml:space="preserve">Replace the page-count threshold with a use-based threshold. Documents that are actively used in a public program, service, or activity should be remediated regardless of length; the request-only pathway should apply only to true legacy or archived content no longer in active circulation. If staffing constraints make immediate remediation of long active-use documents impossible, the plan should commit to a remediation schedule with target dates rather than a permanent exemption.</w:t>
      </w:r>
    </w:p>
    <w:p>
      <w:pPr>
        <w:keepNext/>
        <w:spacing w:after="60" w:before="320"/>
      </w:pPr>
      <w:r>
        <w:rPr>
          <w:b/>
          <w:bCs/>
          <w:color w:val="C8A84B"/>
          <w:sz w:val="22"/>
          <w:szCs w:val="22"/>
        </w:rPr>
        <w:t xml:space="preserve">Comment 2.</w:t>
      </w:r>
      <w:r>
        <w:rPr>
          <w:b/>
          <w:bCs/>
          <w:color w:val="1F3A5F"/>
          <w:sz w:val="26"/>
          <w:szCs w:val="26"/>
        </w:rPr>
        <w:t xml:space="preserve">  Narrow the “Low-Impact or Redundant Documents” exemption category</w:t>
      </w:r>
    </w:p>
    <w:p>
      <w:pPr>
        <w:keepNext/>
        <w:spacing w:after="160"/>
      </w:pPr>
      <w:r>
        <w:rPr>
          <w:b/>
          <w:bCs/>
          <w:color w:val="6B6B6B"/>
          <w:spacing w:val="30"/>
          <w:sz w:val="18"/>
          <w:szCs w:val="18"/>
        </w:rPr>
        <w:t xml:space="preserve">Plan reference  </w:t>
      </w:r>
      <w:r>
        <w:rPr>
          <w:i/>
          <w:iCs/>
          <w:color w:val="6B6B6B"/>
          <w:sz w:val="20"/>
          <w:szCs w:val="20"/>
        </w:rPr>
        <w:t xml:space="preserve">p. 12 (Policy Enforcement and Exemptions, item 5)</w:t>
      </w:r>
    </w:p>
    <w:p>
      <w:pPr>
        <w:spacing w:after="140" w:line="320"/>
        <w:jc w:val="both"/>
      </w:pPr>
      <w:r>
        <w:rPr>
          <w:b/>
          <w:bCs/>
          <w:sz w:val="22"/>
          <w:szCs w:val="22"/>
        </w:rPr>
        <w:t xml:space="preserve">What the plan says.  </w:t>
      </w:r>
      <w:r>
        <w:rPr>
          <w:sz w:val="22"/>
          <w:szCs w:val="22"/>
        </w:rPr>
        <w:t xml:space="preserve">The plan exempts from accessibility requirements a category of documents identified by the Accessibility Prioritization Committee as low-impact or redundant. The listed examples include blueprints, architectural drawings, scanned historical publications, handwritten correspondence, technical drawings, and site plans, development plans, and maps.</w:t>
      </w:r>
    </w:p>
    <w:p>
      <w:pPr>
        <w:spacing w:after="140" w:line="320"/>
        <w:jc w:val="both"/>
      </w:pPr>
      <w:r>
        <w:rPr>
          <w:b/>
          <w:bCs/>
          <w:sz w:val="22"/>
          <w:szCs w:val="22"/>
        </w:rPr>
        <w:t xml:space="preserve">Concern.  </w:t>
      </w:r>
      <w:r>
        <w:rPr>
          <w:sz w:val="22"/>
          <w:szCs w:val="22"/>
        </w:rPr>
        <w:t xml:space="preserve">Site plans, development plans, and maps are precisely the documents residents need in order to participate meaningfully in zoning hearings, neighborhood planning, and development review. Categorically classifying these as low-impact creates a structural barrier to civic participation for residents with disabilities. The same concern applies, more narrowly, to technical drawings used in active permitting processes.</w:t>
      </w:r>
    </w:p>
    <w:p>
      <w:pPr>
        <w:spacing w:after="200" w:line="320"/>
        <w:jc w:val="both"/>
      </w:pPr>
      <w:r>
        <w:rPr>
          <w:b/>
          <w:bCs/>
          <w:color w:val="1F3A5F"/>
          <w:sz w:val="22"/>
          <w:szCs w:val="22"/>
        </w:rPr>
        <w:t xml:space="preserve">Suggested revision.  </w:t>
      </w:r>
      <w:r>
        <w:rPr>
          <w:sz w:val="22"/>
          <w:szCs w:val="22"/>
        </w:rPr>
        <w:t xml:space="preserve">Remove site plans, development plans, and maps from the default low-impact list. Where these document types are genuinely difficult to remediate, the plan should commit to providing accessible alternative formats (text descriptions, structured data tables behind maps, or accessible HTML alternatives) rather than treating them as exempt by default.</w:t>
      </w:r>
    </w:p>
    <w:p>
      <w:pPr>
        <w:keepNext/>
        <w:spacing w:after="60" w:before="320"/>
      </w:pPr>
      <w:r>
        <w:rPr>
          <w:b/>
          <w:bCs/>
          <w:color w:val="C8A84B"/>
          <w:sz w:val="22"/>
          <w:szCs w:val="22"/>
        </w:rPr>
        <w:t xml:space="preserve">Comment 3.</w:t>
      </w:r>
      <w:r>
        <w:rPr>
          <w:b/>
          <w:bCs/>
          <w:color w:val="1F3A5F"/>
          <w:sz w:val="26"/>
          <w:szCs w:val="26"/>
        </w:rPr>
        <w:t xml:space="preserve">  Reconsider the blanket exemption for pre-existing electronic documents</w:t>
      </w:r>
    </w:p>
    <w:p>
      <w:pPr>
        <w:keepNext/>
        <w:spacing w:after="160"/>
      </w:pPr>
      <w:r>
        <w:rPr>
          <w:b/>
          <w:bCs/>
          <w:color w:val="6B6B6B"/>
          <w:spacing w:val="30"/>
          <w:sz w:val="18"/>
          <w:szCs w:val="18"/>
        </w:rPr>
        <w:t xml:space="preserve">Plan reference  </w:t>
      </w:r>
      <w:r>
        <w:rPr>
          <w:i/>
          <w:iCs/>
          <w:color w:val="6B6B6B"/>
          <w:sz w:val="20"/>
          <w:szCs w:val="20"/>
        </w:rPr>
        <w:t xml:space="preserve">p. 12 (Low-Impact or Redundant Documents, item 5(g))</w:t>
      </w:r>
    </w:p>
    <w:p>
      <w:pPr>
        <w:spacing w:after="140" w:line="320"/>
        <w:jc w:val="both"/>
      </w:pPr>
      <w:r>
        <w:rPr>
          <w:b/>
          <w:bCs/>
          <w:sz w:val="22"/>
          <w:szCs w:val="22"/>
        </w:rPr>
        <w:t xml:space="preserve">What the plan says.  </w:t>
      </w:r>
      <w:r>
        <w:rPr>
          <w:sz w:val="22"/>
          <w:szCs w:val="22"/>
        </w:rPr>
        <w:t xml:space="preserve">The plan lists “preexisting conventional electronic documents” as a category of low-impact or redundant content that may be excluded from accessibility requirements except upon request.</w:t>
      </w:r>
    </w:p>
    <w:p>
      <w:pPr>
        <w:spacing w:after="140" w:line="320"/>
        <w:jc w:val="both"/>
      </w:pPr>
      <w:r>
        <w:rPr>
          <w:b/>
          <w:bCs/>
          <w:sz w:val="22"/>
          <w:szCs w:val="22"/>
        </w:rPr>
        <w:t xml:space="preserve">Concern.  </w:t>
      </w:r>
      <w:r>
        <w:rPr>
          <w:sz w:val="22"/>
          <w:szCs w:val="22"/>
        </w:rPr>
        <w:t xml:space="preserve">This phrasing is broader than the federal rule it is meant to implement. The DOJ Title II final rule provides specific, narrow exceptions tied to whether content is currently in use as part of a public program, service, or activity. A blanket exemption for all pre-existing conventional electronic documents, regardless of current use status, exceeds those federal exceptions.</w:t>
      </w:r>
    </w:p>
    <w:p>
      <w:pPr>
        <w:spacing w:after="200" w:line="320"/>
        <w:jc w:val="both"/>
      </w:pPr>
      <w:r>
        <w:rPr>
          <w:b/>
          <w:bCs/>
          <w:color w:val="1F3A5F"/>
          <w:sz w:val="22"/>
          <w:szCs w:val="22"/>
        </w:rPr>
        <w:t xml:space="preserve">Suggested revision.  </w:t>
      </w:r>
      <w:r>
        <w:rPr>
          <w:sz w:val="22"/>
          <w:szCs w:val="22"/>
        </w:rPr>
        <w:t xml:space="preserve">Replace the blanket exemption with the federal rule's actual standard, which conditions the exception on current use rather than creation date alone. Cite the relevant federal provisions directly so the City's exemption framework cannot be read as broader than the federal floor.</w:t>
      </w:r>
    </w:p>
    <w:p>
      <w:pPr>
        <w:keepNext/>
        <w:spacing w:after="60" w:before="320"/>
      </w:pPr>
      <w:r>
        <w:rPr>
          <w:b/>
          <w:bCs/>
          <w:color w:val="C8A84B"/>
          <w:sz w:val="22"/>
          <w:szCs w:val="22"/>
        </w:rPr>
        <w:t xml:space="preserve">Comment 4.</w:t>
      </w:r>
      <w:r>
        <w:rPr>
          <w:b/>
          <w:bCs/>
          <w:color w:val="1F3A5F"/>
          <w:sz w:val="26"/>
          <w:szCs w:val="26"/>
        </w:rPr>
        <w:t xml:space="preserve">  Resolve the governance gap of an inactive Accessibility Prioritization Committee</w:t>
      </w:r>
    </w:p>
    <w:p>
      <w:pPr>
        <w:keepNext/>
        <w:spacing w:after="160"/>
      </w:pPr>
      <w:r>
        <w:rPr>
          <w:b/>
          <w:bCs/>
          <w:color w:val="6B6B6B"/>
          <w:spacing w:val="30"/>
          <w:sz w:val="18"/>
          <w:szCs w:val="18"/>
        </w:rPr>
        <w:t xml:space="preserve">Plan reference  </w:t>
      </w:r>
      <w:r>
        <w:rPr>
          <w:i/>
          <w:iCs/>
          <w:color w:val="6B6B6B"/>
          <w:sz w:val="20"/>
          <w:szCs w:val="20"/>
        </w:rPr>
        <w:t xml:space="preserve">p. 10 (Accessibility Prioritization Committee Re-Established); pp. 11–12 (Governance, Roles, and Responsibilities)</w:t>
      </w:r>
    </w:p>
    <w:p>
      <w:pPr>
        <w:spacing w:after="140" w:line="320"/>
        <w:jc w:val="both"/>
      </w:pPr>
      <w:r>
        <w:rPr>
          <w:b/>
          <w:bCs/>
          <w:sz w:val="22"/>
          <w:szCs w:val="22"/>
        </w:rPr>
        <w:t xml:space="preserve">What the plan says.  </w:t>
      </w:r>
      <w:r>
        <w:rPr>
          <w:sz w:val="22"/>
          <w:szCs w:val="22"/>
        </w:rPr>
        <w:t xml:space="preserve">The plan acknowledges that the Accessibility Prioritization Committee is being relaunched, with draft bylaws and an organizational structure still under development. The same plan assigns this committee responsibility for compliance monitoring, content impact evaluation, and the determination of low-priority exemptions.</w:t>
      </w:r>
    </w:p>
    <w:p>
      <w:pPr>
        <w:spacing w:after="140" w:line="320"/>
        <w:jc w:val="both"/>
      </w:pPr>
      <w:r>
        <w:rPr>
          <w:b/>
          <w:bCs/>
          <w:sz w:val="22"/>
          <w:szCs w:val="22"/>
        </w:rPr>
        <w:t xml:space="preserve">Concern.  </w:t>
      </w:r>
      <w:r>
        <w:rPr>
          <w:sz w:val="22"/>
          <w:szCs w:val="22"/>
        </w:rPr>
        <w:t xml:space="preserve">Substantive authority is being assigned to a body that does not yet exist in operational form. Until the committee is constituted, with named members and adopted bylaws, the plan does not identify who is making low-priority exemption determinations, on what authority, or how those decisions can be reviewed. This is a meaningful governance gap given how much weight the exemption framework carries elsewhere in the plan.</w:t>
      </w:r>
    </w:p>
    <w:p>
      <w:pPr>
        <w:spacing w:after="200" w:line="320"/>
        <w:jc w:val="both"/>
      </w:pPr>
      <w:r>
        <w:rPr>
          <w:b/>
          <w:bCs/>
          <w:color w:val="1F3A5F"/>
          <w:sz w:val="22"/>
          <w:szCs w:val="22"/>
        </w:rPr>
        <w:t xml:space="preserve">Suggested revision.  </w:t>
      </w:r>
      <w:r>
        <w:rPr>
          <w:sz w:val="22"/>
          <w:szCs w:val="22"/>
        </w:rPr>
        <w:t xml:space="preserve">Add an interim provision identifying which existing official is authorized to make exemption determinations until the committee is operational, and add a target date for the committee's first meeting. Once seated, publish the bylaws, the membership roster, and the meeting cadence on the same page that hosts this transition plan.</w:t>
      </w:r>
    </w:p>
    <w:p>
      <w:pPr>
        <w:keepNext/>
        <w:spacing w:after="60" w:before="320"/>
      </w:pPr>
      <w:r>
        <w:rPr>
          <w:b/>
          <w:bCs/>
          <w:color w:val="C8A84B"/>
          <w:sz w:val="22"/>
          <w:szCs w:val="22"/>
        </w:rPr>
        <w:t xml:space="preserve">Comment 5.</w:t>
      </w:r>
      <w:r>
        <w:rPr>
          <w:b/>
          <w:bCs/>
          <w:color w:val="1F3A5F"/>
          <w:sz w:val="26"/>
          <w:szCs w:val="26"/>
        </w:rPr>
        <w:t xml:space="preserve">  Address the DOJ Title II final rule (April 2024) by name and by deadline</w:t>
      </w:r>
    </w:p>
    <w:p>
      <w:pPr>
        <w:keepNext/>
        <w:spacing w:after="160"/>
      </w:pPr>
      <w:r>
        <w:rPr>
          <w:b/>
          <w:bCs/>
          <w:color w:val="6B6B6B"/>
          <w:spacing w:val="30"/>
          <w:sz w:val="18"/>
          <w:szCs w:val="18"/>
        </w:rPr>
        <w:t xml:space="preserve">Plan reference  </w:t>
      </w:r>
      <w:r>
        <w:rPr>
          <w:i/>
          <w:iCs/>
          <w:color w:val="6B6B6B"/>
          <w:sz w:val="20"/>
          <w:szCs w:val="20"/>
        </w:rPr>
        <w:t xml:space="preserve">p. 7 (Americans with Disabilities Act, as amended)</w:t>
      </w:r>
    </w:p>
    <w:p>
      <w:pPr>
        <w:spacing w:after="140" w:line="320"/>
        <w:jc w:val="both"/>
      </w:pPr>
      <w:r>
        <w:rPr>
          <w:b/>
          <w:bCs/>
          <w:sz w:val="22"/>
          <w:szCs w:val="22"/>
        </w:rPr>
        <w:t xml:space="preserve">What the plan says.  </w:t>
      </w:r>
      <w:r>
        <w:rPr>
          <w:sz w:val="22"/>
          <w:szCs w:val="22"/>
        </w:rPr>
        <w:t xml:space="preserve">The plan states that “in 2026, new digital accessibility guidance will be added to the ADA” and treats this guidance as forward-looking.</w:t>
      </w:r>
    </w:p>
    <w:p>
      <w:pPr>
        <w:spacing w:after="140" w:line="320"/>
        <w:jc w:val="both"/>
      </w:pPr>
      <w:r>
        <w:rPr>
          <w:b/>
          <w:bCs/>
          <w:sz w:val="22"/>
          <w:szCs w:val="22"/>
        </w:rPr>
        <w:t xml:space="preserve">Concern.  </w:t>
      </w:r>
      <w:r>
        <w:rPr>
          <w:sz w:val="22"/>
          <w:szCs w:val="22"/>
        </w:rPr>
        <w:t xml:space="preserve">The DOJ Title II final rule on web and mobile accessibility was finalized in April 2024, not 2026. For public entities serving populations of 50,000 or more, the compliance deadline is April 24, 2026; for entities with smaller populations, April 24, 2027. The plan currently does not explicitly address the City's posture toward the April 2026 federal deadline, even though the rule has been in effect for roughly two years at the time of the plan's drafting.</w:t>
      </w:r>
    </w:p>
    <w:p>
      <w:pPr>
        <w:spacing w:after="200" w:line="320"/>
        <w:jc w:val="both"/>
      </w:pPr>
      <w:r>
        <w:rPr>
          <w:b/>
          <w:bCs/>
          <w:color w:val="1F3A5F"/>
          <w:sz w:val="22"/>
          <w:szCs w:val="22"/>
        </w:rPr>
        <w:t xml:space="preserve">Suggested revision.  </w:t>
      </w:r>
      <w:r>
        <w:rPr>
          <w:sz w:val="22"/>
          <w:szCs w:val="22"/>
        </w:rPr>
        <w:t xml:space="preserve">Correct the timeline reference. State explicitly that the DOJ rule was finalized in April 2024 and that the City of Colorado Springs, as an entity serving a population of approximately 480,000, is subject to the April 24, 2026 compliance deadline. State the City's position on whether it will meet that deadline and, if a good-faith-effort extension is being relied upon, identify the basis for that reliance.</w:t>
      </w:r>
    </w:p>
    <w:p>
      <w:pPr>
        <w:keepNext/>
        <w:spacing w:after="60" w:before="320"/>
      </w:pPr>
      <w:r>
        <w:rPr>
          <w:b/>
          <w:bCs/>
          <w:color w:val="C8A84B"/>
          <w:sz w:val="22"/>
          <w:szCs w:val="22"/>
        </w:rPr>
        <w:t xml:space="preserve">Comment 6.</w:t>
      </w:r>
      <w:r>
        <w:rPr>
          <w:b/>
          <w:bCs/>
          <w:color w:val="1F3A5F"/>
          <w:sz w:val="26"/>
          <w:szCs w:val="26"/>
        </w:rPr>
        <w:t xml:space="preserve">  Commit to a vendor accessibility review staffing plan</w:t>
      </w:r>
    </w:p>
    <w:p>
      <w:pPr>
        <w:keepNext/>
        <w:spacing w:after="160"/>
      </w:pPr>
      <w:r>
        <w:rPr>
          <w:b/>
          <w:bCs/>
          <w:color w:val="6B6B6B"/>
          <w:spacing w:val="30"/>
          <w:sz w:val="18"/>
          <w:szCs w:val="18"/>
        </w:rPr>
        <w:t xml:space="preserve">Plan reference  </w:t>
      </w:r>
      <w:r>
        <w:rPr>
          <w:i/>
          <w:iCs/>
          <w:color w:val="6B6B6B"/>
          <w:sz w:val="20"/>
          <w:szCs w:val="20"/>
        </w:rPr>
        <w:t xml:space="preserve">pp. 25–27 (VPAT Review Process); p. 36 (Tracking Digital Accessibility Compliance)</w:t>
      </w:r>
    </w:p>
    <w:p>
      <w:pPr>
        <w:spacing w:after="140" w:line="320"/>
        <w:jc w:val="both"/>
      </w:pPr>
      <w:r>
        <w:rPr>
          <w:b/>
          <w:bCs/>
          <w:sz w:val="22"/>
          <w:szCs w:val="22"/>
        </w:rPr>
        <w:t xml:space="preserve">What the plan says.  </w:t>
      </w:r>
      <w:r>
        <w:rPr>
          <w:sz w:val="22"/>
          <w:szCs w:val="22"/>
        </w:rPr>
        <w:t xml:space="preserve">The plan describes the VPAT review process and notes that the City manages a portfolio of more than 600 digital applications. The Web Accessibility Coordinator leads VPAT review with support from the Digital Accessibility Team.</w:t>
      </w:r>
    </w:p>
    <w:p>
      <w:pPr>
        <w:spacing w:after="140" w:line="320"/>
        <w:jc w:val="both"/>
      </w:pPr>
      <w:r>
        <w:rPr>
          <w:b/>
          <w:bCs/>
          <w:sz w:val="22"/>
          <w:szCs w:val="22"/>
        </w:rPr>
        <w:t xml:space="preserve">Concern.  </w:t>
      </w:r>
      <w:r>
        <w:rPr>
          <w:sz w:val="22"/>
          <w:szCs w:val="22"/>
        </w:rPr>
        <w:t xml:space="preserve">The City's own Q3 2024 quarterly progress report estimated that conducting accessibility reviews on the City's roughly 600 ICT vendors would require approximately 2,400 hours of work per year — more than one full-time staff position. The transition plan does not commit to additional staffing, a target backlog reduction percentage, or a date by which the existing review backlog will be cleared. Procurement language is strong, but enforcement depends on review capacity.</w:t>
      </w:r>
    </w:p>
    <w:p>
      <w:pPr>
        <w:spacing w:after="200" w:line="320"/>
        <w:jc w:val="both"/>
      </w:pPr>
      <w:r>
        <w:rPr>
          <w:b/>
          <w:bCs/>
          <w:color w:val="1F3A5F"/>
          <w:sz w:val="22"/>
          <w:szCs w:val="22"/>
        </w:rPr>
        <w:t xml:space="preserve">Suggested revision.  </w:t>
      </w:r>
      <w:r>
        <w:rPr>
          <w:sz w:val="22"/>
          <w:szCs w:val="22"/>
        </w:rPr>
        <w:t xml:space="preserve">Add a section that quantifies the current VPAT review backlog, sets a target backlog-reduction percentage and date, and identifies whether additional staffing or third-party review support will be sought. Without a capacity commitment, the procurement and contracting language elsewhere in the plan is difficult to enforce at scale.</w:t>
      </w:r>
    </w:p>
    <w:p>
      <w:pPr>
        <w:keepNext/>
        <w:spacing w:after="60" w:before="320"/>
      </w:pPr>
      <w:r>
        <w:rPr>
          <w:b/>
          <w:bCs/>
          <w:color w:val="C8A84B"/>
          <w:sz w:val="22"/>
          <w:szCs w:val="22"/>
        </w:rPr>
        <w:t xml:space="preserve">Comment 7.</w:t>
      </w:r>
      <w:r>
        <w:rPr>
          <w:b/>
          <w:bCs/>
          <w:color w:val="1F3A5F"/>
          <w:sz w:val="26"/>
          <w:szCs w:val="26"/>
        </w:rPr>
        <w:t xml:space="preserve">  Commit to closing the gap between MAMM inventory and staff survey scores</w:t>
      </w:r>
    </w:p>
    <w:p>
      <w:pPr>
        <w:keepNext/>
        <w:spacing w:after="160"/>
      </w:pPr>
      <w:r>
        <w:rPr>
          <w:b/>
          <w:bCs/>
          <w:color w:val="6B6B6B"/>
          <w:spacing w:val="30"/>
          <w:sz w:val="18"/>
          <w:szCs w:val="18"/>
        </w:rPr>
        <w:t xml:space="preserve">Plan reference  </w:t>
      </w:r>
      <w:r>
        <w:rPr>
          <w:i/>
          <w:iCs/>
          <w:color w:val="6B6B6B"/>
          <w:sz w:val="20"/>
          <w:szCs w:val="20"/>
        </w:rPr>
        <w:t xml:space="preserve">pp. 39–65 (Municipal Accessibility Maturity Model and Survey Results)</w:t>
      </w:r>
    </w:p>
    <w:p>
      <w:pPr>
        <w:spacing w:after="140" w:line="320"/>
        <w:jc w:val="both"/>
      </w:pPr>
      <w:r>
        <w:rPr>
          <w:b/>
          <w:bCs/>
          <w:sz w:val="22"/>
          <w:szCs w:val="22"/>
        </w:rPr>
        <w:t xml:space="preserve">What the plan says.  </w:t>
      </w:r>
      <w:r>
        <w:rPr>
          <w:sz w:val="22"/>
          <w:szCs w:val="22"/>
        </w:rPr>
        <w:t xml:space="preserve">The plan reports an inventory maturity score of 4.03 out of 5 and a staff survey score of 2.88 out of 4. The plan describes this difference as a perceptual gap between strategic progress and staff experience.</w:t>
      </w:r>
    </w:p>
    <w:p>
      <w:pPr>
        <w:spacing w:after="140" w:line="320"/>
        <w:jc w:val="both"/>
      </w:pPr>
      <w:r>
        <w:rPr>
          <w:b/>
          <w:bCs/>
          <w:sz w:val="22"/>
          <w:szCs w:val="22"/>
        </w:rPr>
        <w:t xml:space="preserve">Concern.  </w:t>
      </w:r>
      <w:r>
        <w:rPr>
          <w:sz w:val="22"/>
          <w:szCs w:val="22"/>
        </w:rPr>
        <w:t xml:space="preserve">The plan acknowledges the gap but does not commit specific actions, owners, or dates to close it. A 1.15-point gap between management self-assessment and staff lived experience is meaningful and indicates that mature policies have not yet translated into mature day-to-day practice. The lowest-scoring survey items — budgeting, internal-tool accessibility checks, design-and-development integration, and accessible hiring practices — each warrant their own remediation track.</w:t>
      </w:r>
    </w:p>
    <w:p>
      <w:pPr>
        <w:spacing w:after="200" w:line="320"/>
        <w:jc w:val="both"/>
      </w:pPr>
      <w:r>
        <w:rPr>
          <w:b/>
          <w:bCs/>
          <w:color w:val="1F3A5F"/>
          <w:sz w:val="22"/>
          <w:szCs w:val="22"/>
        </w:rPr>
        <w:t xml:space="preserve">Suggested revision.  </w:t>
      </w:r>
      <w:r>
        <w:rPr>
          <w:sz w:val="22"/>
          <w:szCs w:val="22"/>
        </w:rPr>
        <w:t xml:space="preserve">For each of the four lowest-scoring survey items, add a section identifying the responsible team, a target score for the next survey period, and a small number of measurable milestones. Re-administer the survey on a fixed cadence (annually at minimum) and publish the comparison alongside this transition plan.</w:t>
      </w:r>
    </w:p>
    <w:p>
      <w:pPr>
        <w:keepNext/>
        <w:spacing w:after="60" w:before="320"/>
      </w:pPr>
      <w:r>
        <w:rPr>
          <w:b/>
          <w:bCs/>
          <w:color w:val="C8A84B"/>
          <w:sz w:val="22"/>
          <w:szCs w:val="22"/>
        </w:rPr>
        <w:t xml:space="preserve">Comment 8.</w:t>
      </w:r>
      <w:r>
        <w:rPr>
          <w:b/>
          <w:bCs/>
          <w:color w:val="1F3A5F"/>
          <w:sz w:val="26"/>
          <w:szCs w:val="26"/>
        </w:rPr>
        <w:t xml:space="preserve">  Reconcile internal counts of documents and applications</w:t>
      </w:r>
    </w:p>
    <w:p>
      <w:pPr>
        <w:keepNext/>
        <w:spacing w:after="160"/>
      </w:pPr>
      <w:r>
        <w:rPr>
          <w:b/>
          <w:bCs/>
          <w:color w:val="6B6B6B"/>
          <w:spacing w:val="30"/>
          <w:sz w:val="18"/>
          <w:szCs w:val="18"/>
        </w:rPr>
        <w:t xml:space="preserve">Plan reference  </w:t>
      </w:r>
      <w:r>
        <w:rPr>
          <w:i/>
          <w:iCs/>
          <w:color w:val="6B6B6B"/>
          <w:sz w:val="20"/>
          <w:szCs w:val="20"/>
        </w:rPr>
        <w:t xml:space="preserve">p. 18 (Remediation Totals); p. 19; p. 34; p. 36; p. 57</w:t>
      </w:r>
    </w:p>
    <w:p>
      <w:pPr>
        <w:spacing w:after="140" w:line="320"/>
        <w:jc w:val="both"/>
      </w:pPr>
      <w:r>
        <w:rPr>
          <w:b/>
          <w:bCs/>
          <w:sz w:val="22"/>
          <w:szCs w:val="22"/>
        </w:rPr>
        <w:t xml:space="preserve">What the plan says.  </w:t>
      </w:r>
      <w:r>
        <w:rPr>
          <w:sz w:val="22"/>
          <w:szCs w:val="22"/>
        </w:rPr>
        <w:t xml:space="preserve">Different sections of the plan report different counts: approximately 3,000 documents and 40,000+ pages evaluated since 2022 (p. 18); approximately 7,000 documents and 85,000 pages remediated since 2020 (p. 19); approximately 90 external-facing web applications evaluated (p. 34); over 600 digital applications in the portfolio (p. 36); and over 80 external-facing web applications evaluated (p. 57).</w:t>
      </w:r>
    </w:p>
    <w:p>
      <w:pPr>
        <w:spacing w:after="140" w:line="320"/>
        <w:jc w:val="both"/>
      </w:pPr>
      <w:r>
        <w:rPr>
          <w:b/>
          <w:bCs/>
          <w:sz w:val="22"/>
          <w:szCs w:val="22"/>
        </w:rPr>
        <w:t xml:space="preserve">Concern.  </w:t>
      </w:r>
      <w:r>
        <w:rPr>
          <w:sz w:val="22"/>
          <w:szCs w:val="22"/>
        </w:rPr>
        <w:t xml:space="preserve">These figures do not reconcile internally. The 7,000-since-2020 figure cannot be squared with the City's own quarterly progress reports, which show a year-end-2024 cumulative total of approximately 600 documents. The two evaluated-application counts (90 vs. over 80) describe the same portfolio at different points in the same document. A reviewer cannot tell which figure represents the most current state.</w:t>
      </w:r>
    </w:p>
    <w:p>
      <w:pPr>
        <w:spacing w:after="200" w:line="320"/>
        <w:jc w:val="both"/>
      </w:pPr>
      <w:r>
        <w:rPr>
          <w:b/>
          <w:bCs/>
          <w:color w:val="1F3A5F"/>
          <w:sz w:val="22"/>
          <w:szCs w:val="22"/>
        </w:rPr>
        <w:t xml:space="preserve">Suggested revision.  </w:t>
      </w:r>
      <w:r>
        <w:rPr>
          <w:sz w:val="22"/>
          <w:szCs w:val="22"/>
        </w:rPr>
        <w:t xml:space="preserve">Add a single, dated reconciliation section at the front of the plan stating, as of a specific reporting date, the total documents evaluated, total documents remediated, total applications evaluated, and total applications in the City portfolio. Update this section whenever the plan is republished, and align it with the corresponding quarterly progress report.</w:t>
      </w:r>
    </w:p>
    <w:p>
      <w:pPr>
        <w:keepNext/>
        <w:spacing w:after="60" w:before="320"/>
      </w:pPr>
      <w:r>
        <w:rPr>
          <w:b/>
          <w:bCs/>
          <w:color w:val="C8A84B"/>
          <w:sz w:val="22"/>
          <w:szCs w:val="22"/>
        </w:rPr>
        <w:t xml:space="preserve">Comment 9.</w:t>
      </w:r>
      <w:r>
        <w:rPr>
          <w:b/>
          <w:bCs/>
          <w:color w:val="1F3A5F"/>
          <w:sz w:val="26"/>
          <w:szCs w:val="26"/>
        </w:rPr>
        <w:t xml:space="preserve">  Define a turnaround time for accessible-format requests</w:t>
      </w:r>
    </w:p>
    <w:p>
      <w:pPr>
        <w:keepNext/>
        <w:spacing w:after="160"/>
      </w:pPr>
      <w:r>
        <w:rPr>
          <w:b/>
          <w:bCs/>
          <w:color w:val="6B6B6B"/>
          <w:spacing w:val="30"/>
          <w:sz w:val="18"/>
          <w:szCs w:val="18"/>
        </w:rPr>
        <w:t xml:space="preserve">Plan reference  </w:t>
      </w:r>
      <w:r>
        <w:rPr>
          <w:i/>
          <w:iCs/>
          <w:color w:val="6B6B6B"/>
          <w:sz w:val="20"/>
          <w:szCs w:val="20"/>
        </w:rPr>
        <w:t xml:space="preserve">p. 20 (Documents over 50 pages disclaimer language); pp. 27–29 (Communications and Support); p. 25 (Accessibility Statements)</w:t>
      </w:r>
    </w:p>
    <w:p>
      <w:pPr>
        <w:spacing w:after="140" w:line="320"/>
        <w:jc w:val="both"/>
      </w:pPr>
      <w:r>
        <w:rPr>
          <w:b/>
          <w:bCs/>
          <w:sz w:val="22"/>
          <w:szCs w:val="22"/>
        </w:rPr>
        <w:t xml:space="preserve">What the plan says.  </w:t>
      </w:r>
      <w:r>
        <w:rPr>
          <w:sz w:val="22"/>
          <w:szCs w:val="22"/>
        </w:rPr>
        <w:t xml:space="preserve">The plan repeatedly invites people to request accessible versions of documents, captioning of recorded content, and other accommodations through the Office of Accessibility, but does not specify how long those requests will take to fulfill.</w:t>
      </w:r>
    </w:p>
    <w:p>
      <w:pPr>
        <w:spacing w:after="140" w:line="320"/>
        <w:jc w:val="both"/>
      </w:pPr>
      <w:r>
        <w:rPr>
          <w:b/>
          <w:bCs/>
          <w:sz w:val="22"/>
          <w:szCs w:val="22"/>
        </w:rPr>
        <w:t xml:space="preserve">Concern.  </w:t>
      </w:r>
      <w:r>
        <w:rPr>
          <w:sz w:val="22"/>
          <w:szCs w:val="22"/>
        </w:rPr>
        <w:t xml:space="preserve">Without a defined response time, the request-only pathway has no service-level commitment a resident or auditor can hold the City to. Delay in providing access is itself a form of denial of access; this is particularly significant for time-sensitive content such as election materials, public-hearing notices, and emergency communications.</w:t>
      </w:r>
    </w:p>
    <w:p>
      <w:pPr>
        <w:spacing w:after="200" w:line="320"/>
        <w:jc w:val="both"/>
      </w:pPr>
      <w:r>
        <w:rPr>
          <w:b/>
          <w:bCs/>
          <w:color w:val="1F3A5F"/>
          <w:sz w:val="22"/>
          <w:szCs w:val="22"/>
        </w:rPr>
        <w:t xml:space="preserve">Suggested revision.  </w:t>
      </w:r>
      <w:r>
        <w:rPr>
          <w:sz w:val="22"/>
          <w:szCs w:val="22"/>
        </w:rPr>
        <w:t xml:space="preserve">Add a defined turnaround commitment for accessible-format requests — for example, five business days for routine documents and 24 hours for time-sensitive content — with an exception process for genuinely complex remediation. Track and report the average and 95th-percentile fulfillment time in each quarterly progress report.</w:t>
      </w:r>
    </w:p>
    <w:p>
      <w:pPr>
        <w:keepNext/>
        <w:spacing w:after="60" w:before="320"/>
      </w:pPr>
      <w:r>
        <w:rPr>
          <w:b/>
          <w:bCs/>
          <w:color w:val="C8A84B"/>
          <w:sz w:val="22"/>
          <w:szCs w:val="22"/>
        </w:rPr>
        <w:t xml:space="preserve">Comment 10.</w:t>
      </w:r>
      <w:r>
        <w:rPr>
          <w:b/>
          <w:bCs/>
          <w:color w:val="1F3A5F"/>
          <w:sz w:val="26"/>
          <w:szCs w:val="26"/>
        </w:rPr>
        <w:t xml:space="preserve">  Add an appeal mechanism for low-priority exemption decisions</w:t>
      </w:r>
    </w:p>
    <w:p>
      <w:pPr>
        <w:keepNext/>
        <w:spacing w:after="160"/>
      </w:pPr>
      <w:r>
        <w:rPr>
          <w:b/>
          <w:bCs/>
          <w:color w:val="6B6B6B"/>
          <w:spacing w:val="30"/>
          <w:sz w:val="18"/>
          <w:szCs w:val="18"/>
        </w:rPr>
        <w:t xml:space="preserve">Plan reference  </w:t>
      </w:r>
      <w:r>
        <w:rPr>
          <w:i/>
          <w:iCs/>
          <w:color w:val="6B6B6B"/>
          <w:sz w:val="20"/>
          <w:szCs w:val="20"/>
        </w:rPr>
        <w:t xml:space="preserve">p. 12 (Policy Enforcement and Exemptions); pp. 27–28 (Reporting a Digital Accessibility Concern)</w:t>
      </w:r>
    </w:p>
    <w:p>
      <w:pPr>
        <w:spacing w:after="140" w:line="320"/>
        <w:jc w:val="both"/>
      </w:pPr>
      <w:r>
        <w:rPr>
          <w:b/>
          <w:bCs/>
          <w:sz w:val="22"/>
          <w:szCs w:val="22"/>
        </w:rPr>
        <w:t xml:space="preserve">What the plan says.  </w:t>
      </w:r>
      <w:r>
        <w:rPr>
          <w:sz w:val="22"/>
          <w:szCs w:val="22"/>
        </w:rPr>
        <w:t xml:space="preserve">The plan identifies the Accessibility Prioritization Committee as the body that determines whether content qualifies as low-priority and exempt. The grievance procedure references the City's existing ADA / Section 504 grievance pathway.</w:t>
      </w:r>
    </w:p>
    <w:p>
      <w:pPr>
        <w:spacing w:after="140" w:line="320"/>
        <w:jc w:val="both"/>
      </w:pPr>
      <w:r>
        <w:rPr>
          <w:b/>
          <w:bCs/>
          <w:sz w:val="22"/>
          <w:szCs w:val="22"/>
        </w:rPr>
        <w:t xml:space="preserve">Concern.  </w:t>
      </w:r>
      <w:r>
        <w:rPr>
          <w:sz w:val="22"/>
          <w:szCs w:val="22"/>
        </w:rPr>
        <w:t xml:space="preserve">There is no described process by which a person with a disability can challenge a low-priority classification or appeal an exemption decision. The general grievance procedure may apply by default, but the specific intersection between exemption decisions and grievance rights is not stated.</w:t>
      </w:r>
    </w:p>
    <w:p>
      <w:pPr>
        <w:spacing w:after="200" w:line="320"/>
        <w:jc w:val="both"/>
      </w:pPr>
      <w:r>
        <w:rPr>
          <w:b/>
          <w:bCs/>
          <w:color w:val="1F3A5F"/>
          <w:sz w:val="22"/>
          <w:szCs w:val="22"/>
        </w:rPr>
        <w:t xml:space="preserve">Suggested revision.  </w:t>
      </w:r>
      <w:r>
        <w:rPr>
          <w:sz w:val="22"/>
          <w:szCs w:val="22"/>
        </w:rPr>
        <w:t xml:space="preserve">Add a short paragraph stating that any low-priority classification can be challenged through the City's ADA / Section 504 grievance procedure, that a successful challenge requires the City to remediate or provide an accessible alternative, and that the exemption determination is subject to redetermination upon any material change in how the content is used.</w:t>
      </w:r>
    </w:p>
    <w:p>
      <w:pPr>
        <w:keepNext/>
        <w:spacing w:after="60" w:before="320"/>
      </w:pPr>
      <w:r>
        <w:rPr>
          <w:b/>
          <w:bCs/>
          <w:color w:val="C8A84B"/>
          <w:sz w:val="22"/>
          <w:szCs w:val="22"/>
        </w:rPr>
        <w:t xml:space="preserve">Comment 11.</w:t>
      </w:r>
      <w:r>
        <w:rPr>
          <w:b/>
          <w:bCs/>
          <w:color w:val="1F3A5F"/>
          <w:sz w:val="26"/>
          <w:szCs w:val="26"/>
        </w:rPr>
        <w:t xml:space="preserve">  Resolve the audit cadence ambiguity</w:t>
      </w:r>
    </w:p>
    <w:p>
      <w:pPr>
        <w:keepNext/>
        <w:spacing w:after="160"/>
      </w:pPr>
      <w:r>
        <w:rPr>
          <w:b/>
          <w:bCs/>
          <w:color w:val="6B6B6B"/>
          <w:spacing w:val="30"/>
          <w:sz w:val="18"/>
          <w:szCs w:val="18"/>
        </w:rPr>
        <w:t xml:space="preserve">Plan reference  </w:t>
      </w:r>
      <w:r>
        <w:rPr>
          <w:i/>
          <w:iCs/>
          <w:color w:val="6B6B6B"/>
          <w:sz w:val="20"/>
          <w:szCs w:val="20"/>
        </w:rPr>
        <w:t xml:space="preserve">p. 12 (Routine Audits); p. 23 (Audits – Continued Compliance)</w:t>
      </w:r>
    </w:p>
    <w:p>
      <w:pPr>
        <w:spacing w:after="140" w:line="320"/>
        <w:jc w:val="both"/>
      </w:pPr>
      <w:r>
        <w:rPr>
          <w:b/>
          <w:bCs/>
          <w:sz w:val="22"/>
          <w:szCs w:val="22"/>
        </w:rPr>
        <w:t xml:space="preserve">What the plan says.  </w:t>
      </w:r>
      <w:r>
        <w:rPr>
          <w:sz w:val="22"/>
          <w:szCs w:val="22"/>
        </w:rPr>
        <w:t xml:space="preserve">Page 12 describes the audit cadence as “routine” and notes this changed from a previous “annual” requirement. Page 23 separately describes a biannual audit process for public-facing digital documents.</w:t>
      </w:r>
    </w:p>
    <w:p>
      <w:pPr>
        <w:spacing w:after="140" w:line="320"/>
        <w:jc w:val="both"/>
      </w:pPr>
      <w:r>
        <w:rPr>
          <w:b/>
          <w:bCs/>
          <w:sz w:val="22"/>
          <w:szCs w:val="22"/>
        </w:rPr>
        <w:t xml:space="preserve">Concern.  </w:t>
      </w:r>
      <w:r>
        <w:rPr>
          <w:sz w:val="22"/>
          <w:szCs w:val="22"/>
        </w:rPr>
        <w:t xml:space="preserve">Routine is less specific than annual, and the relationship between the page 12 routine audit and the page 23 biannual audit is not stated. Moving from a defined cadence to an undefined one is, in practice, a regression in oversight rigor regardless of intent.</w:t>
      </w:r>
    </w:p>
    <w:p>
      <w:pPr>
        <w:spacing w:after="200" w:line="320"/>
        <w:jc w:val="both"/>
      </w:pPr>
      <w:r>
        <w:rPr>
          <w:b/>
          <w:bCs/>
          <w:color w:val="1F3A5F"/>
          <w:sz w:val="22"/>
          <w:szCs w:val="22"/>
        </w:rPr>
        <w:t xml:space="preserve">Suggested revision.  </w:t>
      </w:r>
      <w:r>
        <w:rPr>
          <w:sz w:val="22"/>
          <w:szCs w:val="22"/>
        </w:rPr>
        <w:t xml:space="preserve">Adopt a single, named audit cadence and apply it consistently throughout the plan. If the intended cadence is biannual document audits plus quarterly progress reporting, say so plainly and remove the “routine” language from page 12.</w:t>
      </w:r>
    </w:p>
    <w:p>
      <w:pPr>
        <w:keepNext/>
        <w:spacing w:after="60" w:before="320"/>
      </w:pPr>
      <w:r>
        <w:rPr>
          <w:b/>
          <w:bCs/>
          <w:color w:val="C8A84B"/>
          <w:sz w:val="22"/>
          <w:szCs w:val="22"/>
        </w:rPr>
        <w:t xml:space="preserve">Comment 12.</w:t>
      </w:r>
      <w:r>
        <w:rPr>
          <w:b/>
          <w:bCs/>
          <w:color w:val="1F3A5F"/>
          <w:sz w:val="26"/>
          <w:szCs w:val="26"/>
        </w:rPr>
        <w:t xml:space="preserve">  Define a remedy for vendor non-compliance</w:t>
      </w:r>
    </w:p>
    <w:p>
      <w:pPr>
        <w:keepNext/>
        <w:spacing w:after="160"/>
      </w:pPr>
      <w:r>
        <w:rPr>
          <w:b/>
          <w:bCs/>
          <w:color w:val="6B6B6B"/>
          <w:spacing w:val="30"/>
          <w:sz w:val="18"/>
          <w:szCs w:val="18"/>
        </w:rPr>
        <w:t xml:space="preserve">Plan reference  </w:t>
      </w:r>
      <w:r>
        <w:rPr>
          <w:i/>
          <w:iCs/>
          <w:color w:val="6B6B6B"/>
          <w:sz w:val="20"/>
          <w:szCs w:val="20"/>
        </w:rPr>
        <w:t xml:space="preserve">pp. 33–36 (Procurement and Vendor Management); p. 6 (House Bill 25-1152)</w:t>
      </w:r>
    </w:p>
    <w:p>
      <w:pPr>
        <w:spacing w:after="140" w:line="320"/>
        <w:jc w:val="both"/>
      </w:pPr>
      <w:r>
        <w:rPr>
          <w:b/>
          <w:bCs/>
          <w:sz w:val="22"/>
          <w:szCs w:val="22"/>
        </w:rPr>
        <w:t xml:space="preserve">What the plan says.  </w:t>
      </w:r>
      <w:r>
        <w:rPr>
          <w:sz w:val="22"/>
          <w:szCs w:val="22"/>
        </w:rPr>
        <w:t xml:space="preserve">The plan describes the City's procurement language requiring vendors to remediate accessibility issues at no additional cost and to indemnify the City. It cites HB 25-1152, which makes vendors legally liable for accessibility failures in their products and services.</w:t>
      </w:r>
    </w:p>
    <w:p>
      <w:pPr>
        <w:spacing w:after="140" w:line="320"/>
        <w:jc w:val="both"/>
      </w:pPr>
      <w:r>
        <w:rPr>
          <w:b/>
          <w:bCs/>
          <w:sz w:val="22"/>
          <w:szCs w:val="22"/>
        </w:rPr>
        <w:t xml:space="preserve">Concern.  </w:t>
      </w:r>
      <w:r>
        <w:rPr>
          <w:sz w:val="22"/>
          <w:szCs w:val="22"/>
        </w:rPr>
        <w:t xml:space="preserve">If a vendor refuses to remediate, the plan does not describe what the City will do. Termination procedures, contract escalation paths, and replacement timelines are not specified. Liability without a defined remedy does not help a resident currently waiting on access to an inaccessible product.</w:t>
      </w:r>
    </w:p>
    <w:p>
      <w:pPr>
        <w:spacing w:after="200" w:line="320"/>
        <w:jc w:val="both"/>
      </w:pPr>
      <w:r>
        <w:rPr>
          <w:b/>
          <w:bCs/>
          <w:color w:val="1F3A5F"/>
          <w:sz w:val="22"/>
          <w:szCs w:val="22"/>
        </w:rPr>
        <w:t xml:space="preserve">Suggested revision.  </w:t>
      </w:r>
      <w:r>
        <w:rPr>
          <w:sz w:val="22"/>
          <w:szCs w:val="22"/>
        </w:rPr>
        <w:t xml:space="preserve">Add a vendor non-compliance remedy section describing escalation steps, the threshold and timeline for contract termination, and the interim accommodation the City will provide to residents while a non-compliant product is remediated or replaced.</w:t>
      </w:r>
    </w:p>
    <w:p>
      <w:pPr>
        <w:pStyle w:val="Heading1"/>
        <w:spacing w:after="160" w:before="360"/>
      </w:pPr>
      <w:r>
        <w:t xml:space="preserve">Closing</w:t>
      </w:r>
    </w:p>
    <w:p>
      <w:pPr>
        <w:spacing w:after="160" w:line="320"/>
        <w:jc w:val="both"/>
      </w:pPr>
      <w:r>
        <w:rPr>
          <w:sz w:val="22"/>
          <w:szCs w:val="22"/>
        </w:rPr>
        <w:t xml:space="preserve">Thank you for the opportunity to comment, and for the public posting of the draft. The transition plan reflects significant work; the revisions proposed above are intended to strengthen its enforceability and its alignment with the federal rule that takes effect on April 24, 2026. The submitter is available to clarify any of the items above on request.</w:t>
      </w:r>
    </w:p>
    <w:p>
      <w:pPr>
        <w:spacing w:after="160"/>
      </w:pPr>
      <w:r>
        <w:t xml:space="preserve"/>
      </w:r>
    </w:p>
    <w:p>
      <w:pPr>
        <w:pBdr>
          <w:bottom w:val="single" w:color="C8A84B" w:sz="6" w:space="4"/>
        </w:pBdr>
        <w:spacing w:after="200"/>
      </w:pPr>
      <w:r>
        <w:t xml:space="preserve"/>
      </w:r>
    </w:p>
    <w:p>
      <w:pPr>
        <w:jc w:val="center"/>
      </w:pPr>
      <w:r>
        <w:rPr>
          <w:i/>
          <w:iCs/>
          <w:color w:val="6B6B6B"/>
          <w:sz w:val="18"/>
          <w:szCs w:val="18"/>
        </w:rPr>
        <w:t xml:space="preserve">End of comment letter.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FEAE0" w:sz="4" w:space="4"/>
      </w:pBdr>
      <w:tabs>
        <w:tab w:val="right" w:pos="9026"/>
      </w:tabs>
    </w:pPr>
    <w:r>
      <w:rPr>
        <w:color w:val="6B6B6B"/>
        <w:sz w:val="18"/>
        <w:szCs w:val="18"/>
      </w:rPr>
      <w:t xml:space="preserve">Submitted May 6, 2026</w:t>
    </w:r>
    <w:r>
      <w:rPr>
        <w:color w:val="6B6B6B"/>
        <w:sz w:val="18"/>
        <w:szCs w:val="18"/>
      </w:rPr>
      <w:t xml:space="preserve">		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AE0" w:sz="4" w:space="4"/>
      </w:pBdr>
      <w:tabs>
        <w:tab w:val="right" w:pos="9026"/>
      </w:tabs>
    </w:pPr>
    <w:r>
      <w:rPr>
        <w:color w:val="6B6B6B"/>
        <w:sz w:val="18"/>
        <w:szCs w:val="18"/>
      </w:rPr>
      <w:t xml:space="preserve">Public Comment · Digital Accessibility Transition Plan (Draft, 2026)</w:t>
    </w:r>
    <w:r>
      <w:rPr>
        <w:color w:val="6B6B6B"/>
        <w:sz w:val="18"/>
        <w:szCs w:val="18"/>
      </w:rPr>
      <w:t xml:space="preserve">		City of Colorado Springs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84B" w:sz="6" w:space="4"/>
      </w:pBdr>
      <w:spacing w:after="20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Comment on the City of Colorado Springs Digital Accessibility Transition Plan (Draft, 2026)</dc:title>
  <dc:creator>Public Comment</dc:creator>
  <dc:description>Twelve structured comments addressing the 2026 draft Digital Accessibility Transition Plan</dc:description>
  <cp:lastModifiedBy>Un-named</cp:lastModifiedBy>
  <cp:revision>1</cp:revision>
  <dcterms:created xsi:type="dcterms:W3CDTF">2026-05-06T18:51:49.016Z</dcterms:created>
  <dcterms:modified xsi:type="dcterms:W3CDTF">2026-05-06T18:51:49.033Z</dcterms:modified>
</cp:coreProperties>
</file>

<file path=docProps/custom.xml><?xml version="1.0" encoding="utf-8"?>
<Properties xmlns="http://schemas.openxmlformats.org/officeDocument/2006/custom-properties" xmlns:vt="http://schemas.openxmlformats.org/officeDocument/2006/docPropsVTypes"/>
</file>