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A8421A"/>
          <w:spacing w:val="40"/>
          <w:sz w:val="22"/>
          <w:szCs w:val="22"/>
        </w:rPr>
        <w:t xml:space="preserve">WEB ACCESSIBILITY AUDIT</w:t>
      </w:r>
    </w:p>
    <w:p>
      <w:pPr>
        <w:spacing w:after="100" w:before="0"/>
        <w:jc w:val="left"/>
      </w:pPr>
      <w:r>
        <w:rPr>
          <w:rFonts w:ascii="Arial" w:cs="Arial" w:eastAsia="Arial" w:hAnsi="Arial"/>
          <w:b/>
          <w:bCs/>
          <w:color w:val="1A1D1A"/>
          <w:sz w:val="48"/>
          <w:szCs w:val="48"/>
        </w:rPr>
        <w:t xml:space="preserve">City of Colorado Springs</w:t>
      </w:r>
    </w:p>
    <w:p>
      <w:pPr>
        <w:spacing w:after="240" w:before="0"/>
        <w:jc w:val="left"/>
      </w:pPr>
      <w:r>
        <w:rPr>
          <w:rFonts w:ascii="Arial" w:cs="Arial" w:eastAsia="Arial" w:hAnsi="Arial"/>
          <w:i/>
          <w:iCs/>
          <w:color w:val="3A4039"/>
          <w:sz w:val="28"/>
          <w:szCs w:val="28"/>
        </w:rPr>
        <w:t xml:space="preserve">Community Resources List page</w:t>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Page audited</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coloradosprings.gov/document/community-resources-list</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Audit date</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May 7, 2026</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Standard</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WCAG 2.1 Level AA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Legal framework</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ADA Title II — 28 CFR Part 35, Subpart H</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Compliance deadline</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April 26, 2027 (extended from April 24, 2026 by DOJ Interim Final Rule, April 20, 2026)</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Methodology</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Manual code and behavior review</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Findings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10 (1 Critical · 3 High · 4 Medium · 2 Low)</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Status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Non-conforming — remediation required before deadline</w:t>
            </w:r>
          </w:p>
        </w:tc>
      </w:tr>
    </w:tbl>
    <w:p>
      <w:pPr>
        <w:spacing w:after="220" w:before="0"/>
      </w:pPr>
      <w:r>
        <w:t xml:space="preserve"/>
      </w:r>
    </w:p>
    <w:p>
      <w:pPr>
        <w:pStyle w:val="Heading1"/>
        <w:spacing w:after="160" w:before="360"/>
      </w:pPr>
      <w:r>
        <w:rPr>
          <w:rFonts w:ascii="Arial" w:cs="Arial" w:eastAsia="Arial" w:hAnsi="Arial"/>
          <w:b/>
          <w:bCs/>
          <w:color w:val="1F4731"/>
          <w:sz w:val="32"/>
          <w:szCs w:val="32"/>
        </w:rPr>
        <w:t xml:space="preserve">Executive Summary</w:t>
      </w:r>
    </w:p>
    <w:p>
      <w:pPr>
        <w:spacing w:after="80" w:before="80" w:line="300"/>
      </w:pPr>
      <w:r>
        <w:rPr>
          <w:rFonts w:ascii="Arial" w:cs="Arial" w:eastAsia="Arial" w:hAnsi="Arial"/>
          <w:sz w:val="22"/>
          <w:szCs w:val="22"/>
        </w:rPr>
        <w:t xml:space="preserve">This audit reviews the City of Colorado Springs Community Resources List page against the Web Content Accessibility Guidelines (WCAG) 2.1 Level AA — the technical standard the U.S. Department of Justice has adopted for state and local government websites under Title II of the Americans with Disabilities Act.</w:t>
      </w:r>
    </w:p>
    <w:p>
      <w:pPr>
        <w:spacing w:after="80" w:before="80" w:line="300"/>
      </w:pPr>
      <w:r>
        <w:rPr>
          <w:rFonts w:ascii="Arial" w:cs="Arial" w:eastAsia="Arial" w:hAnsi="Arial"/>
          <w:sz w:val="22"/>
          <w:szCs w:val="22"/>
        </w:rPr>
        <w:t xml:space="preserve">Ten findings were identified. The most consequential is structural: the page's primary content — the Community Resources List itself — is delivered exclusively through an embedded image-based PDF with no accessible HTML alternative. Screen reader users, keyboard-only users, and users relying on text reflow cannot meaningfully access the resource information. For a directory whose audience explicitly includes disabled residents, low-income residents, and residents in crisis, this constitutes a categorical access barrier rather than a technical defect.</w:t>
      </w:r>
    </w:p>
    <w:p>
      <w:pPr>
        <w:spacing w:after="80" w:before="80" w:line="300"/>
      </w:pPr>
      <w:r>
        <w:rPr>
          <w:rFonts w:ascii="Arial" w:cs="Arial" w:eastAsia="Arial" w:hAnsi="Arial"/>
          <w:sz w:val="22"/>
          <w:szCs w:val="22"/>
        </w:rPr>
        <w:t xml:space="preserve">Three additional High-severity findings concern the search modal implementation (interactive elements remaining keyboard-reachable inside an aria-hidden container, missing aria-modal, missing accessible name) and a misleading H1 that announces "Document Viewer" rather than the page's subject. Four Medium and two Low findings cover skip-link visibility, navigation landmark labels, carousel control semantics, logo link names, and form attribute completeness.</w:t>
      </w:r>
    </w:p>
    <w:p>
      <w:pPr>
        <w:spacing w:after="80" w:before="80" w:line="300"/>
      </w:pPr>
      <w:r>
        <w:rPr>
          <w:rFonts w:ascii="Arial" w:cs="Arial" w:eastAsia="Arial" w:hAnsi="Arial"/>
          <w:sz w:val="22"/>
          <w:szCs w:val="22"/>
        </w:rPr>
        <w:t xml:space="preserve">On April 20, 2026, the DOJ extended the Title II compliance deadline by twelve months. For Colorado Springs (population approximately 480,000, in the 50,000+ tier), the new deadline is April 26, 2027 — leaving roughly twelve months from the date of this audit. The original April 24, 2026 deadline has already passed; the extension provides remediation runway, not a pause on the underlying obligation.</w:t>
      </w:r>
    </w:p>
    <w:p>
      <w:pPr>
        <w:spacing w:after="80" w:before="80" w:line="300"/>
      </w:pPr>
      <w:r>
        <w:rPr>
          <w:rFonts w:ascii="Arial" w:cs="Arial" w:eastAsia="Arial" w:hAnsi="Arial"/>
          <w:sz w:val="22"/>
          <w:szCs w:val="22"/>
        </w:rPr>
        <w:t xml:space="preserve">The recommended path is to replace the PDF-only delivery with a structured HTML index (an accessible prototype has been produced under separate cover demonstrating one viable approach), and to address the High-severity HTML findings within ninety days. The Medium and Low items can be batched into a subsequent remediation cycle but should be complete well before the April 2027 deadline.</w:t>
      </w:r>
    </w:p>
    <w:p>
      <w:pPr>
        <w:spacing w:after="160" w:before="0"/>
      </w:pPr>
      <w:r>
        <w:t xml:space="preserve"/>
      </w:r>
    </w:p>
    <w:p>
      <w:pPr>
        <w:pStyle w:val="Heading1"/>
        <w:spacing w:after="160" w:before="360"/>
      </w:pPr>
      <w:r>
        <w:rPr>
          <w:rFonts w:ascii="Arial" w:cs="Arial" w:eastAsia="Arial" w:hAnsi="Arial"/>
          <w:b/>
          <w:bCs/>
          <w:color w:val="1F4731"/>
          <w:sz w:val="32"/>
          <w:szCs w:val="32"/>
        </w:rPr>
        <w:t xml:space="preserve">Compliance Context</w:t>
      </w:r>
    </w:p>
    <w:p>
      <w:pPr>
        <w:spacing w:after="80" w:before="80" w:line="300"/>
      </w:pPr>
      <w:r>
        <w:rPr>
          <w:rFonts w:ascii="Arial" w:cs="Arial" w:eastAsia="Arial" w:hAnsi="Arial"/>
          <w:sz w:val="22"/>
          <w:szCs w:val="22"/>
        </w:rPr>
        <w:t xml:space="preserve">On April 24, 2024, the DOJ published a final rule under ADA Title II requiring state and local government entities to ensure that their web content and mobile applications meet WCAG 2.1 Level AA. The original compliance dates were tiered by population: April 24, 2026 for entities with a total population of 50,000 or more, and April 26, 2027 for smaller entities and special districts.</w:t>
      </w:r>
    </w:p>
    <w:p>
      <w:pPr>
        <w:spacing w:after="80" w:before="80" w:line="300"/>
      </w:pPr>
      <w:r>
        <w:rPr>
          <w:rFonts w:ascii="Arial" w:cs="Arial" w:eastAsia="Arial" w:hAnsi="Arial"/>
          <w:sz w:val="22"/>
          <w:szCs w:val="22"/>
        </w:rPr>
        <w:t xml:space="preserve">On April 20, 2026, the DOJ issued an Interim Final Rule extending both deadlines by approximately twelve months. The new dates are April 26, 2027 for the larger-entity tier and April 26, 2028 for the smaller-entity and special-district tier. The substantive requirements were not changed — WCAG 2.1 Level AA remains the technical standard.</w:t>
      </w:r>
    </w:p>
    <w:p>
      <w:pPr>
        <w:spacing w:after="80" w:before="80" w:line="300"/>
      </w:pPr>
      <w:r>
        <w:rPr>
          <w:rFonts w:ascii="Arial" w:cs="Arial" w:eastAsia="Arial" w:hAnsi="Arial"/>
          <w:sz w:val="22"/>
          <w:szCs w:val="22"/>
        </w:rPr>
        <w:t xml:space="preserve">The City of Colorado Springs (estimated population approximately 480,000) is in the larger-entity tier and is therefore subject to the April 26, 2027 deadline. As of the audit date, approximately twelve months remain. The DOJ has stated that it fully anticipates implementing the regulation at the new deadline absent further changes; planning should assume the date holds.</w:t>
      </w:r>
    </w:p>
    <w:p>
      <w:pPr>
        <w:spacing w:after="80" w:before="80" w:line="300"/>
      </w:pPr>
      <w:r>
        <w:rPr>
          <w:rFonts w:ascii="Arial" w:cs="Arial" w:eastAsia="Arial" w:hAnsi="Arial"/>
          <w:sz w:val="22"/>
          <w:szCs w:val="22"/>
        </w:rPr>
        <w:t xml:space="preserve">Independent of the rule's compliance dates, public entities have continuing obligations under the ADA to ensure that services, programs, and activities offered through web content are accessible to individuals with disabilities. The deadline extension does not relieve any current obligation; it adjusts the date by which conformance with the WCAG 2.1 AA technical standard must be achieved.</w:t>
      </w:r>
    </w:p>
    <w:p>
      <w:pPr>
        <w:spacing w:after="160" w:before="0"/>
      </w:pPr>
      <w:r>
        <w:t xml:space="preserve"/>
      </w:r>
    </w:p>
    <w:p>
      <w:pPr>
        <w:pStyle w:val="Heading1"/>
        <w:spacing w:after="160" w:before="360"/>
      </w:pPr>
      <w:r>
        <w:rPr>
          <w:rFonts w:ascii="Arial" w:cs="Arial" w:eastAsia="Arial" w:hAnsi="Arial"/>
          <w:b/>
          <w:bCs/>
          <w:color w:val="1F4731"/>
          <w:sz w:val="32"/>
          <w:szCs w:val="32"/>
        </w:rPr>
        <w:t xml:space="preserve">Scope and Methodology</w:t>
      </w:r>
    </w:p>
    <w:p>
      <w:pPr>
        <w:pStyle w:val="Heading2"/>
        <w:spacing w:after="120" w:before="280"/>
      </w:pPr>
      <w:r>
        <w:rPr>
          <w:rFonts w:ascii="Arial" w:cs="Arial" w:eastAsia="Arial" w:hAnsi="Arial"/>
          <w:b/>
          <w:bCs/>
          <w:color w:val="1F4731"/>
          <w:sz w:val="26"/>
          <w:szCs w:val="26"/>
        </w:rPr>
        <w:t xml:space="preserve">Scope</w:t>
      </w:r>
    </w:p>
    <w:p>
      <w:pPr>
        <w:spacing w:after="80" w:before="80" w:line="300"/>
      </w:pPr>
      <w:r>
        <w:rPr>
          <w:rFonts w:ascii="Arial" w:cs="Arial" w:eastAsia="Arial" w:hAnsi="Arial"/>
          <w:sz w:val="22"/>
          <w:szCs w:val="22"/>
        </w:rPr>
        <w:t xml:space="preserve">This audit examined a single page: coloradosprings.gov/document/community-resources-list. The audit covered the rendered HTML, ARIA attribute usage, keyboard interaction patterns, and the overall content delivery model (the embedded PDF).</w:t>
      </w:r>
    </w:p>
    <w:p>
      <w:pPr>
        <w:spacing w:after="80" w:before="80" w:line="300"/>
      </w:pPr>
      <w:r>
        <w:rPr>
          <w:rFonts w:ascii="Arial" w:cs="Arial" w:eastAsia="Arial" w:hAnsi="Arial"/>
          <w:sz w:val="22"/>
          <w:szCs w:val="22"/>
        </w:rPr>
        <w:t xml:space="preserve">Out of scope:</w:t>
      </w:r>
    </w:p>
    <w:p>
      <w:pPr>
        <w:pStyle w:val="ListParagraph"/>
        <w:numPr>
          <w:ilvl w:val="0"/>
          <w:numId w:val="2"/>
        </w:numPr>
        <w:spacing w:after="40" w:before="40" w:line="300"/>
      </w:pPr>
      <w:r>
        <w:rPr>
          <w:rFonts w:ascii="Arial" w:cs="Arial" w:eastAsia="Arial" w:hAnsi="Arial"/>
          <w:sz w:val="22"/>
          <w:szCs w:val="22"/>
        </w:rPr>
        <w:t xml:space="preserve">The substantive content of the embedded PDF document itself. The PDF should be the subject of a separate document-accessibility audit that includes tagging, OCR, and reading-order verification.</w:t>
      </w:r>
    </w:p>
    <w:p>
      <w:pPr>
        <w:pStyle w:val="ListParagraph"/>
        <w:numPr>
          <w:ilvl w:val="0"/>
          <w:numId w:val="2"/>
        </w:numPr>
        <w:spacing w:after="40" w:before="40" w:line="300"/>
      </w:pPr>
      <w:r>
        <w:rPr>
          <w:rFonts w:ascii="Arial" w:cs="Arial" w:eastAsia="Arial" w:hAnsi="Arial"/>
          <w:sz w:val="22"/>
          <w:szCs w:val="22"/>
        </w:rPr>
        <w:t xml:space="preserve">Other pages on coloradosprings.gov. This audit cannot be assumed representative of the site as a whole; high-traffic and resident-services pages should be audited separately.</w:t>
      </w:r>
    </w:p>
    <w:p>
      <w:pPr>
        <w:pStyle w:val="ListParagraph"/>
        <w:numPr>
          <w:ilvl w:val="0"/>
          <w:numId w:val="2"/>
        </w:numPr>
        <w:spacing w:after="40" w:before="40" w:line="300"/>
      </w:pPr>
      <w:r>
        <w:rPr>
          <w:rFonts w:ascii="Arial" w:cs="Arial" w:eastAsia="Arial" w:hAnsi="Arial"/>
          <w:sz w:val="22"/>
          <w:szCs w:val="22"/>
        </w:rPr>
        <w:t xml:space="preserve">Backend systems, content management workflows, and editorial processes.</w:t>
      </w:r>
    </w:p>
    <w:p>
      <w:pPr>
        <w:pStyle w:val="ListParagraph"/>
        <w:numPr>
          <w:ilvl w:val="0"/>
          <w:numId w:val="2"/>
        </w:numPr>
        <w:spacing w:after="40" w:before="40" w:line="300"/>
      </w:pPr>
      <w:r>
        <w:rPr>
          <w:rFonts w:ascii="Arial" w:cs="Arial" w:eastAsia="Arial" w:hAnsi="Arial"/>
          <w:sz w:val="22"/>
          <w:szCs w:val="22"/>
        </w:rPr>
        <w:t xml:space="preserve">Mobile applications operated by the City.</w:t>
      </w:r>
    </w:p>
    <w:p>
      <w:pPr>
        <w:pStyle w:val="ListParagraph"/>
        <w:numPr>
          <w:ilvl w:val="0"/>
          <w:numId w:val="2"/>
        </w:numPr>
        <w:spacing w:after="40" w:before="40" w:line="300"/>
      </w:pPr>
      <w:r>
        <w:rPr>
          <w:rFonts w:ascii="Arial" w:cs="Arial" w:eastAsia="Arial" w:hAnsi="Arial"/>
          <w:sz w:val="22"/>
          <w:szCs w:val="22"/>
        </w:rPr>
        <w:t xml:space="preserve">Third-party tools embedded in the site (e.g., the translation widget vendor's own conformance).</w:t>
      </w:r>
    </w:p>
    <w:p>
      <w:pPr>
        <w:pStyle w:val="Heading2"/>
        <w:spacing w:after="120" w:before="280"/>
      </w:pPr>
      <w:r>
        <w:rPr>
          <w:rFonts w:ascii="Arial" w:cs="Arial" w:eastAsia="Arial" w:hAnsi="Arial"/>
          <w:b/>
          <w:bCs/>
          <w:color w:val="1F4731"/>
          <w:sz w:val="26"/>
          <w:szCs w:val="26"/>
        </w:rPr>
        <w:t xml:space="preserve">Methodology</w:t>
      </w:r>
    </w:p>
    <w:p>
      <w:pPr>
        <w:spacing w:after="80" w:before="80" w:line="300"/>
      </w:pPr>
      <w:r>
        <w:rPr>
          <w:rFonts w:ascii="Arial" w:cs="Arial" w:eastAsia="Arial" w:hAnsi="Arial"/>
          <w:sz w:val="22"/>
          <w:szCs w:val="22"/>
        </w:rPr>
        <w:t xml:space="preserve">This audit was conducted through manual review of the page's HTML source, ARIA attribute usage, and rendered behavior, evaluated against the success criteria of WCAG 2.1 Level AA. Each identified issue is mapped to one or more specific WCAG criteria.</w:t>
      </w:r>
    </w:p>
    <w:p>
      <w:pPr>
        <w:spacing w:after="80" w:before="80" w:line="300"/>
      </w:pPr>
      <w:r>
        <w:rPr>
          <w:rFonts w:ascii="Arial" w:cs="Arial" w:eastAsia="Arial" w:hAnsi="Arial"/>
          <w:sz w:val="22"/>
          <w:szCs w:val="22"/>
        </w:rPr>
        <w:t xml:space="preserve">Methods used:</w:t>
      </w:r>
    </w:p>
    <w:p>
      <w:pPr>
        <w:pStyle w:val="ListParagraph"/>
        <w:numPr>
          <w:ilvl w:val="0"/>
          <w:numId w:val="2"/>
        </w:numPr>
        <w:spacing w:after="40" w:before="40" w:line="300"/>
      </w:pPr>
      <w:r>
        <w:rPr>
          <w:rFonts w:ascii="Arial" w:cs="Arial" w:eastAsia="Arial" w:hAnsi="Arial"/>
          <w:sz w:val="22"/>
          <w:szCs w:val="22"/>
        </w:rPr>
        <w:t xml:space="preserve">Manual HTML and ARIA code review</w:t>
      </w:r>
    </w:p>
    <w:p>
      <w:pPr>
        <w:pStyle w:val="ListParagraph"/>
        <w:numPr>
          <w:ilvl w:val="0"/>
          <w:numId w:val="2"/>
        </w:numPr>
        <w:spacing w:after="40" w:before="40" w:line="300"/>
      </w:pPr>
      <w:r>
        <w:rPr>
          <w:rFonts w:ascii="Arial" w:cs="Arial" w:eastAsia="Arial" w:hAnsi="Arial"/>
          <w:sz w:val="22"/>
          <w:szCs w:val="22"/>
        </w:rPr>
        <w:t xml:space="preserve">Heading-structure traversal</w:t>
      </w:r>
    </w:p>
    <w:p>
      <w:pPr>
        <w:pStyle w:val="ListParagraph"/>
        <w:numPr>
          <w:ilvl w:val="0"/>
          <w:numId w:val="2"/>
        </w:numPr>
        <w:spacing w:after="40" w:before="40" w:line="300"/>
      </w:pPr>
      <w:r>
        <w:rPr>
          <w:rFonts w:ascii="Arial" w:cs="Arial" w:eastAsia="Arial" w:hAnsi="Arial"/>
          <w:sz w:val="22"/>
          <w:szCs w:val="22"/>
        </w:rPr>
        <w:t xml:space="preserve">Landmark inventory</w:t>
      </w:r>
    </w:p>
    <w:p>
      <w:pPr>
        <w:pStyle w:val="ListParagraph"/>
        <w:numPr>
          <w:ilvl w:val="0"/>
          <w:numId w:val="2"/>
        </w:numPr>
        <w:spacing w:after="40" w:before="40" w:line="300"/>
      </w:pPr>
      <w:r>
        <w:rPr>
          <w:rFonts w:ascii="Arial" w:cs="Arial" w:eastAsia="Arial" w:hAnsi="Arial"/>
          <w:sz w:val="22"/>
          <w:szCs w:val="22"/>
        </w:rPr>
        <w:t xml:space="preserve">Form-field labeling review</w:t>
      </w:r>
    </w:p>
    <w:p>
      <w:pPr>
        <w:pStyle w:val="ListParagraph"/>
        <w:numPr>
          <w:ilvl w:val="0"/>
          <w:numId w:val="2"/>
        </w:numPr>
        <w:spacing w:after="40" w:before="40" w:line="300"/>
      </w:pPr>
      <w:r>
        <w:rPr>
          <w:rFonts w:ascii="Arial" w:cs="Arial" w:eastAsia="Arial" w:hAnsi="Arial"/>
          <w:sz w:val="22"/>
          <w:szCs w:val="22"/>
        </w:rPr>
        <w:t xml:space="preserve">Modal-dialog pattern review</w:t>
      </w:r>
    </w:p>
    <w:p>
      <w:pPr>
        <w:pStyle w:val="ListParagraph"/>
        <w:numPr>
          <w:ilvl w:val="0"/>
          <w:numId w:val="2"/>
        </w:numPr>
        <w:spacing w:after="40" w:before="40" w:line="300"/>
      </w:pPr>
      <w:r>
        <w:rPr>
          <w:rFonts w:ascii="Arial" w:cs="Arial" w:eastAsia="Arial" w:hAnsi="Arial"/>
          <w:sz w:val="22"/>
          <w:szCs w:val="22"/>
        </w:rPr>
        <w:t xml:space="preserve">Skip-link verification</w:t>
      </w:r>
    </w:p>
    <w:p>
      <w:pPr>
        <w:pStyle w:val="Heading2"/>
        <w:spacing w:after="120" w:before="280"/>
      </w:pPr>
      <w:r>
        <w:rPr>
          <w:rFonts w:ascii="Arial" w:cs="Arial" w:eastAsia="Arial" w:hAnsi="Arial"/>
          <w:b/>
          <w:bCs/>
          <w:color w:val="1F4731"/>
          <w:sz w:val="26"/>
          <w:szCs w:val="26"/>
        </w:rPr>
        <w:t xml:space="preserve">Methods not used (and recommended for follow-up)</w:t>
      </w:r>
    </w:p>
    <w:p>
      <w:pPr>
        <w:spacing w:after="80" w:before="80" w:line="300"/>
      </w:pPr>
      <w:r>
        <w:rPr>
          <w:rFonts w:ascii="Arial" w:cs="Arial" w:eastAsia="Arial" w:hAnsi="Arial"/>
          <w:sz w:val="22"/>
          <w:szCs w:val="22"/>
        </w:rPr>
        <w:t xml:space="preserve">This audit relied on manual inspection. The following methods were not performed and are recommended to complete a defensible compliance posture:</w:t>
      </w:r>
    </w:p>
    <w:p>
      <w:pPr>
        <w:pStyle w:val="ListParagraph"/>
        <w:numPr>
          <w:ilvl w:val="0"/>
          <w:numId w:val="2"/>
        </w:numPr>
        <w:spacing w:after="40" w:before="40" w:line="300"/>
      </w:pPr>
      <w:r>
        <w:rPr>
          <w:rFonts w:ascii="Arial" w:cs="Arial" w:eastAsia="Arial" w:hAnsi="Arial"/>
          <w:sz w:val="22"/>
          <w:szCs w:val="22"/>
        </w:rPr>
        <w:t xml:space="preserve">Automated scanning with axe DevTools, WAVE, or Lighthouse — useful for catching the 30–40 percent of issues that automated tools can detect.</w:t>
      </w:r>
    </w:p>
    <w:p>
      <w:pPr>
        <w:pStyle w:val="ListParagraph"/>
        <w:numPr>
          <w:ilvl w:val="0"/>
          <w:numId w:val="2"/>
        </w:numPr>
        <w:spacing w:after="40" w:before="40" w:line="300"/>
      </w:pPr>
      <w:r>
        <w:rPr>
          <w:rFonts w:ascii="Arial" w:cs="Arial" w:eastAsia="Arial" w:hAnsi="Arial"/>
          <w:sz w:val="22"/>
          <w:szCs w:val="22"/>
        </w:rPr>
        <w:t xml:space="preserve">Color-contrast measurement against WCAG 1.4.3 (AA) thresholds (4.5:1 for normal text, 3:1 for large text and UI components).</w:t>
      </w:r>
    </w:p>
    <w:p>
      <w:pPr>
        <w:pStyle w:val="ListParagraph"/>
        <w:numPr>
          <w:ilvl w:val="0"/>
          <w:numId w:val="2"/>
        </w:numPr>
        <w:spacing w:after="40" w:before="40" w:line="300"/>
      </w:pPr>
      <w:r>
        <w:rPr>
          <w:rFonts w:ascii="Arial" w:cs="Arial" w:eastAsia="Arial" w:hAnsi="Arial"/>
          <w:sz w:val="22"/>
          <w:szCs w:val="22"/>
        </w:rPr>
        <w:t xml:space="preserve">Screen-reader testing with NVDA, JAWS, and VoiceOver across multiple browser combinations.</w:t>
      </w:r>
    </w:p>
    <w:p>
      <w:pPr>
        <w:pStyle w:val="ListParagraph"/>
        <w:numPr>
          <w:ilvl w:val="0"/>
          <w:numId w:val="2"/>
        </w:numPr>
        <w:spacing w:after="40" w:before="40" w:line="300"/>
      </w:pPr>
      <w:r>
        <w:rPr>
          <w:rFonts w:ascii="Arial" w:cs="Arial" w:eastAsia="Arial" w:hAnsi="Arial"/>
          <w:sz w:val="22"/>
          <w:szCs w:val="22"/>
        </w:rPr>
        <w:t xml:space="preserve">Keyboard-only walkthrough of all interactive components.</w:t>
      </w:r>
    </w:p>
    <w:p>
      <w:pPr>
        <w:pStyle w:val="ListParagraph"/>
        <w:numPr>
          <w:ilvl w:val="0"/>
          <w:numId w:val="2"/>
        </w:numPr>
        <w:spacing w:after="40" w:before="40" w:line="300"/>
      </w:pPr>
      <w:r>
        <w:rPr>
          <w:rFonts w:ascii="Arial" w:cs="Arial" w:eastAsia="Arial" w:hAnsi="Arial"/>
          <w:sz w:val="22"/>
          <w:szCs w:val="22"/>
        </w:rPr>
        <w:t xml:space="preserve">Testing with users who have disabilities. The Department of Justice and accepted accessibility practice consider end-user testing essential because automated tools and code review cannot evaluate whether a page is meaningfully usable in context.</w:t>
      </w:r>
    </w:p>
    <w:p>
      <w:pPr>
        <w:pStyle w:val="ListParagraph"/>
        <w:numPr>
          <w:ilvl w:val="0"/>
          <w:numId w:val="2"/>
        </w:numPr>
        <w:spacing w:after="40" w:before="40" w:line="300"/>
      </w:pPr>
      <w:r>
        <w:rPr>
          <w:rFonts w:ascii="Arial" w:cs="Arial" w:eastAsia="Arial" w:hAnsi="Arial"/>
          <w:sz w:val="22"/>
          <w:szCs w:val="22"/>
        </w:rPr>
        <w:t xml:space="preserve">Mobile device testing with TalkBack (Android) and VoiceOver (iOS).</w:t>
      </w:r>
    </w:p>
    <w:p>
      <w:pPr>
        <w:pStyle w:val="ListParagraph"/>
        <w:numPr>
          <w:ilvl w:val="0"/>
          <w:numId w:val="2"/>
        </w:numPr>
        <w:spacing w:after="40" w:before="40" w:line="300"/>
      </w:pPr>
      <w:r>
        <w:rPr>
          <w:rFonts w:ascii="Arial" w:cs="Arial" w:eastAsia="Arial" w:hAnsi="Arial"/>
          <w:sz w:val="22"/>
          <w:szCs w:val="22"/>
        </w:rPr>
        <w:t xml:space="preserve">Testing of the page's behavior at 200 percent and 400 percent zoom (WCAG 1.4.4 and 1.4.10).</w:t>
      </w:r>
    </w:p>
    <w:p>
      <w:pPr>
        <w:spacing w:after="160" w:before="0"/>
      </w:pPr>
      <w:r>
        <w:t xml:space="preserve"/>
      </w:r>
    </w:p>
    <w:p>
      <w:pPr>
        <w:pStyle w:val="Heading1"/>
        <w:spacing w:after="160" w:before="360"/>
      </w:pPr>
      <w:r>
        <w:rPr>
          <w:rFonts w:ascii="Arial" w:cs="Arial" w:eastAsia="Arial" w:hAnsi="Arial"/>
          <w:b/>
          <w:bCs/>
          <w:color w:val="1F4731"/>
          <w:sz w:val="32"/>
          <w:szCs w:val="32"/>
        </w:rPr>
        <w:t xml:space="preserve">Findings Summary</w:t>
      </w:r>
    </w:p>
    <w:p>
      <w:pPr>
        <w:spacing w:after="80" w:before="80" w:line="300"/>
      </w:pPr>
      <w:r>
        <w:rPr>
          <w:rFonts w:ascii="Arial" w:cs="Arial" w:eastAsia="Arial" w:hAnsi="Arial"/>
          <w:sz w:val="22"/>
          <w:szCs w:val="22"/>
        </w:rPr>
        <w:t xml:space="preserve">The table below lists all findings identified in this audit. Detailed entries follow.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960"/>
        <w:gridCol w:w="1800"/>
        <w:gridCol w:w="1800"/>
      </w:tblGrid>
      <w:tr>
        <w:trPr>
          <w:tblHeader/>
        </w:trPr>
        <w:tc>
          <w:tcPr>
            <w:tcW w:type="dxa" w:w="80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ID</w:t>
            </w:r>
          </w:p>
        </w:tc>
        <w:tc>
          <w:tcPr>
            <w:tcW w:type="dxa" w:w="496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Finding</w:t>
            </w:r>
          </w:p>
        </w:tc>
        <w:tc>
          <w:tcPr>
            <w:tcW w:type="dxa" w:w="180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WCAG 2.1</w:t>
            </w:r>
          </w:p>
        </w:tc>
        <w:tc>
          <w:tcPr>
            <w:tcW w:type="dxa" w:w="180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Severity</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F-01</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Primary content delivered as inaccessible PDF</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1.1.1, 1.3.1, 2.1.1</w:t>
            </w:r>
          </w:p>
        </w:tc>
        <w:tc>
          <w:tcPr>
            <w:tcW w:type="dxa" w:w="1800"/>
            <w:tcBorders>
              <w:top w:val="single" w:color="D9D0BB" w:sz="4"/>
              <w:left w:val="single" w:color="D9D0BB" w:sz="4"/>
              <w:bottom w:val="single" w:color="D9D0BB" w:sz="4"/>
              <w:right w:val="single" w:color="D9D0BB" w:sz="4"/>
            </w:tcBorders>
            <w:shd w:fill="FBE8E3" w:val="clear"/>
            <w:tcMar>
              <w:top w:type="dxa" w:w="60"/>
              <w:left w:type="dxa" w:w="120"/>
              <w:bottom w:type="dxa" w:w="60"/>
              <w:right w:type="dxa" w:w="120"/>
            </w:tcMar>
            <w:vAlign w:val="center"/>
          </w:tcPr>
          <w:p>
            <w:pPr>
              <w:jc w:val="center"/>
            </w:pPr>
            <w:r>
              <w:rPr>
                <w:rFonts w:ascii="Arial" w:cs="Arial" w:eastAsia="Arial" w:hAnsi="Arial"/>
                <w:b/>
                <w:bCs/>
                <w:color w:val="7A1A1A"/>
                <w:sz w:val="18"/>
                <w:szCs w:val="18"/>
              </w:rPr>
              <w:t xml:space="preserve">CRITICAL</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F-02</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Page H1 reads "Document Viewer" rather than page subject</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2.4.6</w:t>
            </w:r>
          </w:p>
        </w:tc>
        <w:tc>
          <w:tcPr>
            <w:tcW w:type="dxa" w:w="1800"/>
            <w:tcBorders>
              <w:top w:val="single" w:color="D9D0BB" w:sz="4"/>
              <w:left w:val="single" w:color="D9D0BB" w:sz="4"/>
              <w:bottom w:val="single" w:color="D9D0BB" w:sz="4"/>
              <w:right w:val="single" w:color="D9D0BB" w:sz="4"/>
            </w:tcBorders>
            <w:shd w:fill="FCE4D6" w:val="clear"/>
            <w:tcMar>
              <w:top w:type="dxa" w:w="60"/>
              <w:left w:type="dxa" w:w="120"/>
              <w:bottom w:type="dxa" w:w="60"/>
              <w:right w:type="dxa" w:w="120"/>
            </w:tcMar>
            <w:vAlign w:val="center"/>
          </w:tcPr>
          <w:p>
            <w:pPr>
              <w:jc w:val="center"/>
            </w:pPr>
            <w:r>
              <w:rPr>
                <w:rFonts w:ascii="Arial" w:cs="Arial" w:eastAsia="Arial" w:hAnsi="Arial"/>
                <w:b/>
                <w:bCs/>
                <w:color w:val="8B3A0E"/>
                <w:sz w:val="18"/>
                <w:szCs w:val="18"/>
              </w:rPr>
              <w:t xml:space="preserve">HIGH</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F-03</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Interactive elements rendered inside an aria-hidden container</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4.1.2, 2.1.1</w:t>
            </w:r>
          </w:p>
        </w:tc>
        <w:tc>
          <w:tcPr>
            <w:tcW w:type="dxa" w:w="1800"/>
            <w:tcBorders>
              <w:top w:val="single" w:color="D9D0BB" w:sz="4"/>
              <w:left w:val="single" w:color="D9D0BB" w:sz="4"/>
              <w:bottom w:val="single" w:color="D9D0BB" w:sz="4"/>
              <w:right w:val="single" w:color="D9D0BB" w:sz="4"/>
            </w:tcBorders>
            <w:shd w:fill="FCE4D6" w:val="clear"/>
            <w:tcMar>
              <w:top w:type="dxa" w:w="60"/>
              <w:left w:type="dxa" w:w="120"/>
              <w:bottom w:type="dxa" w:w="60"/>
              <w:right w:type="dxa" w:w="120"/>
            </w:tcMar>
            <w:vAlign w:val="center"/>
          </w:tcPr>
          <w:p>
            <w:pPr>
              <w:jc w:val="center"/>
            </w:pPr>
            <w:r>
              <w:rPr>
                <w:rFonts w:ascii="Arial" w:cs="Arial" w:eastAsia="Arial" w:hAnsi="Arial"/>
                <w:b/>
                <w:bCs/>
                <w:color w:val="8B3A0E"/>
                <w:sz w:val="18"/>
                <w:szCs w:val="18"/>
              </w:rPr>
              <w:t xml:space="preserve">HIGH</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F-04</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Search dialog missing aria-modal="true"</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w:t>
            </w:r>
          </w:p>
        </w:tc>
        <w:tc>
          <w:tcPr>
            <w:tcW w:type="dxa" w:w="1800"/>
            <w:tcBorders>
              <w:top w:val="single" w:color="D9D0BB" w:sz="4"/>
              <w:left w:val="single" w:color="D9D0BB" w:sz="4"/>
              <w:bottom w:val="single" w:color="D9D0BB" w:sz="4"/>
              <w:right w:val="single" w:color="D9D0BB" w:sz="4"/>
            </w:tcBorders>
            <w:shd w:fill="FCE4D6" w:val="clear"/>
            <w:tcMar>
              <w:top w:type="dxa" w:w="60"/>
              <w:left w:type="dxa" w:w="120"/>
              <w:bottom w:type="dxa" w:w="60"/>
              <w:right w:type="dxa" w:w="120"/>
            </w:tcMar>
            <w:vAlign w:val="center"/>
          </w:tcPr>
          <w:p>
            <w:pPr>
              <w:jc w:val="center"/>
            </w:pPr>
            <w:r>
              <w:rPr>
                <w:rFonts w:ascii="Arial" w:cs="Arial" w:eastAsia="Arial" w:hAnsi="Arial"/>
                <w:b/>
                <w:bCs/>
                <w:color w:val="8B3A0E"/>
                <w:sz w:val="18"/>
                <w:szCs w:val="18"/>
              </w:rPr>
              <w:t xml:space="preserve">HIGH</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F-05</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Primary navigation landmark lacks accessible name</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1.3.6, 2.4.6</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F-06</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Skip-to-content link is permanently hidden, even on keyboard focus</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2.4.1</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F-07</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Logo links use generic accessible name ("Home")</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2.4.4</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F-08</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Header carousel controls do not declare what they control</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4.1.2, 2.4.4</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F-09</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Search input missing autocomplete attribute</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1.3.5</w:t>
            </w:r>
          </w:p>
        </w:tc>
        <w:tc>
          <w:tcPr>
            <w:tcW w:type="dxa" w:w="1800"/>
            <w:tcBorders>
              <w:top w:val="single" w:color="D9D0BB" w:sz="4"/>
              <w:left w:val="single" w:color="D9D0BB" w:sz="4"/>
              <w:bottom w:val="single" w:color="D9D0BB" w:sz="4"/>
              <w:right w:val="single" w:color="D9D0BB" w:sz="4"/>
            </w:tcBorders>
            <w:shd w:fill="EAEFE5" w:val="clear"/>
            <w:tcMar>
              <w:top w:type="dxa" w:w="60"/>
              <w:left w:type="dxa" w:w="120"/>
              <w:bottom w:type="dxa" w:w="60"/>
              <w:right w:type="dxa" w:w="120"/>
            </w:tcMar>
            <w:vAlign w:val="center"/>
          </w:tcPr>
          <w:p>
            <w:pPr>
              <w:jc w:val="center"/>
            </w:pPr>
            <w:r>
              <w:rPr>
                <w:rFonts w:ascii="Arial" w:cs="Arial" w:eastAsia="Arial" w:hAnsi="Arial"/>
                <w:b/>
                <w:bCs/>
                <w:color w:val="3A4F2F"/>
                <w:sz w:val="18"/>
                <w:szCs w:val="18"/>
              </w:rPr>
              <w:t xml:space="preserve">LOW</w:t>
            </w:r>
          </w:p>
        </w:tc>
      </w:tr>
      <w:tr>
        <w:tc>
          <w:tcPr>
            <w:tcW w:type="dxa" w:w="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F-10</w:t>
            </w:r>
          </w:p>
        </w:tc>
        <w:tc>
          <w:tcPr>
            <w:tcW w:type="dxa" w:w="49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"Translate" control is implemented as a link rather than a button</w:t>
            </w:r>
          </w:p>
        </w:tc>
        <w:tc>
          <w:tcPr>
            <w:tcW w:type="dxa" w:w="18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w:t>
            </w:r>
          </w:p>
        </w:tc>
        <w:tc>
          <w:tcPr>
            <w:tcW w:type="dxa" w:w="1800"/>
            <w:tcBorders>
              <w:top w:val="single" w:color="D9D0BB" w:sz="4"/>
              <w:left w:val="single" w:color="D9D0BB" w:sz="4"/>
              <w:bottom w:val="single" w:color="D9D0BB" w:sz="4"/>
              <w:right w:val="single" w:color="D9D0BB" w:sz="4"/>
            </w:tcBorders>
            <w:shd w:fill="EAEFE5" w:val="clear"/>
            <w:tcMar>
              <w:top w:type="dxa" w:w="60"/>
              <w:left w:type="dxa" w:w="120"/>
              <w:bottom w:type="dxa" w:w="60"/>
              <w:right w:type="dxa" w:w="120"/>
            </w:tcMar>
            <w:vAlign w:val="center"/>
          </w:tcPr>
          <w:p>
            <w:pPr>
              <w:jc w:val="center"/>
            </w:pPr>
            <w:r>
              <w:rPr>
                <w:rFonts w:ascii="Arial" w:cs="Arial" w:eastAsia="Arial" w:hAnsi="Arial"/>
                <w:b/>
                <w:bCs/>
                <w:color w:val="3A4F2F"/>
                <w:sz w:val="18"/>
                <w:szCs w:val="18"/>
              </w:rPr>
              <w:t xml:space="preserve">LOW</w:t>
            </w:r>
          </w:p>
        </w:tc>
      </w:tr>
    </w:tbl>
    <w:p>
      <w:pPr>
        <w:spacing w:after="160" w:before="0"/>
      </w:pPr>
      <w:r>
        <w:t xml:space="preserve"/>
      </w:r>
    </w:p>
    <w:p>
      <w:pPr>
        <w:spacing w:after="80" w:before="80" w:line="300"/>
      </w:pPr>
      <w:r>
        <w:rPr>
          <w:rFonts w:ascii="Arial" w:cs="Arial" w:eastAsia="Arial" w:hAnsi="Arial"/>
          <w:sz w:val="22"/>
          <w:szCs w:val="22"/>
        </w:rPr>
        <w:t xml:space="preserve">Severity definitions:</w:t>
      </w:r>
    </w:p>
    <w:p>
      <w:pPr>
        <w:pStyle w:val="ListParagraph"/>
        <w:numPr>
          <w:ilvl w:val="0"/>
          <w:numId w:val="2"/>
        </w:numPr>
        <w:spacing w:after="40" w:before="40" w:line="300"/>
      </w:pPr>
      <w:r>
        <w:rPr>
          <w:rFonts w:ascii="Arial" w:cs="Arial" w:eastAsia="Arial" w:hAnsi="Arial"/>
          <w:b/>
          <w:bCs/>
          <w:color w:val="7A1A1A"/>
          <w:sz w:val="22"/>
          <w:szCs w:val="22"/>
        </w:rPr>
        <w:t xml:space="preserve">Critical: </w:t>
      </w:r>
      <w:r>
        <w:rPr>
          <w:rFonts w:ascii="Arial" w:cs="Arial" w:eastAsia="Arial" w:hAnsi="Arial"/>
          <w:sz w:val="22"/>
          <w:szCs w:val="22"/>
        </w:rPr>
        <w:t xml:space="preserve">Categorical barrier preventing affected users from accessing the page's primary purpose. Must be remediated.</w:t>
      </w:r>
    </w:p>
    <w:p>
      <w:pPr>
        <w:pStyle w:val="ListParagraph"/>
        <w:numPr>
          <w:ilvl w:val="0"/>
          <w:numId w:val="2"/>
        </w:numPr>
        <w:spacing w:after="40" w:before="40" w:line="300"/>
      </w:pPr>
      <w:r>
        <w:rPr>
          <w:rFonts w:ascii="Arial" w:cs="Arial" w:eastAsia="Arial" w:hAnsi="Arial"/>
          <w:b/>
          <w:bCs/>
          <w:color w:val="8B3A0E"/>
          <w:sz w:val="22"/>
          <w:szCs w:val="22"/>
        </w:rPr>
        <w:t xml:space="preserve">High: </w:t>
      </w:r>
      <w:r>
        <w:rPr>
          <w:rFonts w:ascii="Arial" w:cs="Arial" w:eastAsia="Arial" w:hAnsi="Arial"/>
          <w:sz w:val="22"/>
          <w:szCs w:val="22"/>
        </w:rPr>
        <w:t xml:space="preserve">Significant barrier to use of major page features for affected users. Should be remediated within ninety days.</w:t>
      </w:r>
    </w:p>
    <w:p>
      <w:pPr>
        <w:pStyle w:val="ListParagraph"/>
        <w:numPr>
          <w:ilvl w:val="0"/>
          <w:numId w:val="2"/>
        </w:numPr>
        <w:spacing w:after="40" w:before="40" w:line="300"/>
      </w:pPr>
      <w:r>
        <w:rPr>
          <w:rFonts w:ascii="Arial" w:cs="Arial" w:eastAsia="Arial" w:hAnsi="Arial"/>
          <w:b/>
          <w:bCs/>
          <w:color w:val="7A5800"/>
          <w:sz w:val="22"/>
          <w:szCs w:val="22"/>
        </w:rPr>
        <w:t xml:space="preserve">Medium: </w:t>
      </w:r>
      <w:r>
        <w:rPr>
          <w:rFonts w:ascii="Arial" w:cs="Arial" w:eastAsia="Arial" w:hAnsi="Arial"/>
          <w:sz w:val="22"/>
          <w:szCs w:val="22"/>
        </w:rPr>
        <w:t xml:space="preserve">Reduces usability or compliance posture without preventing access outright. Should be remediated within the standard remediation cycle.</w:t>
      </w:r>
    </w:p>
    <w:p>
      <w:pPr>
        <w:pStyle w:val="ListParagraph"/>
        <w:numPr>
          <w:ilvl w:val="0"/>
          <w:numId w:val="2"/>
        </w:numPr>
        <w:spacing w:after="40" w:before="40" w:line="300"/>
      </w:pPr>
      <w:r>
        <w:rPr>
          <w:rFonts w:ascii="Arial" w:cs="Arial" w:eastAsia="Arial" w:hAnsi="Arial"/>
          <w:b/>
          <w:bCs/>
          <w:color w:val="3A4F2F"/>
          <w:sz w:val="22"/>
          <w:szCs w:val="22"/>
        </w:rPr>
        <w:t xml:space="preserve">Low: </w:t>
      </w:r>
      <w:r>
        <w:rPr>
          <w:rFonts w:ascii="Arial" w:cs="Arial" w:eastAsia="Arial" w:hAnsi="Arial"/>
          <w:sz w:val="22"/>
          <w:szCs w:val="22"/>
        </w:rPr>
        <w:t xml:space="preserve">Best-practice deviation or minor compliance gap. Address opportunistically with related work.</w:t>
      </w:r>
    </w:p>
    <w:p>
      <w:r>
        <w:br w:type="page"/>
      </w:r>
    </w:p>
    <w:p>
      <w:pPr>
        <w:pStyle w:val="Heading1"/>
        <w:spacing w:after="160" w:before="360"/>
      </w:pPr>
      <w:r>
        <w:rPr>
          <w:rFonts w:ascii="Arial" w:cs="Arial" w:eastAsia="Arial" w:hAnsi="Arial"/>
          <w:b/>
          <w:bCs/>
          <w:color w:val="1F4731"/>
          <w:sz w:val="32"/>
          <w:szCs w:val="32"/>
        </w:rPr>
        <w:t xml:space="preserve">Detailed Findings</w:t>
      </w:r>
    </w:p>
    <w:p>
      <w:pPr>
        <w:spacing w:after="80" w:before="80" w:line="300"/>
      </w:pPr>
      <w:r>
        <w:rPr>
          <w:rFonts w:ascii="Arial" w:cs="Arial" w:eastAsia="Arial" w:hAnsi="Arial"/>
          <w:sz w:val="22"/>
          <w:szCs w:val="22"/>
        </w:rPr>
        <w:t xml:space="preserve">Each finding below identifies the specific WCAG criteria implicated, the affected user populations, the evidence on which the finding is based, and a specific remediation recommendation.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F-01  </w:t>
            </w:r>
            <w:r>
              <w:rPr>
                <w:rFonts w:ascii="Arial" w:cs="Arial" w:eastAsia="Arial" w:hAnsi="Arial"/>
                <w:b/>
                <w:bCs/>
                <w:color w:val="1A1D1A"/>
                <w:sz w:val="24"/>
                <w:szCs w:val="24"/>
              </w:rPr>
              <w:t xml:space="preserve">Primary content delivered as inaccessible PDF</w:t>
            </w:r>
          </w:p>
        </w:tc>
        <w:tc>
          <w:tcPr>
            <w:tcW w:type="dxa" w:w="1800"/>
            <w:tcBorders>
              <w:top w:val="single" w:color="D9D0BB" w:sz="4"/>
              <w:left w:val="single" w:color="D9D0BB" w:sz="4"/>
              <w:bottom w:val="single" w:color="D9D0BB" w:sz="4"/>
              <w:right w:val="single" w:color="D9D0BB" w:sz="4"/>
            </w:tcBorders>
            <w:shd w:fill="FBE8E3" w:val="clear"/>
            <w:tcMar>
              <w:top w:type="dxa" w:w="60"/>
              <w:left w:type="dxa" w:w="120"/>
              <w:bottom w:type="dxa" w:w="60"/>
              <w:right w:type="dxa" w:w="120"/>
            </w:tcMar>
            <w:vAlign w:val="center"/>
          </w:tcPr>
          <w:p>
            <w:pPr>
              <w:jc w:val="center"/>
            </w:pPr>
            <w:r>
              <w:rPr>
                <w:rFonts w:ascii="Arial" w:cs="Arial" w:eastAsia="Arial" w:hAnsi="Arial"/>
                <w:b/>
                <w:bCs/>
                <w:color w:val="7A1A1A"/>
                <w:sz w:val="18"/>
                <w:szCs w:val="18"/>
              </w:rPr>
              <w:t xml:space="preserve">CRITICAL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1.1.1 Non-text Content (A) · 1.3.1 Info and Relationships (A) · 2.1.1 Keyboard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users who navigate by keyboard only, users of refreshable braille displays, users with low vision who rely on text reflow, and users of translation software. This finding affects every visitor to the page who cannot consume image-based PDF content — including a significant portion of the residents the Community Resources List is specifically intended to help.</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High — requires producing an accessible HTML version of the directory or remediating the source PDF (tagging, OCR, structural markup). The Helping Hands prototype produced under separate cover demonstrates one viable HTML approach.</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substantive content of the page — the Community Resources List itself — is delivered exclusively through an embedded PDF viewer (an &lt;iframe&gt; referencing Resources update.pdf). The PDF is image-based with no underlying tagged text structure. There is no HTML alternative version of the resource list provided on the page.</w:t>
      </w:r>
    </w:p>
    <w:p>
      <w:pPr>
        <w:spacing w:after="80" w:before="80" w:line="300"/>
      </w:pPr>
      <w:r>
        <w:rPr>
          <w:rFonts w:ascii="Arial" w:cs="Arial" w:eastAsia="Arial" w:hAnsi="Arial"/>
          <w:sz w:val="22"/>
          <w:szCs w:val="22"/>
        </w:rPr>
        <w:t xml:space="preserve">Screen reader software cannot extract resource names, phone numbers, hours, or descriptions. Keyboard-only users cannot navigate between resources. Low-vision users using browser zoom or text reflow cannot enlarge the content meaningfully without losing context. The page's own accessibility statement acknowledges this gap ("Documents created by third parties may not meet all accessibility criteria"), but the disclosure does not satisfy the technical requirement.</w:t>
      </w:r>
    </w:p>
    <w:p>
      <w:pPr>
        <w:spacing w:after="80" w:before="80" w:line="300"/>
      </w:pPr>
      <w:r>
        <w:rPr>
          <w:rFonts w:ascii="Arial" w:cs="Arial" w:eastAsia="Arial" w:hAnsi="Arial"/>
          <w:sz w:val="22"/>
          <w:szCs w:val="22"/>
        </w:rPr>
        <w:t xml:space="preserve">Because this is the page's primary content — not supplemental — this finding should be treated as a categorical barrier to access rather than a single technical defect.</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&lt;iframe ... src="...Resources update.pdf" title="Resources update.pdf"&gt;</w:t>
      </w:r>
    </w:p>
    <w:p>
      <w:pPr>
        <w:spacing w:after="80" w:before="80" w:line="300"/>
      </w:pPr>
      <w:r>
        <w:rPr>
          <w:rFonts w:ascii="Consolas" w:cs="Consolas" w:eastAsia="Consolas" w:hAnsi="Consolas"/>
          <w:color w:val="3A4039"/>
          <w:sz w:val="18"/>
          <w:szCs w:val="18"/>
        </w:rPr>
        <w:t xml:space="preserve">Source PDF: image-only, no text layer detected, no document tags.</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Provide an accessible HTML version of the Community Resources List as the page's primary content. The PDF may remain as a downloadable supplement, but it cannot be the sole means of access.</w:t>
      </w:r>
    </w:p>
    <w:p>
      <w:pPr>
        <w:spacing w:after="80" w:before="80" w:line="300"/>
      </w:pPr>
      <w:r>
        <w:rPr>
          <w:rFonts w:ascii="Arial" w:cs="Arial" w:eastAsia="Arial" w:hAnsi="Arial"/>
          <w:sz w:val="22"/>
          <w:szCs w:val="22"/>
        </w:rPr>
        <w:t xml:space="preserve">If an HTML version is not feasible in the immediate term, remediate the source PDF: run OCR to produce a text layer, add document structure tags (headings, lists, tables, reading order), add alternative text for any images, and verify with PAC 2024 or Adobe Acrobat Pro accessibility checker. A tagged PDF still does not fully meet HTML's accessibility ceiling, so the HTML version remains the recommended long-term path.</w:t>
      </w:r>
    </w:p>
    <w:p>
      <w:pPr>
        <w:spacing w:after="80" w:before="80" w:line="300"/>
      </w:pPr>
      <w:r>
        <w:rPr>
          <w:rFonts w:ascii="Arial" w:cs="Arial" w:eastAsia="Arial" w:hAnsi="Arial"/>
          <w:sz w:val="22"/>
          <w:szCs w:val="22"/>
        </w:rPr>
        <w:t xml:space="preserve">Coordinate with the Pikes Peak Library District (the original publisher of the Helping Hands guide) to align on a single accessible source of record so that updates do not silently regress.</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F-02  </w:t>
            </w:r>
            <w:r>
              <w:rPr>
                <w:rFonts w:ascii="Arial" w:cs="Arial" w:eastAsia="Arial" w:hAnsi="Arial"/>
                <w:b/>
                <w:bCs/>
                <w:color w:val="1A1D1A"/>
                <w:sz w:val="24"/>
                <w:szCs w:val="24"/>
              </w:rPr>
              <w:t xml:space="preserve">Page H1 reads "Document Viewer" rather than page subject</w:t>
            </w:r>
          </w:p>
        </w:tc>
        <w:tc>
          <w:tcPr>
            <w:tcW w:type="dxa" w:w="1800"/>
            <w:tcBorders>
              <w:top w:val="single" w:color="D9D0BB" w:sz="4"/>
              <w:left w:val="single" w:color="D9D0BB" w:sz="4"/>
              <w:bottom w:val="single" w:color="D9D0BB" w:sz="4"/>
              <w:right w:val="single" w:color="D9D0BB" w:sz="4"/>
            </w:tcBorders>
            <w:shd w:fill="FCE4D6" w:val="clear"/>
            <w:tcMar>
              <w:top w:type="dxa" w:w="60"/>
              <w:left w:type="dxa" w:w="120"/>
              <w:bottom w:type="dxa" w:w="60"/>
              <w:right w:type="dxa" w:w="120"/>
            </w:tcMar>
            <w:vAlign w:val="center"/>
          </w:tcPr>
          <w:p>
            <w:pPr>
              <w:jc w:val="center"/>
            </w:pPr>
            <w:r>
              <w:rPr>
                <w:rFonts w:ascii="Arial" w:cs="Arial" w:eastAsia="Arial" w:hAnsi="Arial"/>
                <w:b/>
                <w:bCs/>
                <w:color w:val="8B3A0E"/>
                <w:sz w:val="18"/>
                <w:szCs w:val="18"/>
              </w:rPr>
              <w:t xml:space="preserve">HIGH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2.4.6 Headings and Labels (AA)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who navigate by heading (a primary navigation strategy for assistive technology users) will encounter "Document Viewer" as the page's top-level heading rather than "Community Resources List." This both misrepresents the page subject and reduces users' ability to confirm they have arrived at the correct page.</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Low — single template change in the Drupal theme or page-level override.</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page's &lt;h1&gt; element contains the text "Document Viewer," which describes the embedded widget rather than the page's subject matter. The actual page title appears further down in a non-heading element.</w:t>
      </w:r>
    </w:p>
    <w:p>
      <w:pPr>
        <w:spacing w:after="80" w:before="80" w:line="300"/>
      </w:pPr>
      <w:r>
        <w:rPr>
          <w:rFonts w:ascii="Arial" w:cs="Arial" w:eastAsia="Arial" w:hAnsi="Arial"/>
          <w:sz w:val="22"/>
          <w:szCs w:val="22"/>
        </w:rPr>
        <w:t xml:space="preserve">WCAG 2.4.6 requires that headings and labels describe topic or purpose. A generic widget label as the H1 fails this requirement and degrades the experience for screen reader users navigating by heading.</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&lt;h1&gt;Document Viewer&lt;/h1&gt;</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Set the H1 to the page subject — "Community Resources List" — and demote the "Document Viewer" label to either an aria-label on the iframe or a visually-presented but non-heading caption above the embed.</w:t>
      </w:r>
    </w:p>
    <w:p>
      <w:pPr>
        <w:spacing w:after="80" w:before="80" w:line="300"/>
      </w:pPr>
      <w:r>
        <w:rPr>
          <w:rFonts w:ascii="Arial" w:cs="Arial" w:eastAsia="Arial" w:hAnsi="Arial"/>
          <w:sz w:val="22"/>
          <w:szCs w:val="22"/>
        </w:rPr>
        <w:t xml:space="preserve">If the Document Viewer component is a reusable widget across multiple pages, modify the widget so that the consuming page can pass in its own H1 rather than the widget hardcoding one.</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F-03  </w:t>
            </w:r>
            <w:r>
              <w:rPr>
                <w:rFonts w:ascii="Arial" w:cs="Arial" w:eastAsia="Arial" w:hAnsi="Arial"/>
                <w:b/>
                <w:bCs/>
                <w:color w:val="1A1D1A"/>
                <w:sz w:val="24"/>
                <w:szCs w:val="24"/>
              </w:rPr>
              <w:t xml:space="preserve">Interactive elements rendered inside an aria-hidden container</w:t>
            </w:r>
          </w:p>
        </w:tc>
        <w:tc>
          <w:tcPr>
            <w:tcW w:type="dxa" w:w="1800"/>
            <w:tcBorders>
              <w:top w:val="single" w:color="D9D0BB" w:sz="4"/>
              <w:left w:val="single" w:color="D9D0BB" w:sz="4"/>
              <w:bottom w:val="single" w:color="D9D0BB" w:sz="4"/>
              <w:right w:val="single" w:color="D9D0BB" w:sz="4"/>
            </w:tcBorders>
            <w:shd w:fill="FCE4D6" w:val="clear"/>
            <w:tcMar>
              <w:top w:type="dxa" w:w="60"/>
              <w:left w:type="dxa" w:w="120"/>
              <w:bottom w:type="dxa" w:w="60"/>
              <w:right w:type="dxa" w:w="120"/>
            </w:tcMar>
            <w:vAlign w:val="center"/>
          </w:tcPr>
          <w:p>
            <w:pPr>
              <w:jc w:val="center"/>
            </w:pPr>
            <w:r>
              <w:rPr>
                <w:rFonts w:ascii="Arial" w:cs="Arial" w:eastAsia="Arial" w:hAnsi="Arial"/>
                <w:b/>
                <w:bCs/>
                <w:color w:val="8B3A0E"/>
                <w:sz w:val="18"/>
                <w:szCs w:val="18"/>
              </w:rPr>
              <w:t xml:space="preserve">HIGH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 Name, Role, Value (A) · 2.1.1 Keyboard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may encounter interactive controls that have been removed from the accessibility tree but remain in the keyboard tab order — a scenario in which the user can place focus on a control they cannot perceive. This is a common variant of a keyboard trap and is consistently flagged in DOJ enforcement actions.</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Medium — requires JavaScript modification to toggle aria-hidden and inert in lockstep with modal visibility, plus verification with screen readers.</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search modal container &lt;div id="search-modal"&gt; has aria-hidden="true" applied while still containing five interactive descendants (input fields and a submit button). When the modal is closed this is intentional, but the implementation must also prevent keyboard focus from reaching those descendants — otherwise focus can land on controls that assistive technology cannot describe.</w:t>
      </w:r>
    </w:p>
    <w:p>
      <w:pPr>
        <w:spacing w:after="80" w:before="80" w:line="300"/>
      </w:pPr>
      <w:r>
        <w:rPr>
          <w:rFonts w:ascii="Arial" w:cs="Arial" w:eastAsia="Arial" w:hAnsi="Arial"/>
          <w:sz w:val="22"/>
          <w:szCs w:val="22"/>
        </w:rPr>
        <w:t xml:space="preserve">The correct pattern requires either (a) removing the descendants from the tab order via tabindex="-1" and inert when hidden, or (b) using the inert attribute on the container, which handles both concerns in one declaration. Modern browsers (Chrome 102+, Safari 15.5+, Firefox 112+) support inert directly.</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&lt;div id="search-modal" aria-hidden="true" role="dialog"&gt; ... 5 focusable descendants ... &lt;/div&gt;</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Replace aria-hidden="true" with the inert attribute when the modal is closed. The inert attribute removes both perceivability and keyboard focus, and is the W3C-recommended pattern for hidden modal dialogs.</w:t>
      </w:r>
    </w:p>
    <w:p>
      <w:pPr>
        <w:spacing w:after="80" w:before="80" w:line="300"/>
      </w:pPr>
      <w:r>
        <w:rPr>
          <w:rFonts w:ascii="Arial" w:cs="Arial" w:eastAsia="Arial" w:hAnsi="Arial"/>
          <w:sz w:val="22"/>
          <w:szCs w:val="22"/>
        </w:rPr>
        <w:t xml:space="preserve">If inert is not viable for legacy browser support reasons, set tabindex="-1" on every focusable descendant when the modal is hidden, and restore the original tabindex when shown.</w:t>
      </w:r>
    </w:p>
    <w:p>
      <w:pPr>
        <w:spacing w:after="80" w:before="80" w:line="300"/>
      </w:pPr>
      <w:r>
        <w:rPr>
          <w:rFonts w:ascii="Arial" w:cs="Arial" w:eastAsia="Arial" w:hAnsi="Arial"/>
          <w:sz w:val="22"/>
          <w:szCs w:val="22"/>
        </w:rPr>
        <w:t xml:space="preserve">Test the modal with NVDA + Firefox, JAWS + Chrome, and VoiceOver + Safari with Tab navigation only — focus must never enter the closed modal.</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 Recommended pattern --&gt;
&lt;div id="search-modal" role="dialog" aria-modal="true"
     aria-labelledby="search-title" inert&gt;
  &lt;h2 id="search-title"&gt;Search&lt;/h2&gt;
  ...
&lt;/div&gt;</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F-04  </w:t>
            </w:r>
            <w:r>
              <w:rPr>
                <w:rFonts w:ascii="Arial" w:cs="Arial" w:eastAsia="Arial" w:hAnsi="Arial"/>
                <w:b/>
                <w:bCs/>
                <w:color w:val="1A1D1A"/>
                <w:sz w:val="24"/>
                <w:szCs w:val="24"/>
              </w:rPr>
              <w:t xml:space="preserve">Search dialog missing aria-modal="true"</w:t>
            </w:r>
          </w:p>
        </w:tc>
        <w:tc>
          <w:tcPr>
            <w:tcW w:type="dxa" w:w="1800"/>
            <w:tcBorders>
              <w:top w:val="single" w:color="D9D0BB" w:sz="4"/>
              <w:left w:val="single" w:color="D9D0BB" w:sz="4"/>
              <w:bottom w:val="single" w:color="D9D0BB" w:sz="4"/>
              <w:right w:val="single" w:color="D9D0BB" w:sz="4"/>
            </w:tcBorders>
            <w:shd w:fill="FCE4D6" w:val="clear"/>
            <w:tcMar>
              <w:top w:type="dxa" w:w="60"/>
              <w:left w:type="dxa" w:w="120"/>
              <w:bottom w:type="dxa" w:w="60"/>
              <w:right w:type="dxa" w:w="120"/>
            </w:tcMar>
            <w:vAlign w:val="center"/>
          </w:tcPr>
          <w:p>
            <w:pPr>
              <w:jc w:val="center"/>
            </w:pPr>
            <w:r>
              <w:rPr>
                <w:rFonts w:ascii="Arial" w:cs="Arial" w:eastAsia="Arial" w:hAnsi="Arial"/>
                <w:b/>
                <w:bCs/>
                <w:color w:val="8B3A0E"/>
                <w:sz w:val="18"/>
                <w:szCs w:val="18"/>
              </w:rPr>
              <w:t xml:space="preserve">HIGH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 Name, Role, Value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 particularly on iOS VoiceOver and Android TalkBack — may find that the screen reader continues to read background page content while the search dialog is open, creating a confusing experience and potentially allowing focus to escape the modal.</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Low — single attribute addition.</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search modal applies role="dialog" but does not set aria-modal="true". The aria-modal attribute signals to assistive technology that the dialog is modal — meaning the user's interaction is constrained to the dialog and the underlying page is functionally inert.</w:t>
      </w:r>
    </w:p>
    <w:p>
      <w:pPr>
        <w:spacing w:after="80" w:before="80" w:line="300"/>
      </w:pPr>
      <w:r>
        <w:rPr>
          <w:rFonts w:ascii="Arial" w:cs="Arial" w:eastAsia="Arial" w:hAnsi="Arial"/>
          <w:sz w:val="22"/>
          <w:szCs w:val="22"/>
        </w:rPr>
        <w:t xml:space="preserve">Without aria-modal, screen readers fall back on heuristics that vary by software and version. The result is inconsistent and frequently incorrect behavior, particularly on mobile.</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&lt;div id="search-modal" role="dialog" aria-hidden="true"&gt;</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Add aria-modal="true" to the dialog container. Pair it with proper focus trapping in JavaScript so that Tab and Shift+Tab cycle within the dialog rather than escaping to background page content.</w:t>
      </w:r>
    </w:p>
    <w:p>
      <w:pPr>
        <w:spacing w:after="80" w:before="80" w:line="300"/>
      </w:pPr>
      <w:r>
        <w:rPr>
          <w:rFonts w:ascii="Arial" w:cs="Arial" w:eastAsia="Arial" w:hAnsi="Arial"/>
          <w:sz w:val="22"/>
          <w:szCs w:val="22"/>
        </w:rPr>
        <w:t xml:space="preserve">Also ensure the dialog has an accessible name — either aria-labelledby pointing at the dialog's heading, or aria-label as a fallback.</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&lt;div id="search-modal" role="dialog" aria-modal="true"
     aria-labelledby="search-modal-title"&gt;
  &lt;h2 id="search-modal-title"&gt;Search&lt;/h2&gt;
  ...
&lt;/div&gt;</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F-05  </w:t>
            </w:r>
            <w:r>
              <w:rPr>
                <w:rFonts w:ascii="Arial" w:cs="Arial" w:eastAsia="Arial" w:hAnsi="Arial"/>
                <w:b/>
                <w:bCs/>
                <w:color w:val="1A1D1A"/>
                <w:sz w:val="24"/>
                <w:szCs w:val="24"/>
              </w:rPr>
              <w:t xml:space="preserve">Primary navigation landmark lacks accessible name</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1.3.6 Identify Purpose (AAA, recommended) · 2.4.6 Headings and Labels (AA)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navigating by landmark (a primary navigation strategy) will hear "navigation" announced four times on this page with no way to distinguish the utility nav from the main nav, the breadcrumb, or the footer nav.</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Low — add a single aria-label attribute.</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page contains four &lt;nav&gt; landmarks. Three are properly labeled (the breadcrumb via aria-label, two others via aria-labelledby). The first &lt;nav&gt; — likely the top utility bar — has neither attribute.</w:t>
      </w:r>
    </w:p>
    <w:p>
      <w:pPr>
        <w:spacing w:after="80" w:before="80" w:line="300"/>
      </w:pPr>
      <w:r>
        <w:rPr>
          <w:rFonts w:ascii="Arial" w:cs="Arial" w:eastAsia="Arial" w:hAnsi="Arial"/>
          <w:sz w:val="22"/>
          <w:szCs w:val="22"/>
        </w:rPr>
        <w:t xml:space="preserve">When a page has more than one navigation landmark, each one must be uniquely identifiable so screen reader users can choose between them.</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&lt;nav&gt; ... &lt;/nav&gt;  (no aria-label, no aria-labelledby)</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Add aria-label="Utility" (or whatever describes that navigation's purpose — "Top utility," "Quick links," etc.) to the first &lt;nav&gt; element.</w:t>
      </w:r>
    </w:p>
    <w:p>
      <w:pPr>
        <w:spacing w:after="80" w:before="80" w:line="300"/>
      </w:pPr>
      <w:r>
        <w:rPr>
          <w:rFonts w:ascii="Arial" w:cs="Arial" w:eastAsia="Arial" w:hAnsi="Arial"/>
          <w:sz w:val="22"/>
          <w:szCs w:val="22"/>
        </w:rPr>
        <w:t xml:space="preserve">Audit the remaining three &lt;nav&gt; elements to confirm their labels are likewise distinct and meaningful.</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&lt;nav aria-label="Utility"&gt;
  &lt;!-- top utility links --&gt;
&lt;/nav&gt;</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F-06  </w:t>
            </w:r>
            <w:r>
              <w:rPr>
                <w:rFonts w:ascii="Arial" w:cs="Arial" w:eastAsia="Arial" w:hAnsi="Arial"/>
                <w:b/>
                <w:bCs/>
                <w:color w:val="1A1D1A"/>
                <w:sz w:val="24"/>
                <w:szCs w:val="24"/>
              </w:rPr>
              <w:t xml:space="preserve">Skip-to-content link is permanently hidden, even on keyboard focus</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2.4.1 Bypass Blocks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Sighted keyboard users — including users with motor impairments who use a keyboard or switch device, and many power users — cannot see when focus has reached the skip link and therefore cannot use it confidently. This also affects screen-magnifier users who rely on visible focus indication.</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Low — CSS-only change.</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skip-to-content link uses a clip-rect technique to remain off-screen at all times, including when keyboard focus reaches it. WCAG 2.4.1 is met technically (a bypass mechanism exists), but accepted best practice — and many state-level accessibility standards — require that skip links become visible when they receive focus so sighted keyboard users can also benefit.</w:t>
      </w:r>
    </w:p>
    <w:p>
      <w:pPr>
        <w:spacing w:after="80" w:before="80" w:line="300"/>
      </w:pPr>
      <w:r>
        <w:rPr>
          <w:rFonts w:ascii="Arial" w:cs="Arial" w:eastAsia="Arial" w:hAnsi="Arial"/>
          <w:sz w:val="22"/>
          <w:szCs w:val="22"/>
        </w:rPr>
        <w:t xml:space="preserve">Additionally, the skip target #main-content resolves to an &lt;a&gt; tag with tabindex="-1" rather than the &lt;main&gt; landmark itself. While this works, anchoring directly to &lt;main&gt; is cleaner and avoids the empty anchor.</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.skip-link { position:absolute; clip:rect(0,0,0,0); width:1px; height:1px; overflow:hidden; }</w:t>
      </w:r>
    </w:p>
    <w:p>
      <w:pPr>
        <w:spacing w:after="80" w:before="80" w:line="300"/>
      </w:pPr>
      <w:r>
        <w:rPr>
          <w:rFonts w:ascii="Consolas" w:cs="Consolas" w:eastAsia="Consolas" w:hAnsi="Consolas"/>
          <w:color w:val="3A4039"/>
          <w:sz w:val="18"/>
          <w:szCs w:val="18"/>
        </w:rPr>
        <w:t xml:space="preserve">Skip target: &lt;a id="main-content" tabindex="-1"&gt;&lt;/a&gt;  (instead of &lt;main id="main-content"&gt;)</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Add a :focus state to the skip link that brings it on-screen — typically positioned at the top-left of the viewport with high-contrast styling.</w:t>
      </w:r>
    </w:p>
    <w:p>
      <w:pPr>
        <w:spacing w:after="80" w:before="80" w:line="300"/>
      </w:pPr>
      <w:r>
        <w:rPr>
          <w:rFonts w:ascii="Arial" w:cs="Arial" w:eastAsia="Arial" w:hAnsi="Arial"/>
          <w:sz w:val="22"/>
          <w:szCs w:val="22"/>
        </w:rPr>
        <w:t xml:space="preserve">Consider moving the id="main-content" anchor onto the &lt;main&gt; element directly and removing the empty &lt;a&gt; tag.</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.skip-link {
  position: absolute; left: -9999px; top: 0;
  background: #000; color: #fff;
  padding: .75rem 1rem; font-weight: 600;
  z-index: 1000; text-decoration: none;
}
.skip-link:focus { left: 0; top: 0; }</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F-07  </w:t>
            </w:r>
            <w:r>
              <w:rPr>
                <w:rFonts w:ascii="Arial" w:cs="Arial" w:eastAsia="Arial" w:hAnsi="Arial"/>
                <w:b/>
                <w:bCs/>
                <w:color w:val="1A1D1A"/>
                <w:sz w:val="24"/>
                <w:szCs w:val="24"/>
              </w:rPr>
              <w:t xml:space="preserve">Logo links use generic accessible name ("Home")</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2.4.4 Link Purpose in Context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hear "Home" as the link's accessible name twice on the page (header and banner). The link works, but the destination is not described — a user reading a list of links out of context cannot distinguish this from any other "Home" link.</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Low — update two image alt attributes or add aria-label to the wrapping anchors.</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Two &lt;a rel="home"&gt; logo links each wrap an &lt;img alt="Home"&gt;. The alt text functions as the link's accessible name. While "Home" is correct in immediate visual context, WCAG 2.4.4 requires that link purpose be determinable from the link text plus its programmatic context — meaning a user reading a links list out of context should still understand the destination.</w:t>
      </w:r>
    </w:p>
    <w:p>
      <w:pPr>
        <w:spacing w:after="80" w:before="80" w:line="300"/>
      </w:pPr>
      <w:r>
        <w:rPr>
          <w:rFonts w:ascii="Arial" w:cs="Arial" w:eastAsia="Arial" w:hAnsi="Arial"/>
          <w:sz w:val="22"/>
          <w:szCs w:val="22"/>
        </w:rPr>
        <w:t xml:space="preserve">For a government website's logo, the accepted convention is "[Entity name] - Home" or "Home — [Entity name]."</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&lt;a rel="home"&gt;&lt;img alt="Home"&gt;&lt;/a&gt;  (×2 occurrences)</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Update the alt text on both logo images to "City of Colorado Springs — Home" or apply aria-label="City of Colorado Springs — Home" to the wrapping anchor.</w:t>
      </w:r>
    </w:p>
    <w:p>
      <w:pPr>
        <w:spacing w:after="80" w:before="80" w:line="300"/>
      </w:pPr>
      <w:r>
        <w:rPr>
          <w:rFonts w:ascii="Arial" w:cs="Arial" w:eastAsia="Arial" w:hAnsi="Arial"/>
          <w:sz w:val="22"/>
          <w:szCs w:val="22"/>
        </w:rPr>
        <w:t xml:space="preserve">Consider also aria-current="page" on the home-link when the visitor is actually on the homepage.</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&lt;a rel="home" aria-label="City of Colorado Springs — Home"&gt;
  &lt;img src="logo.svg" alt="" /&gt;
&lt;/a&gt;</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F-08  </w:t>
            </w:r>
            <w:r>
              <w:rPr>
                <w:rFonts w:ascii="Arial" w:cs="Arial" w:eastAsia="Arial" w:hAnsi="Arial"/>
                <w:b/>
                <w:bCs/>
                <w:color w:val="1A1D1A"/>
                <w:sz w:val="24"/>
                <w:szCs w:val="24"/>
              </w:rPr>
              <w:t xml:space="preserve">Header carousel controls do not declare what they control</w:t>
            </w:r>
          </w:p>
        </w:tc>
        <w:tc>
          <w:tcPr>
            <w:tcW w:type="dxa" w:w="1800"/>
            <w:tcBorders>
              <w:top w:val="single" w:color="D9D0BB" w:sz="4"/>
              <w:left w:val="single" w:color="D9D0BB" w:sz="4"/>
              <w:bottom w:val="single" w:color="D9D0BB" w:sz="4"/>
              <w:right w:val="single" w:color="D9D0BB" w:sz="4"/>
            </w:tcBorders>
            <w:shd w:fill="FFF4D6" w:val="clear"/>
            <w:tcMar>
              <w:top w:type="dxa" w:w="60"/>
              <w:left w:type="dxa" w:w="120"/>
              <w:bottom w:type="dxa" w:w="60"/>
              <w:right w:type="dxa" w:w="120"/>
            </w:tcMar>
            <w:vAlign w:val="center"/>
          </w:tcPr>
          <w:p>
            <w:pPr>
              <w:jc w:val="center"/>
            </w:pPr>
            <w:r>
              <w:rPr>
                <w:rFonts w:ascii="Arial" w:cs="Arial" w:eastAsia="Arial" w:hAnsi="Arial"/>
                <w:b/>
                <w:bCs/>
                <w:color w:val="7A5800"/>
                <w:sz w:val="18"/>
                <w:szCs w:val="18"/>
              </w:rPr>
              <w:t xml:space="preserve">MEDIUM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 Name, Role, Value (A) · 2.4.4 Link Purpose in Context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encountering "Previous," "Next," and "Pause" controls cannot determine what region of the page these affect without trial and error. Users with cognitive disabilities are particularly affected by ambiguous controls.</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Medium — requires either ARIA attribute additions or replacement of the carousel with a more accessible component pattern.</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header banner carousel exposes "Previous," "Next," and "Pause" links but does not associate them with the carousel region via aria-controls, and does not indicate that they operate a slideshow via aria-label or visible context.</w:t>
      </w:r>
    </w:p>
    <w:p>
      <w:pPr>
        <w:spacing w:after="80" w:before="80" w:line="300"/>
      </w:pPr>
      <w:r>
        <w:rPr>
          <w:rFonts w:ascii="Arial" w:cs="Arial" w:eastAsia="Arial" w:hAnsi="Arial"/>
          <w:sz w:val="22"/>
          <w:szCs w:val="22"/>
        </w:rPr>
        <w:t xml:space="preserve">Beyond this finding: auto-rotating carousels are themselves an accessibility concern (WCAG 2.2.2 Pause, Stop, Hide). The presence of a Pause control suggests the carousel does auto-rotate, which is acceptable only if the pause control is reliably reachable and the rotation can be disabled persistently.</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&lt;a&gt;Previous&lt;/a&gt;  &lt;a&gt;Next&lt;/a&gt;  &lt;a&gt;Pause&lt;/a&gt;  (no aria-controls, no aria-label)</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Add aria-controls pointing at the carousel region's id, and clarify the action via aria-label (e.g., aria-label="Previous slide").</w:t>
      </w:r>
    </w:p>
    <w:p>
      <w:pPr>
        <w:spacing w:after="80" w:before="80" w:line="300"/>
      </w:pPr>
      <w:r>
        <w:rPr>
          <w:rFonts w:ascii="Arial" w:cs="Arial" w:eastAsia="Arial" w:hAnsi="Arial"/>
          <w:sz w:val="22"/>
          <w:szCs w:val="22"/>
        </w:rPr>
        <w:t xml:space="preserve">Use semantically appropriate elements: &lt;button&gt; for Previous/Next/Pause rather than &lt;a&gt;, since these trigger script actions rather than navigating to a URL.</w:t>
      </w:r>
    </w:p>
    <w:p>
      <w:pPr>
        <w:spacing w:after="80" w:before="80" w:line="300"/>
      </w:pPr>
      <w:r>
        <w:rPr>
          <w:rFonts w:ascii="Arial" w:cs="Arial" w:eastAsia="Arial" w:hAnsi="Arial"/>
          <w:sz w:val="22"/>
          <w:szCs w:val="22"/>
        </w:rPr>
        <w:t xml:space="preserve">Verify that auto-rotation respects prefers-reduced-motion and that the Pause state is preserved across page loads (or remove auto-rotation entirely — modern accessibility guidance increasingly recommends manual-advance carousels).</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&lt;div id="banner-carousel" aria-roledescription="carousel"
     aria-label="City news"&gt;
  &lt;button aria-controls="banner-carousel" aria-label="Previous slide"&gt;‹&lt;/button&gt;
  &lt;button aria-controls="banner-carousel" aria-label="Next slide"&gt;›&lt;/button&gt;
  &lt;button aria-controls="banner-carousel" aria-pressed="false"&gt;Pause&lt;/button&gt;
&lt;/div&gt;</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F-09  </w:t>
            </w:r>
            <w:r>
              <w:rPr>
                <w:rFonts w:ascii="Arial" w:cs="Arial" w:eastAsia="Arial" w:hAnsi="Arial"/>
                <w:b/>
                <w:bCs/>
                <w:color w:val="1A1D1A"/>
                <w:sz w:val="24"/>
                <w:szCs w:val="24"/>
              </w:rPr>
              <w:t xml:space="preserve">Search input missing autocomplete attribute</w:t>
            </w:r>
          </w:p>
        </w:tc>
        <w:tc>
          <w:tcPr>
            <w:tcW w:type="dxa" w:w="1800"/>
            <w:tcBorders>
              <w:top w:val="single" w:color="D9D0BB" w:sz="4"/>
              <w:left w:val="single" w:color="D9D0BB" w:sz="4"/>
              <w:bottom w:val="single" w:color="D9D0BB" w:sz="4"/>
              <w:right w:val="single" w:color="D9D0BB" w:sz="4"/>
            </w:tcBorders>
            <w:shd w:fill="EAEFE5" w:val="clear"/>
            <w:tcMar>
              <w:top w:type="dxa" w:w="60"/>
              <w:left w:type="dxa" w:w="120"/>
              <w:bottom w:type="dxa" w:w="60"/>
              <w:right w:type="dxa" w:w="120"/>
            </w:tcMar>
            <w:vAlign w:val="center"/>
          </w:tcPr>
          <w:p>
            <w:pPr>
              <w:jc w:val="center"/>
            </w:pPr>
            <w:r>
              <w:rPr>
                <w:rFonts w:ascii="Arial" w:cs="Arial" w:eastAsia="Arial" w:hAnsi="Arial"/>
                <w:b/>
                <w:bCs/>
                <w:color w:val="3A4F2F"/>
                <w:sz w:val="18"/>
                <w:szCs w:val="18"/>
              </w:rPr>
              <w:t xml:space="preserve">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1.3.5 Identify Input Purpose (AA)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Users with cognitive disabilities who rely on browser autofill or input-purpose recognition. Low impact in this case because the field is a site-search rather than a personal-data field.</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Trivial — single attribute addition.</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search input &lt;input type="text" name="s"&gt; does not declare an autocomplete attribute. WCAG 1.3.5 applies primarily to fields collecting personal information (name, address, payment), but providing an explicit autocomplete="off" on a site-search field is best practice — it both signals intent and prevents the browser from offering autofill suggestions that don't apply.</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&lt;input type="text" name="s" id="edit-keys"&gt;  (no autocomplete attribute)</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Add autocomplete="off" to the site-search input.</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&lt;input type="text" name="s" id="edit-keys"
       autocomplete="off" aria-label="Search the site"&gt;</w:t>
      </w:r>
    </w:p>
    <w:p>
      <w:pPr>
        <w:spacing w:after="220" w:before="0"/>
      </w:pPr>
      <w:r>
        <w:t xml:space="preserve"/>
      </w:r>
    </w:p>
    <w:p>
      <w:pPr>
        <w:pBdr>
          <w:bottom w:val="single" w:color="1F4731" w:sz="6" w:space="1"/>
        </w:pBdr>
        <w:spacing w:after="20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D9D0BB" w:sz="4"/>
              <w:left w:val="single" w:color="D9D0BB" w:sz="4"/>
              <w:bottom w:val="single" w:color="D9D0BB" w:sz="4"/>
              <w:right w:val="single" w:color="D9D0BB" w:sz="4"/>
            </w:tcBorders>
            <w:shd w:fill="F6F1E7" w:val="clear"/>
            <w:tcMar>
              <w:top w:type="dxa" w:w="120"/>
              <w:left w:type="dxa" w:w="120"/>
              <w:bottom w:type="dxa" w:w="80"/>
              <w:right w:type="dxa" w:w="120"/>
            </w:tcMar>
            <w:vAlign w:val="top"/>
          </w:tcPr>
          <w:p>
            <w:r>
              <w:rPr>
                <w:rFonts w:ascii="Arial" w:cs="Arial" w:eastAsia="Arial" w:hAnsi="Arial"/>
                <w:b/>
                <w:bCs/>
                <w:color w:val="A8421A"/>
                <w:sz w:val="22"/>
                <w:szCs w:val="22"/>
              </w:rPr>
              <w:t xml:space="preserve">F-10  </w:t>
            </w:r>
            <w:r>
              <w:rPr>
                <w:rFonts w:ascii="Arial" w:cs="Arial" w:eastAsia="Arial" w:hAnsi="Arial"/>
                <w:b/>
                <w:bCs/>
                <w:color w:val="1A1D1A"/>
                <w:sz w:val="24"/>
                <w:szCs w:val="24"/>
              </w:rPr>
              <w:t xml:space="preserve">"Translate" control is implemented as a link rather than a button</w:t>
            </w:r>
          </w:p>
        </w:tc>
        <w:tc>
          <w:tcPr>
            <w:tcW w:type="dxa" w:w="1800"/>
            <w:tcBorders>
              <w:top w:val="single" w:color="D9D0BB" w:sz="4"/>
              <w:left w:val="single" w:color="D9D0BB" w:sz="4"/>
              <w:bottom w:val="single" w:color="D9D0BB" w:sz="4"/>
              <w:right w:val="single" w:color="D9D0BB" w:sz="4"/>
            </w:tcBorders>
            <w:shd w:fill="EAEFE5" w:val="clear"/>
            <w:tcMar>
              <w:top w:type="dxa" w:w="60"/>
              <w:left w:type="dxa" w:w="120"/>
              <w:bottom w:type="dxa" w:w="60"/>
              <w:right w:type="dxa" w:w="120"/>
            </w:tcMar>
            <w:vAlign w:val="center"/>
          </w:tcPr>
          <w:p>
            <w:pPr>
              <w:jc w:val="center"/>
            </w:pPr>
            <w:r>
              <w:rPr>
                <w:rFonts w:ascii="Arial" w:cs="Arial" w:eastAsia="Arial" w:hAnsi="Arial"/>
                <w:b/>
                <w:bCs/>
                <w:color w:val="3A4F2F"/>
                <w:sz w:val="18"/>
                <w:szCs w:val="18"/>
              </w:rPr>
              <w:t xml:space="preserve">LOW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 criteria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 Name, Role, Value (A)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Affected users</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Screen reader users hear "link" announced when the control actually triggers an in-page action (expanding the translation widget). This violates user expectations and can cause hesitation. Users who rely on keyboard shortcuts to navigate by buttons will not discover this control via that pattern.</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Estimated effort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Low — element swap from &lt;a&gt; to &lt;button&gt;, with associated CSS adjustment.</w:t>
            </w:r>
          </w:p>
        </w:tc>
      </w:tr>
    </w:tbl>
    <w:p>
      <w:pPr>
        <w:spacing w:after="140" w:before="0"/>
      </w:pPr>
      <w:r>
        <w:t xml:space="preserve"/>
      </w:r>
    </w:p>
    <w:p>
      <w:pPr>
        <w:spacing w:after="80" w:before="80" w:line="300"/>
      </w:pPr>
      <w:r>
        <w:rPr>
          <w:rFonts w:ascii="Arial" w:cs="Arial" w:eastAsia="Arial" w:hAnsi="Arial"/>
          <w:b/>
          <w:bCs/>
          <w:sz w:val="22"/>
          <w:szCs w:val="22"/>
        </w:rPr>
        <w:t xml:space="preserve">Finding</w:t>
      </w:r>
    </w:p>
    <w:p>
      <w:pPr>
        <w:spacing w:after="80" w:before="80" w:line="300"/>
      </w:pPr>
      <w:r>
        <w:rPr>
          <w:rFonts w:ascii="Arial" w:cs="Arial" w:eastAsia="Arial" w:hAnsi="Arial"/>
          <w:sz w:val="22"/>
          <w:szCs w:val="22"/>
        </w:rPr>
        <w:t xml:space="preserve">The "Translate" control uses an &lt;a href="#collapseTranslate"&gt; element styled as a button. Because it expands an in-page widget rather than navigating to a URL, the semantically correct element is &lt;button&gt;. WCAG 4.1.2 requires that the role match the actual behavior.</w:t>
      </w:r>
    </w:p>
    <w:p>
      <w:pPr>
        <w:spacing w:after="80" w:before="0"/>
      </w:pPr>
      <w:r>
        <w:t xml:space="preserve"/>
      </w:r>
    </w:p>
    <w:p>
      <w:pPr>
        <w:spacing w:after="80" w:before="80" w:line="300"/>
      </w:pPr>
      <w:r>
        <w:rPr>
          <w:rFonts w:ascii="Arial" w:cs="Arial" w:eastAsia="Arial" w:hAnsi="Arial"/>
          <w:b/>
          <w:bCs/>
          <w:sz w:val="22"/>
          <w:szCs w:val="22"/>
        </w:rPr>
        <w:t xml:space="preserve">Evidence</w:t>
      </w:r>
    </w:p>
    <w:p>
      <w:pPr>
        <w:spacing w:after="80" w:before="80" w:line="300"/>
      </w:pPr>
      <w:r>
        <w:rPr>
          <w:rFonts w:ascii="Consolas" w:cs="Consolas" w:eastAsia="Consolas" w:hAnsi="Consolas"/>
          <w:color w:val="3A4039"/>
          <w:sz w:val="18"/>
          <w:szCs w:val="18"/>
        </w:rPr>
        <w:t xml:space="preserve">&lt;a href="#collapseTranslate" class="btn"&gt;Translate&lt;/a&gt;</w:t>
      </w:r>
    </w:p>
    <w:p>
      <w:pPr>
        <w:spacing w:after="80" w:before="0"/>
      </w:pPr>
      <w:r>
        <w:t xml:space="preserve"/>
      </w:r>
    </w:p>
    <w:p>
      <w:pPr>
        <w:spacing w:after="80" w:before="80" w:line="300"/>
      </w:pPr>
      <w:r>
        <w:rPr>
          <w:rFonts w:ascii="Arial" w:cs="Arial" w:eastAsia="Arial" w:hAnsi="Arial"/>
          <w:b/>
          <w:bCs/>
          <w:sz w:val="22"/>
          <w:szCs w:val="22"/>
        </w:rPr>
        <w:t xml:space="preserve">Recommendation</w:t>
      </w:r>
    </w:p>
    <w:p>
      <w:pPr>
        <w:spacing w:after="80" w:before="80" w:line="300"/>
      </w:pPr>
      <w:r>
        <w:rPr>
          <w:rFonts w:ascii="Arial" w:cs="Arial" w:eastAsia="Arial" w:hAnsi="Arial"/>
          <w:sz w:val="22"/>
          <w:szCs w:val="22"/>
        </w:rPr>
        <w:t xml:space="preserve">Replace the anchor with a &lt;button type="button"&gt;. Add aria-expanded to indicate the widget's open/closed state and aria-controls pointing at the widget's id.</w:t>
      </w:r>
    </w:p>
    <w:p>
      <w:pPr>
        <w:spacing w:after="60" w:before="0"/>
      </w:pPr>
      <w:r>
        <w:t xml:space="preserve"/>
      </w:r>
    </w:p>
    <w:p>
      <w:pPr>
        <w:spacing w:after="80" w:before="80" w:line="300"/>
      </w:pPr>
      <w:r>
        <w:rPr>
          <w:rFonts w:ascii="Arial" w:cs="Arial" w:eastAsia="Arial" w:hAnsi="Arial"/>
          <w:b/>
          <w:bCs/>
          <w:sz w:val="22"/>
          <w:szCs w:val="22"/>
        </w:rPr>
        <w:t xml:space="preserve">Suggested implementation</w:t>
      </w:r>
    </w:p>
    <w:p>
      <w:pPr>
        <w:spacing w:after="80" w:before="80" w:line="300"/>
      </w:pPr>
      <w:r>
        <w:rPr>
          <w:rFonts w:ascii="Consolas" w:cs="Consolas" w:eastAsia="Consolas" w:hAnsi="Consolas"/>
          <w:sz w:val="18"/>
          <w:szCs w:val="18"/>
        </w:rPr>
        <w:t xml:space="preserve">&lt;button type="button" aria-expanded="false"
        aria-controls="collapseTranslate"&gt;Translate&lt;/button&gt;</w:t>
      </w:r>
    </w:p>
    <w:p>
      <w:pPr>
        <w:spacing w:after="220" w:before="0"/>
      </w:pPr>
      <w:r>
        <w:t xml:space="preserve"/>
      </w:r>
    </w:p>
    <w:p>
      <w:r>
        <w:br w:type="page"/>
      </w:r>
    </w:p>
    <w:p>
      <w:pPr>
        <w:pStyle w:val="Heading1"/>
        <w:spacing w:after="160" w:before="360"/>
      </w:pPr>
      <w:r>
        <w:rPr>
          <w:rFonts w:ascii="Arial" w:cs="Arial" w:eastAsia="Arial" w:hAnsi="Arial"/>
          <w:b/>
          <w:bCs/>
          <w:color w:val="1F4731"/>
          <w:sz w:val="32"/>
          <w:szCs w:val="32"/>
        </w:rPr>
        <w:t xml:space="preserve">Recommended Remediation Roadmap</w:t>
      </w:r>
    </w:p>
    <w:p>
      <w:pPr>
        <w:spacing w:after="80" w:before="80" w:line="300"/>
      </w:pPr>
      <w:r>
        <w:rPr>
          <w:rFonts w:ascii="Arial" w:cs="Arial" w:eastAsia="Arial" w:hAnsi="Arial"/>
          <w:sz w:val="22"/>
          <w:szCs w:val="22"/>
        </w:rPr>
        <w:t xml:space="preserve">The following sequence is recommended to achieve WCAG 2.1 AA conformance on this page before the April 26, 2027 compliance deadline. Dates are illustrative; the City should adapt them to its sprint cadence and procurement timelines.</w:t>
      </w:r>
    </w:p>
    <w:p>
      <w:pPr>
        <w:pStyle w:val="Heading2"/>
        <w:spacing w:after="120" w:before="280"/>
      </w:pPr>
      <w:r>
        <w:rPr>
          <w:rFonts w:ascii="Arial" w:cs="Arial" w:eastAsia="Arial" w:hAnsi="Arial"/>
          <w:b/>
          <w:bCs/>
          <w:color w:val="1F4731"/>
          <w:sz w:val="26"/>
          <w:szCs w:val="26"/>
        </w:rPr>
        <w:t xml:space="preserve">Within thirty days</w:t>
      </w:r>
    </w:p>
    <w:p>
      <w:pPr>
        <w:pStyle w:val="ListParagraph"/>
        <w:numPr>
          <w:ilvl w:val="0"/>
          <w:numId w:val="2"/>
        </w:numPr>
        <w:spacing w:after="40" w:before="40" w:line="300"/>
      </w:pPr>
      <w:r>
        <w:rPr>
          <w:rFonts w:ascii="Arial" w:cs="Arial" w:eastAsia="Arial" w:hAnsi="Arial"/>
          <w:sz w:val="22"/>
          <w:szCs w:val="22"/>
        </w:rPr>
        <w:t xml:space="preserve">Address F-02 (H1), F-04 (aria-modal), F-05 (nav label), F-06 (skip link), F-07 (logo links), F-09 (autocomplete), F-10 (button vs link). These are low-effort code changes that materially improve the page's compliance posture and can be batched into a single ticket.</w:t>
      </w:r>
    </w:p>
    <w:p>
      <w:pPr>
        <w:pStyle w:val="ListParagraph"/>
        <w:numPr>
          <w:ilvl w:val="0"/>
          <w:numId w:val="2"/>
        </w:numPr>
        <w:spacing w:after="40" w:before="40" w:line="300"/>
      </w:pPr>
      <w:r>
        <w:rPr>
          <w:rFonts w:ascii="Arial" w:cs="Arial" w:eastAsia="Arial" w:hAnsi="Arial"/>
          <w:sz w:val="22"/>
          <w:szCs w:val="22"/>
        </w:rPr>
        <w:t xml:space="preserve">Begin scoping work for the HTML alternative to the embedded PDF (F-01). Confirm whether the City will produce an in-house HTML index or coordinate with the Pikes Peak Library District as the original publisher of the source guide.</w:t>
      </w:r>
    </w:p>
    <w:p>
      <w:pPr>
        <w:pStyle w:val="Heading2"/>
        <w:spacing w:after="120" w:before="280"/>
      </w:pPr>
      <w:r>
        <w:rPr>
          <w:rFonts w:ascii="Arial" w:cs="Arial" w:eastAsia="Arial" w:hAnsi="Arial"/>
          <w:b/>
          <w:bCs/>
          <w:color w:val="1F4731"/>
          <w:sz w:val="26"/>
          <w:szCs w:val="26"/>
        </w:rPr>
        <w:t xml:space="preserve">Within ninety days</w:t>
      </w:r>
    </w:p>
    <w:p>
      <w:pPr>
        <w:pStyle w:val="ListParagraph"/>
        <w:numPr>
          <w:ilvl w:val="0"/>
          <w:numId w:val="2"/>
        </w:numPr>
        <w:spacing w:after="40" w:before="40" w:line="300"/>
      </w:pPr>
      <w:r>
        <w:rPr>
          <w:rFonts w:ascii="Arial" w:cs="Arial" w:eastAsia="Arial" w:hAnsi="Arial"/>
          <w:sz w:val="22"/>
          <w:szCs w:val="22"/>
        </w:rPr>
        <w:t xml:space="preserve">Address F-03 (aria-hidden / inert) with proper testing across major screen reader combinations.</w:t>
      </w:r>
    </w:p>
    <w:p>
      <w:pPr>
        <w:pStyle w:val="ListParagraph"/>
        <w:numPr>
          <w:ilvl w:val="0"/>
          <w:numId w:val="2"/>
        </w:numPr>
        <w:spacing w:after="40" w:before="40" w:line="300"/>
      </w:pPr>
      <w:r>
        <w:rPr>
          <w:rFonts w:ascii="Arial" w:cs="Arial" w:eastAsia="Arial" w:hAnsi="Arial"/>
          <w:sz w:val="22"/>
          <w:szCs w:val="22"/>
        </w:rPr>
        <w:t xml:space="preserve">Address F-08 (carousel controls) — consider whether the carousel itself should be replaced with a manual-advance pattern as part of broader accessibility improvements.</w:t>
      </w:r>
    </w:p>
    <w:p>
      <w:pPr>
        <w:pStyle w:val="ListParagraph"/>
        <w:numPr>
          <w:ilvl w:val="0"/>
          <w:numId w:val="2"/>
        </w:numPr>
        <w:spacing w:after="40" w:before="40" w:line="300"/>
      </w:pPr>
      <w:r>
        <w:rPr>
          <w:rFonts w:ascii="Arial" w:cs="Arial" w:eastAsia="Arial" w:hAnsi="Arial"/>
          <w:sz w:val="22"/>
          <w:szCs w:val="22"/>
        </w:rPr>
        <w:t xml:space="preserve">Deliver the first iteration of the HTML Community Resources List as the page's primary content (F-01). The PDF may be retained as a downloadable alternative.</w:t>
      </w:r>
    </w:p>
    <w:p>
      <w:pPr>
        <w:pStyle w:val="Heading2"/>
        <w:spacing w:after="120" w:before="280"/>
      </w:pPr>
      <w:r>
        <w:rPr>
          <w:rFonts w:ascii="Arial" w:cs="Arial" w:eastAsia="Arial" w:hAnsi="Arial"/>
          <w:b/>
          <w:bCs/>
          <w:color w:val="1F4731"/>
          <w:sz w:val="26"/>
          <w:szCs w:val="26"/>
        </w:rPr>
        <w:t xml:space="preserve">Within one hundred eighty days</w:t>
      </w:r>
    </w:p>
    <w:p>
      <w:pPr>
        <w:pStyle w:val="ListParagraph"/>
        <w:numPr>
          <w:ilvl w:val="0"/>
          <w:numId w:val="2"/>
        </w:numPr>
        <w:spacing w:after="40" w:before="40" w:line="300"/>
      </w:pPr>
      <w:r>
        <w:rPr>
          <w:rFonts w:ascii="Arial" w:cs="Arial" w:eastAsia="Arial" w:hAnsi="Arial"/>
          <w:sz w:val="22"/>
          <w:szCs w:val="22"/>
        </w:rPr>
        <w:t xml:space="preserve">Conduct end-user testing with residents who use assistive technology. The Independence Center and Colorado Cross-Disability Coalition are local resources for participant recruitment.</w:t>
      </w:r>
    </w:p>
    <w:p>
      <w:pPr>
        <w:pStyle w:val="ListParagraph"/>
        <w:numPr>
          <w:ilvl w:val="0"/>
          <w:numId w:val="2"/>
        </w:numPr>
        <w:spacing w:after="40" w:before="40" w:line="300"/>
      </w:pPr>
      <w:r>
        <w:rPr>
          <w:rFonts w:ascii="Arial" w:cs="Arial" w:eastAsia="Arial" w:hAnsi="Arial"/>
          <w:sz w:val="22"/>
          <w:szCs w:val="22"/>
        </w:rPr>
        <w:t xml:space="preserve">Conduct an accessibility audit of the source PDF document (separate engagement).</w:t>
      </w:r>
    </w:p>
    <w:p>
      <w:pPr>
        <w:pStyle w:val="ListParagraph"/>
        <w:numPr>
          <w:ilvl w:val="0"/>
          <w:numId w:val="2"/>
        </w:numPr>
        <w:spacing w:after="40" w:before="40" w:line="300"/>
      </w:pPr>
      <w:r>
        <w:rPr>
          <w:rFonts w:ascii="Arial" w:cs="Arial" w:eastAsia="Arial" w:hAnsi="Arial"/>
          <w:sz w:val="22"/>
          <w:szCs w:val="22"/>
        </w:rPr>
        <w:t xml:space="preserve">Audit other resident-services pages on coloradosprings.gov against the same standard.</w:t>
      </w:r>
    </w:p>
    <w:p>
      <w:pPr>
        <w:pStyle w:val="ListParagraph"/>
        <w:numPr>
          <w:ilvl w:val="0"/>
          <w:numId w:val="2"/>
        </w:numPr>
        <w:spacing w:after="40" w:before="40" w:line="300"/>
      </w:pPr>
      <w:r>
        <w:rPr>
          <w:rFonts w:ascii="Arial" w:cs="Arial" w:eastAsia="Arial" w:hAnsi="Arial"/>
          <w:sz w:val="22"/>
          <w:szCs w:val="22"/>
        </w:rPr>
        <w:t xml:space="preserve">Publish or update the City's accessibility statement to reflect the current conformance posture, contact mechanism for accessibility complaints, and remediation roadmap.</w:t>
      </w:r>
    </w:p>
    <w:p>
      <w:pPr>
        <w:pStyle w:val="Heading2"/>
        <w:spacing w:after="120" w:before="280"/>
      </w:pPr>
      <w:r>
        <w:rPr>
          <w:rFonts w:ascii="Arial" w:cs="Arial" w:eastAsia="Arial" w:hAnsi="Arial"/>
          <w:b/>
          <w:bCs/>
          <w:color w:val="1F4731"/>
          <w:sz w:val="26"/>
          <w:szCs w:val="26"/>
        </w:rPr>
        <w:t xml:space="preserve">Before April 26, 2027</w:t>
      </w:r>
    </w:p>
    <w:p>
      <w:pPr>
        <w:pStyle w:val="ListParagraph"/>
        <w:numPr>
          <w:ilvl w:val="0"/>
          <w:numId w:val="2"/>
        </w:numPr>
        <w:spacing w:after="40" w:before="40" w:line="300"/>
      </w:pPr>
      <w:r>
        <w:rPr>
          <w:rFonts w:ascii="Arial" w:cs="Arial" w:eastAsia="Arial" w:hAnsi="Arial"/>
          <w:sz w:val="22"/>
          <w:szCs w:val="22"/>
        </w:rPr>
        <w:t xml:space="preserve">Confirm complete remediation of all findings in this audit through both manual re-test and automated scan.</w:t>
      </w:r>
    </w:p>
    <w:p>
      <w:pPr>
        <w:pStyle w:val="ListParagraph"/>
        <w:numPr>
          <w:ilvl w:val="0"/>
          <w:numId w:val="2"/>
        </w:numPr>
        <w:spacing w:after="40" w:before="40" w:line="300"/>
      </w:pPr>
      <w:r>
        <w:rPr>
          <w:rFonts w:ascii="Arial" w:cs="Arial" w:eastAsia="Arial" w:hAnsi="Arial"/>
          <w:sz w:val="22"/>
          <w:szCs w:val="22"/>
        </w:rPr>
        <w:t xml:space="preserve">Establish ongoing monitoring — accessibility is not a one-time project. Site-wide automated scans on a recurring schedule, manual review of new templates and major content changes, and a defined intake path for accessibility-related feedback from residents are all components of an ongoing program.</w:t>
      </w:r>
    </w:p>
    <w:p>
      <w:pPr>
        <w:spacing w:after="160" w:before="0"/>
      </w:pPr>
      <w:r>
        <w:t xml:space="preserve"/>
      </w:r>
    </w:p>
    <w:p>
      <w:pPr>
        <w:pStyle w:val="Heading1"/>
        <w:spacing w:after="160" w:before="360"/>
      </w:pPr>
      <w:r>
        <w:rPr>
          <w:rFonts w:ascii="Arial" w:cs="Arial" w:eastAsia="Arial" w:hAnsi="Arial"/>
          <w:b/>
          <w:bCs/>
          <w:color w:val="1F4731"/>
          <w:sz w:val="32"/>
          <w:szCs w:val="32"/>
        </w:rPr>
        <w:t xml:space="preserve">Additional Recommendations</w:t>
      </w:r>
    </w:p>
    <w:p>
      <w:pPr>
        <w:pStyle w:val="Heading2"/>
        <w:spacing w:after="120" w:before="280"/>
      </w:pPr>
      <w:r>
        <w:rPr>
          <w:rFonts w:ascii="Arial" w:cs="Arial" w:eastAsia="Arial" w:hAnsi="Arial"/>
          <w:b/>
          <w:bCs/>
          <w:color w:val="1F4731"/>
          <w:sz w:val="26"/>
          <w:szCs w:val="26"/>
        </w:rPr>
        <w:t xml:space="preserve">Beyond the formal findings</w:t>
      </w:r>
    </w:p>
    <w:p>
      <w:pPr>
        <w:spacing w:after="80" w:before="80" w:line="300"/>
      </w:pPr>
      <w:r>
        <w:rPr>
          <w:rFonts w:ascii="Arial" w:cs="Arial" w:eastAsia="Arial" w:hAnsi="Arial"/>
          <w:sz w:val="22"/>
          <w:szCs w:val="22"/>
        </w:rPr>
        <w:t xml:space="preserve">The following observations were noted during the audit. They do not rise to formal findings — either because they are not WCAG violations or because they fall outside the scope of a single-page audit — but the City may wish to consider them as part of a broader accessibility program.</w:t>
      </w:r>
    </w:p>
    <w:p>
      <w:pPr>
        <w:pStyle w:val="ListParagraph"/>
        <w:numPr>
          <w:ilvl w:val="0"/>
          <w:numId w:val="2"/>
        </w:numPr>
        <w:spacing w:after="40" w:before="40" w:line="300"/>
      </w:pPr>
      <w:r>
        <w:rPr>
          <w:rFonts w:ascii="Arial" w:cs="Arial" w:eastAsia="Arial" w:hAnsi="Arial"/>
          <w:sz w:val="22"/>
          <w:szCs w:val="22"/>
        </w:rPr>
        <w:t xml:space="preserve">PDF link descriptors. The footer DMCA and Privacy Policy links use aria-label to indicate they open PDFs. This pattern is good and should be applied consistently to any other PDF link on the site, including the embedded document on this page if it remains.</w:t>
      </w:r>
    </w:p>
    <w:p>
      <w:pPr>
        <w:pStyle w:val="ListParagraph"/>
        <w:numPr>
          <w:ilvl w:val="0"/>
          <w:numId w:val="2"/>
        </w:numPr>
        <w:spacing w:after="40" w:before="40" w:line="300"/>
      </w:pPr>
      <w:r>
        <w:rPr>
          <w:rFonts w:ascii="Arial" w:cs="Arial" w:eastAsia="Arial" w:hAnsi="Arial"/>
          <w:sz w:val="22"/>
          <w:szCs w:val="22"/>
        </w:rPr>
        <w:t xml:space="preserve">Twitter / X label. The footer social link is labeled "Twitter." The platform has rebranded to "X." This is not a WCAG issue but creates minor user confusion.</w:t>
      </w:r>
    </w:p>
    <w:p>
      <w:pPr>
        <w:pStyle w:val="ListParagraph"/>
        <w:numPr>
          <w:ilvl w:val="0"/>
          <w:numId w:val="2"/>
        </w:numPr>
        <w:spacing w:after="40" w:before="40" w:line="300"/>
      </w:pPr>
      <w:r>
        <w:rPr>
          <w:rFonts w:ascii="Arial" w:cs="Arial" w:eastAsia="Arial" w:hAnsi="Arial"/>
          <w:sz w:val="22"/>
          <w:szCs w:val="22"/>
        </w:rPr>
        <w:t xml:space="preserve">No noscript fallback. Several JavaScript-dependent features (translation widget, some navigation) have no &lt;noscript&gt; fallback. WCAG does not strictly require this, but it is worth consideration for users in restrictive corporate or institutional environments.</w:t>
      </w:r>
    </w:p>
    <w:p>
      <w:pPr>
        <w:pStyle w:val="ListParagraph"/>
        <w:numPr>
          <w:ilvl w:val="0"/>
          <w:numId w:val="2"/>
        </w:numPr>
        <w:spacing w:after="40" w:before="40" w:line="300"/>
      </w:pPr>
      <w:r>
        <w:rPr>
          <w:rFonts w:ascii="Arial" w:cs="Arial" w:eastAsia="Arial" w:hAnsi="Arial"/>
          <w:sz w:val="22"/>
          <w:szCs w:val="22"/>
        </w:rPr>
        <w:t xml:space="preserve">Vendor accessibility. The translation widget appears to be a third-party embed. Per DOJ guidance, the City's ADA Title II obligations extend to third-party tools made available through City web properties. Vendor contracts should explicitly require WCAG 2.1 AA conformance and a remediation timeline for any non-conformance.</w:t>
      </w:r>
    </w:p>
    <w:p>
      <w:pPr>
        <w:pStyle w:val="Heading2"/>
        <w:spacing w:after="120" w:before="280"/>
      </w:pPr>
      <w:r>
        <w:rPr>
          <w:rFonts w:ascii="Arial" w:cs="Arial" w:eastAsia="Arial" w:hAnsi="Arial"/>
          <w:b/>
          <w:bCs/>
          <w:color w:val="1F4731"/>
          <w:sz w:val="26"/>
          <w:szCs w:val="26"/>
        </w:rPr>
        <w:t xml:space="preserve">Procurement language</w:t>
      </w:r>
    </w:p>
    <w:p>
      <w:pPr>
        <w:spacing w:after="80" w:before="80" w:line="300"/>
      </w:pPr>
      <w:r>
        <w:rPr>
          <w:rFonts w:ascii="Arial" w:cs="Arial" w:eastAsia="Arial" w:hAnsi="Arial"/>
          <w:sz w:val="22"/>
          <w:szCs w:val="22"/>
        </w:rPr>
        <w:t xml:space="preserve">The DOJ has been explicit that public entities cannot delegate their ADA obligations through procurement. Vendor contracts for any web tool, mobile app, or digital service made available through City channels should include a binding accessibility conformance clause. Recommended elements:</w:t>
      </w:r>
    </w:p>
    <w:p>
      <w:pPr>
        <w:pStyle w:val="ListParagraph"/>
        <w:numPr>
          <w:ilvl w:val="0"/>
          <w:numId w:val="2"/>
        </w:numPr>
        <w:spacing w:after="40" w:before="40" w:line="300"/>
      </w:pPr>
      <w:r>
        <w:rPr>
          <w:rFonts w:ascii="Arial" w:cs="Arial" w:eastAsia="Arial" w:hAnsi="Arial"/>
          <w:sz w:val="22"/>
          <w:szCs w:val="22"/>
        </w:rPr>
        <w:t xml:space="preserve">Explicit reference to WCAG 2.1 Level AA as the technical standard.</w:t>
      </w:r>
    </w:p>
    <w:p>
      <w:pPr>
        <w:pStyle w:val="ListParagraph"/>
        <w:numPr>
          <w:ilvl w:val="0"/>
          <w:numId w:val="2"/>
        </w:numPr>
        <w:spacing w:after="40" w:before="40" w:line="300"/>
      </w:pPr>
      <w:r>
        <w:rPr>
          <w:rFonts w:ascii="Arial" w:cs="Arial" w:eastAsia="Arial" w:hAnsi="Arial"/>
          <w:sz w:val="22"/>
          <w:szCs w:val="22"/>
        </w:rPr>
        <w:t xml:space="preserve">A current Accessibility Conformance Report (ACR), prepared using the Voluntary Product Accessibility Template (VPAT 2.5 or later).</w:t>
      </w:r>
    </w:p>
    <w:p>
      <w:pPr>
        <w:pStyle w:val="ListParagraph"/>
        <w:numPr>
          <w:ilvl w:val="0"/>
          <w:numId w:val="2"/>
        </w:numPr>
        <w:spacing w:after="40" w:before="40" w:line="300"/>
      </w:pPr>
      <w:r>
        <w:rPr>
          <w:rFonts w:ascii="Arial" w:cs="Arial" w:eastAsia="Arial" w:hAnsi="Arial"/>
          <w:sz w:val="22"/>
          <w:szCs w:val="22"/>
        </w:rPr>
        <w:t xml:space="preserve">A remediation timeline for any disclosed non-conformance, with milestones and responsibilities.</w:t>
      </w:r>
    </w:p>
    <w:p>
      <w:pPr>
        <w:pStyle w:val="ListParagraph"/>
        <w:numPr>
          <w:ilvl w:val="0"/>
          <w:numId w:val="2"/>
        </w:numPr>
        <w:spacing w:after="40" w:before="40" w:line="300"/>
      </w:pPr>
      <w:r>
        <w:rPr>
          <w:rFonts w:ascii="Arial" w:cs="Arial" w:eastAsia="Arial" w:hAnsi="Arial"/>
          <w:sz w:val="22"/>
          <w:szCs w:val="22"/>
        </w:rPr>
        <w:t xml:space="preserve">Right to terminate for sustained non-conformance after notice and cure.</w:t>
      </w:r>
    </w:p>
    <w:p>
      <w:pPr>
        <w:pStyle w:val="Heading2"/>
        <w:spacing w:after="120" w:before="280"/>
      </w:pPr>
      <w:r>
        <w:rPr>
          <w:rFonts w:ascii="Arial" w:cs="Arial" w:eastAsia="Arial" w:hAnsi="Arial"/>
          <w:b/>
          <w:bCs/>
          <w:color w:val="1F4731"/>
          <w:sz w:val="26"/>
          <w:szCs w:val="26"/>
        </w:rPr>
        <w:t xml:space="preserve">Ongoing program</w:t>
      </w:r>
    </w:p>
    <w:p>
      <w:pPr>
        <w:spacing w:after="80" w:before="80" w:line="300"/>
      </w:pPr>
      <w:r>
        <w:rPr>
          <w:rFonts w:ascii="Arial" w:cs="Arial" w:eastAsia="Arial" w:hAnsi="Arial"/>
          <w:sz w:val="22"/>
          <w:szCs w:val="22"/>
        </w:rPr>
        <w:t xml:space="preserve">The Title II rule does not create a one-time conformance obligation. Public entities are required to maintain WCAG 2.1 AA conformance on an ongoing basis. Recommended program elements:</w:t>
      </w:r>
    </w:p>
    <w:p>
      <w:pPr>
        <w:pStyle w:val="ListParagraph"/>
        <w:numPr>
          <w:ilvl w:val="0"/>
          <w:numId w:val="2"/>
        </w:numPr>
        <w:spacing w:after="40" w:before="40" w:line="300"/>
      </w:pPr>
      <w:r>
        <w:rPr>
          <w:rFonts w:ascii="Arial" w:cs="Arial" w:eastAsia="Arial" w:hAnsi="Arial"/>
          <w:sz w:val="22"/>
          <w:szCs w:val="22"/>
        </w:rPr>
        <w:t xml:space="preserve">A documented accessibility policy approved by the appropriate level of City leadership.</w:t>
      </w:r>
    </w:p>
    <w:p>
      <w:pPr>
        <w:pStyle w:val="ListParagraph"/>
        <w:numPr>
          <w:ilvl w:val="0"/>
          <w:numId w:val="2"/>
        </w:numPr>
        <w:spacing w:after="40" w:before="40" w:line="300"/>
      </w:pPr>
      <w:r>
        <w:rPr>
          <w:rFonts w:ascii="Arial" w:cs="Arial" w:eastAsia="Arial" w:hAnsi="Arial"/>
          <w:sz w:val="22"/>
          <w:szCs w:val="22"/>
        </w:rPr>
        <w:t xml:space="preserve">A named accessibility coordinator with authority to require remediation.</w:t>
      </w:r>
    </w:p>
    <w:p>
      <w:pPr>
        <w:pStyle w:val="ListParagraph"/>
        <w:numPr>
          <w:ilvl w:val="0"/>
          <w:numId w:val="2"/>
        </w:numPr>
        <w:spacing w:after="40" w:before="40" w:line="300"/>
      </w:pPr>
      <w:r>
        <w:rPr>
          <w:rFonts w:ascii="Arial" w:cs="Arial" w:eastAsia="Arial" w:hAnsi="Arial"/>
          <w:sz w:val="22"/>
          <w:szCs w:val="22"/>
        </w:rPr>
        <w:t xml:space="preserve">A published accessibility statement with a contact mechanism for residents to report barriers.</w:t>
      </w:r>
    </w:p>
    <w:p>
      <w:pPr>
        <w:pStyle w:val="ListParagraph"/>
        <w:numPr>
          <w:ilvl w:val="0"/>
          <w:numId w:val="2"/>
        </w:numPr>
        <w:spacing w:after="40" w:before="40" w:line="300"/>
      </w:pPr>
      <w:r>
        <w:rPr>
          <w:rFonts w:ascii="Arial" w:cs="Arial" w:eastAsia="Arial" w:hAnsi="Arial"/>
          <w:sz w:val="22"/>
          <w:szCs w:val="22"/>
        </w:rPr>
        <w:t xml:space="preserve">Mandatory accessibility training for content authors, developers, and procurement staff.</w:t>
      </w:r>
    </w:p>
    <w:p>
      <w:pPr>
        <w:pStyle w:val="ListParagraph"/>
        <w:numPr>
          <w:ilvl w:val="0"/>
          <w:numId w:val="2"/>
        </w:numPr>
        <w:spacing w:after="40" w:before="40" w:line="300"/>
      </w:pPr>
      <w:r>
        <w:rPr>
          <w:rFonts w:ascii="Arial" w:cs="Arial" w:eastAsia="Arial" w:hAnsi="Arial"/>
          <w:sz w:val="22"/>
          <w:szCs w:val="22"/>
        </w:rPr>
        <w:t xml:space="preserve">Recurring automated scans of all City web properties, with a defined cadence (monthly is typical).</w:t>
      </w:r>
    </w:p>
    <w:p>
      <w:pPr>
        <w:pStyle w:val="ListParagraph"/>
        <w:numPr>
          <w:ilvl w:val="0"/>
          <w:numId w:val="2"/>
        </w:numPr>
        <w:spacing w:after="40" w:before="40" w:line="300"/>
      </w:pPr>
      <w:r>
        <w:rPr>
          <w:rFonts w:ascii="Arial" w:cs="Arial" w:eastAsia="Arial" w:hAnsi="Arial"/>
          <w:sz w:val="22"/>
          <w:szCs w:val="22"/>
        </w:rPr>
        <w:t xml:space="preserve">Manual audit of any new template, major redesign, or third-party integration before launch.</w:t>
      </w:r>
    </w:p>
    <w:p>
      <w:pPr>
        <w:pStyle w:val="ListParagraph"/>
        <w:numPr>
          <w:ilvl w:val="0"/>
          <w:numId w:val="2"/>
        </w:numPr>
        <w:spacing w:after="40" w:before="40" w:line="300"/>
      </w:pPr>
      <w:r>
        <w:rPr>
          <w:rFonts w:ascii="Arial" w:cs="Arial" w:eastAsia="Arial" w:hAnsi="Arial"/>
          <w:sz w:val="22"/>
          <w:szCs w:val="22"/>
        </w:rPr>
        <w:t xml:space="preserve">A defined process for end-user feedback and complaint resolution, with documented response times.</w:t>
      </w:r>
    </w:p>
    <w:p>
      <w:r>
        <w:br w:type="page"/>
      </w:r>
    </w:p>
    <w:p>
      <w:pPr>
        <w:pStyle w:val="Heading1"/>
        <w:spacing w:after="160" w:before="360"/>
      </w:pPr>
      <w:r>
        <w:rPr>
          <w:rFonts w:ascii="Arial" w:cs="Arial" w:eastAsia="Arial" w:hAnsi="Arial"/>
          <w:b/>
          <w:bCs/>
          <w:color w:val="1F4731"/>
          <w:sz w:val="32"/>
          <w:szCs w:val="32"/>
        </w:rPr>
        <w:t xml:space="preserve">Appendix A — WCAG 2.1 Criteria Referenced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720"/>
        <w:gridCol w:w="2160"/>
        <w:gridCol w:w="5400"/>
      </w:tblGrid>
      <w:tr>
        <w:trPr>
          <w:tblHeader/>
        </w:trPr>
        <w:tc>
          <w:tcPr>
            <w:tcW w:type="dxa" w:w="108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Criterion</w:t>
            </w:r>
          </w:p>
        </w:tc>
        <w:tc>
          <w:tcPr>
            <w:tcW w:type="dxa" w:w="72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Level</w:t>
            </w:r>
          </w:p>
        </w:tc>
        <w:tc>
          <w:tcPr>
            <w:tcW w:type="dxa" w:w="216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Name</w:t>
            </w:r>
          </w:p>
        </w:tc>
        <w:tc>
          <w:tcPr>
            <w:tcW w:type="dxa" w:w="5400"/>
            <w:tcBorders>
              <w:top w:val="single" w:color="D9D0BB" w:sz="4"/>
              <w:left w:val="single" w:color="D9D0BB" w:sz="4"/>
              <w:bottom w:val="single" w:color="D9D0BB" w:sz="4"/>
              <w:right w:val="single" w:color="D9D0BB" w:sz="4"/>
            </w:tcBorders>
            <w:shd w:fill="1F4731" w:val="clear"/>
            <w:tcMar>
              <w:top w:type="dxa" w:w="80"/>
              <w:left w:type="dxa" w:w="120"/>
              <w:bottom w:type="dxa" w:w="80"/>
              <w:right w:type="dxa" w:w="120"/>
            </w:tcMar>
            <w:vAlign w:val="top"/>
          </w:tcPr>
          <w:p>
            <w:r>
              <w:rPr>
                <w:rFonts w:ascii="Arial" w:cs="Arial" w:eastAsia="Arial" w:hAnsi="Arial"/>
                <w:b/>
                <w:bCs/>
                <w:color w:val="FFFFFF"/>
                <w:sz w:val="20"/>
                <w:szCs w:val="20"/>
              </w:rPr>
              <w:t xml:space="preserve">Requirement</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1.1.1</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Non-text Content</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All non-text content presented to the user has a text alternative that serves the equivalent purpose.</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1.3.1</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Info and Relationships</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Information, structure, and relationships conveyed through presentation can be programmatically determined or are available in text.</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1.3.5</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Identify Input Purpose</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The purpose of each input field collecting information about the user can be programmatically determined.</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1.3.6</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AAA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Identify Purpose</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In content implemented using markup languages, the purpose of UI components, icons, and regions can be programmatically determined. (Listed because the relevant nav-labeling pattern derives from this criterion; the AA equivalent is 2.4.6.)</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2.1.1</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Keyboard</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All functionality of the content is operable through a keyboard interface.</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2.4.1</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Bypass Blocks</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 mechanism is available to bypass blocks of content that are repeated on multiple Web pages.</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2.4.4</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Link Purpose (In Context)</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The purpose of each link can be determined from the link text alone or from the link text together with its programmatically determined link context.</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2.4.6</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Headings and Labels</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Headings and labels describe topic or purpose.</w:t>
            </w:r>
          </w:p>
        </w:tc>
      </w:tr>
      <w:tr>
        <w:tc>
          <w:tcPr>
            <w:tcW w:type="dxa" w:w="108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4.1.2</w:t>
            </w:r>
          </w:p>
        </w:tc>
        <w:tc>
          <w:tcPr>
            <w:tcW w:type="dxa" w:w="72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pPr>
              <w:jc w:val="center"/>
            </w:pPr>
            <w:r>
              <w:rPr>
                <w:rFonts w:ascii="Arial" w:cs="Arial" w:eastAsia="Arial" w:hAnsi="Arial"/>
                <w:sz w:val="20"/>
                <w:szCs w:val="20"/>
              </w:rPr>
              <w:t xml:space="preserve">A</w:t>
            </w:r>
          </w:p>
        </w:tc>
        <w:tc>
          <w:tcPr>
            <w:tcW w:type="dxa" w:w="216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Name, Role, Value</w:t>
            </w:r>
          </w:p>
        </w:tc>
        <w:tc>
          <w:tcPr>
            <w:tcW w:type="dxa" w:w="540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For all UI components, the name and role can be programmatically determined; states, properties, and values can be programmatically set; and notification of changes is available to user agents.</w:t>
            </w:r>
          </w:p>
        </w:tc>
      </w:tr>
    </w:tbl>
    <w:p>
      <w:pPr>
        <w:spacing w:after="220" w:before="0"/>
      </w:pPr>
      <w:r>
        <w:t xml:space="preserve"/>
      </w:r>
    </w:p>
    <w:p>
      <w:pPr>
        <w:pStyle w:val="Heading1"/>
        <w:spacing w:after="160" w:before="360"/>
      </w:pPr>
      <w:r>
        <w:rPr>
          <w:rFonts w:ascii="Arial" w:cs="Arial" w:eastAsia="Arial" w:hAnsi="Arial"/>
          <w:b/>
          <w:bCs/>
          <w:color w:val="1F4731"/>
          <w:sz w:val="32"/>
          <w:szCs w:val="32"/>
        </w:rPr>
        <w:t xml:space="preserve">Appendix B — Glossary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ADA Title II</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Section of the Americans with Disabilities Act that governs state and local government entities. Codified at 28 CFR Part 35.</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ARIA</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Accessible Rich Internet Applications. A set of HTML attributes that supplement standard HTML to communicate information about UI components to assistive technology.</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aria-modal</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An ARIA attribute that indicates a dialog is modal — when set to true, assistive technology treats content outside the dialog as inert.</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Assistive technology (AT)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Software or hardware that helps people with disabilities use computers and the web. Examples include screen readers, screen magnifiers, switch devices, and speech-input software.</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Conformance</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Meeting all the success criteria of a specified WCAG level (A, AA, or AAA).</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DOJ</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United States Department of Justice. The federal agency with rulemaking authority under ADA Title II.</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inert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An HTML attribute that makes an element and all its descendants non-interactive: not focusable, not perceivable to assistive technology, and not responsive to clicks.</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Keyboard trap</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 state in which a keyboard user can move focus to a control but cannot move focus away from it.</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Landmark</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 region of a web page that screen reader users can navigate to directly. Landmarks include header, nav, main, aside, and footer.</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Skip link</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A link near the top of a page that allows keyboard users to jump past repetitive content (typically the header and primary navigation) to the main content.</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VPAT</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Voluntary Product Accessibility Template. A document format vendors use to disclose how their product conforms to accessibility standards.</w:t>
            </w:r>
          </w:p>
        </w:tc>
      </w:tr>
      <w:tr>
        <w:tc>
          <w:tcPr>
            <w:tcW w:type="dxa" w:w="2520"/>
            <w:tcBorders>
              <w:top w:val="single" w:color="D9D0BB" w:sz="4"/>
              <w:left w:val="single" w:color="D9D0BB" w:sz="4"/>
              <w:bottom w:val="single" w:color="D9D0BB" w:sz="4"/>
              <w:right w:val="single" w:color="D9D0BB" w:sz="4"/>
            </w:tcBorders>
            <w:shd w:fill="EFE7D4" w:val="clear"/>
            <w:tcMar>
              <w:top w:type="dxa" w:w="80"/>
              <w:left w:type="dxa" w:w="120"/>
              <w:bottom w:type="dxa" w:w="80"/>
              <w:right w:type="dxa" w:w="120"/>
            </w:tcMar>
            <w:vAlign w:val="top"/>
          </w:tcPr>
          <w:p>
            <w:r>
              <w:rPr>
                <w:rFonts w:ascii="Arial" w:cs="Arial" w:eastAsia="Arial" w:hAnsi="Arial"/>
                <w:b/>
                <w:bCs/>
                <w:color w:val="3A4039"/>
                <w:sz w:val="20"/>
                <w:szCs w:val="20"/>
              </w:rPr>
              <w:t xml:space="preserve">WCAG</w:t>
            </w:r>
          </w:p>
        </w:tc>
        <w:tc>
          <w:tcPr>
            <w:tcW w:type="dxa" w:w="6840"/>
            <w:tcBorders>
              <w:top w:val="single" w:color="D9D0BB" w:sz="4"/>
              <w:left w:val="single" w:color="D9D0BB" w:sz="4"/>
              <w:bottom w:val="single" w:color="D9D0BB" w:sz="4"/>
              <w:right w:val="single" w:color="D9D0BB" w:sz="4"/>
            </w:tcBorders>
            <w:tcMar>
              <w:top w:type="dxa" w:w="80"/>
              <w:left w:type="dxa" w:w="120"/>
              <w:bottom w:type="dxa" w:w="80"/>
              <w:right w:type="dxa" w:w="120"/>
            </w:tcMar>
            <w:vAlign w:val="top"/>
          </w:tcPr>
          <w:p>
            <w:r>
              <w:rPr>
                <w:rFonts w:ascii="Arial" w:cs="Arial" w:eastAsia="Arial" w:hAnsi="Arial"/>
                <w:sz w:val="20"/>
                <w:szCs w:val="20"/>
              </w:rPr>
              <w:t xml:space="preserve">Web Content Accessibility Guidelines. The W3C-published technical standard for web accessibility, organized into four principles (Perceivable, Operable, Understandable, Robust) and three conformance levels (A, AA, AAA).</w:t>
            </w:r>
          </w:p>
        </w:tc>
      </w:tr>
    </w:tbl>
    <w:p>
      <w:pPr>
        <w:spacing w:after="220" w:before="0"/>
      </w:pPr>
      <w:r>
        <w:t xml:space="preserve"/>
      </w:r>
    </w:p>
    <w:p>
      <w:pPr>
        <w:pStyle w:val="Heading1"/>
        <w:spacing w:after="160" w:before="360"/>
      </w:pPr>
      <w:r>
        <w:rPr>
          <w:rFonts w:ascii="Arial" w:cs="Arial" w:eastAsia="Arial" w:hAnsi="Arial"/>
          <w:b/>
          <w:bCs/>
          <w:color w:val="1F4731"/>
          <w:sz w:val="32"/>
          <w:szCs w:val="32"/>
        </w:rPr>
        <w:t xml:space="preserve">Appendix C — References</w:t>
      </w:r>
    </w:p>
    <w:p>
      <w:pPr>
        <w:spacing w:after="80" w:before="80" w:line="300"/>
      </w:pPr>
      <w:r>
        <w:rPr>
          <w:rFonts w:ascii="Arial" w:cs="Arial" w:eastAsia="Arial" w:hAnsi="Arial"/>
          <w:sz w:val="22"/>
          <w:szCs w:val="22"/>
        </w:rPr>
        <w:t xml:space="preserve">DOJ rulemaking and guidance:</w:t>
      </w:r>
    </w:p>
    <w:p>
      <w:pPr>
        <w:pStyle w:val="ListParagraph"/>
        <w:numPr>
          <w:ilvl w:val="0"/>
          <w:numId w:val="2"/>
        </w:numPr>
        <w:spacing w:after="40" w:before="40" w:line="300"/>
      </w:pPr>
      <w:r>
        <w:rPr>
          <w:rFonts w:ascii="Arial" w:cs="Arial" w:eastAsia="Arial" w:hAnsi="Arial"/>
          <w:sz w:val="22"/>
          <w:szCs w:val="22"/>
        </w:rPr>
        <w:t xml:space="preserve">U.S. Department of Justice, Final Rule on Nondiscrimination on the Basis of Disability; Accessibility of Web Information and Services of State and Local Government Entities, 89 Fed. Reg. 31320 (April 24, 2024).</w:t>
      </w:r>
    </w:p>
    <w:p>
      <w:pPr>
        <w:pStyle w:val="ListParagraph"/>
        <w:numPr>
          <w:ilvl w:val="0"/>
          <w:numId w:val="2"/>
        </w:numPr>
        <w:spacing w:after="40" w:before="40" w:line="300"/>
      </w:pPr>
      <w:r>
        <w:rPr>
          <w:rFonts w:ascii="Arial" w:cs="Arial" w:eastAsia="Arial" w:hAnsi="Arial"/>
          <w:sz w:val="22"/>
          <w:szCs w:val="22"/>
        </w:rPr>
        <w:t xml:space="preserve">U.S. Department of Justice, Interim Final Rule extending compliance dates for the 2024 Title II web accessibility rule, published April 20, 2026, effective April 20, 2026, 91 Fed. Reg. 20902.</w:t>
      </w:r>
    </w:p>
    <w:p>
      <w:pPr>
        <w:pStyle w:val="ListParagraph"/>
        <w:numPr>
          <w:ilvl w:val="0"/>
          <w:numId w:val="2"/>
        </w:numPr>
        <w:spacing w:after="40" w:before="40" w:line="300"/>
      </w:pPr>
      <w:r>
        <w:rPr>
          <w:rFonts w:ascii="Arial" w:cs="Arial" w:eastAsia="Arial" w:hAnsi="Arial"/>
          <w:sz w:val="22"/>
          <w:szCs w:val="22"/>
        </w:rPr>
        <w:t xml:space="preserve">ADA.gov, Fact Sheet: New Rule on the Accessibility of Web Content and Mobile Apps Provided by State and Local Governments. Available at ada.gov/resources/2024-03-08-web-rule/.</w:t>
      </w:r>
    </w:p>
    <w:p>
      <w:pPr>
        <w:pStyle w:val="ListParagraph"/>
        <w:numPr>
          <w:ilvl w:val="0"/>
          <w:numId w:val="2"/>
        </w:numPr>
        <w:spacing w:after="40" w:before="40" w:line="300"/>
      </w:pPr>
      <w:r>
        <w:rPr>
          <w:rFonts w:ascii="Arial" w:cs="Arial" w:eastAsia="Arial" w:hAnsi="Arial"/>
          <w:sz w:val="22"/>
          <w:szCs w:val="22"/>
        </w:rPr>
        <w:t xml:space="preserve">ADA.gov, State and Local Governments: First Steps Toward Complying with the Americans with Disabilities Act Title II Web and Mobile Application Accessibility Rule. Available at ada.gov/resources/web-rule-first-steps/.</w:t>
      </w:r>
    </w:p>
    <w:p>
      <w:pPr>
        <w:spacing w:after="80" w:before="80" w:line="300"/>
      </w:pPr>
      <w:r>
        <w:rPr>
          <w:rFonts w:ascii="Arial" w:cs="Arial" w:eastAsia="Arial" w:hAnsi="Arial"/>
          <w:sz w:val="22"/>
          <w:szCs w:val="22"/>
        </w:rPr>
        <w:t xml:space="preserve">Technical standards:</w:t>
      </w:r>
    </w:p>
    <w:p>
      <w:pPr>
        <w:pStyle w:val="ListParagraph"/>
        <w:numPr>
          <w:ilvl w:val="0"/>
          <w:numId w:val="2"/>
        </w:numPr>
        <w:spacing w:after="40" w:before="40" w:line="300"/>
      </w:pPr>
      <w:r>
        <w:rPr>
          <w:rFonts w:ascii="Arial" w:cs="Arial" w:eastAsia="Arial" w:hAnsi="Arial"/>
          <w:sz w:val="22"/>
          <w:szCs w:val="22"/>
        </w:rPr>
        <w:t xml:space="preserve">World Wide Web Consortium, Web Content Accessibility Guidelines (WCAG) 2.1, W3C Recommendation 5 June 2018, updated 21 September 2023. Available at w3.org/TR/WCAG21/.</w:t>
      </w:r>
    </w:p>
    <w:p>
      <w:pPr>
        <w:pStyle w:val="ListParagraph"/>
        <w:numPr>
          <w:ilvl w:val="0"/>
          <w:numId w:val="2"/>
        </w:numPr>
        <w:spacing w:after="40" w:before="40" w:line="300"/>
      </w:pPr>
      <w:r>
        <w:rPr>
          <w:rFonts w:ascii="Arial" w:cs="Arial" w:eastAsia="Arial" w:hAnsi="Arial"/>
          <w:sz w:val="22"/>
          <w:szCs w:val="22"/>
        </w:rPr>
        <w:t xml:space="preserve">World Wide Web Consortium, ARIA Authoring Practices Guide. Available at w3.org/WAI/ARIA/apg/.</w:t>
      </w:r>
    </w:p>
    <w:p>
      <w:pPr>
        <w:spacing w:after="80" w:before="0"/>
      </w:pPr>
      <w:r>
        <w:t xml:space="preserve"/>
      </w:r>
    </w:p>
    <w:p>
      <w:pPr>
        <w:spacing w:after="80" w:before="80" w:line="300"/>
      </w:pPr>
      <w:r>
        <w:rPr>
          <w:rFonts w:ascii="Arial" w:cs="Arial" w:eastAsia="Arial" w:hAnsi="Arial"/>
          <w:i/>
          <w:iCs/>
          <w:color w:val="6A6F68"/>
          <w:sz w:val="20"/>
          <w:szCs w:val="20"/>
        </w:rPr>
        <w:t xml:space="preserve">Document prepared May 7,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A6F68"/>
        <w:sz w:val="16"/>
        <w:szCs w:val="16"/>
      </w:rPr>
      <w:t xml:space="preserve">Page </w:t>
    </w:r>
    <w:r>
      <w:rPr>
        <w:rFonts w:ascii="Arial" w:cs="Arial" w:eastAsia="Arial" w:hAnsi="Arial"/>
        <w:color w:val="6A6F68"/>
        <w:sz w:val="16"/>
        <w:szCs w:val="16"/>
      </w:rPr>
      <w:fldChar w:fldCharType="begin"/>
      <w:instrText xml:space="preserve">PAGE</w:instrText>
      <w:fldChar w:fldCharType="separate"/>
      <w:fldChar w:fldCharType="end"/>
    </w:r>
    <w:r>
      <w:rPr>
        <w:rFonts w:ascii="Arial" w:cs="Arial" w:eastAsia="Arial" w:hAnsi="Arial"/>
        <w:color w:val="6A6F68"/>
        <w:sz w:val="16"/>
        <w:szCs w:val="16"/>
      </w:rPr>
      <w:t xml:space="preserve"> of </w:t>
    </w:r>
    <w:r>
      <w:rPr>
        <w:rFonts w:ascii="Arial" w:cs="Arial" w:eastAsia="Arial" w:hAnsi="Arial"/>
        <w:color w:val="6A6F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A6F68"/>
        <w:sz w:val="16"/>
        <w:szCs w:val="16"/>
      </w:rPr>
      <w:t xml:space="preserve">Web Accessibility Audit — Community Resources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73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73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D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Accessibility Audit — City of Colorado Springs Community Resources List</dc:title>
  <dc:creator>Helping Hands Accessibility Audit</dc:creator>
  <dc:description>Formal WCAG 2.1 Level AA audit conducted under ADA Title II</dc:description>
  <cp:lastModifiedBy>Un-named</cp:lastModifiedBy>
  <cp:revision>1</cp:revision>
  <dcterms:created xsi:type="dcterms:W3CDTF">2026-05-07T21:35:06.297Z</dcterms:created>
  <dcterms:modified xsi:type="dcterms:W3CDTF">2026-05-07T21:35:06.298Z</dcterms:modified>
</cp:coreProperties>
</file>

<file path=docProps/custom.xml><?xml version="1.0" encoding="utf-8"?>
<Properties xmlns="http://schemas.openxmlformats.org/officeDocument/2006/custom-properties" xmlns:vt="http://schemas.openxmlformats.org/officeDocument/2006/docPropsVTypes"/>
</file>