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i w:val="false"/>
          <w:iCs w:val="false"/>
          <w:color w:val="001a4d"/>
          <w:sz w:val="20"/>
          <w:szCs w:val="20"/>
        </w:rPr>
        <w:t xml:space="preserve">CITY OF COLORADO SPRINGS</w:t>
      </w:r>
    </w:p>
    <w:p>
      <w:pPr>
        <w:spacing w:after="160" w:before="0"/>
        <w:jc w:val="center"/>
      </w:pPr>
      <w:r>
        <w:rPr>
          <w:rFonts w:ascii="Arial" w:cs="Arial" w:eastAsia="Arial" w:hAnsi="Arial"/>
          <w:b w:val="false"/>
          <w:bCs w:val="false"/>
          <w:i/>
          <w:iCs/>
          <w:color w:val="444444"/>
          <w:sz w:val="18"/>
          <w:szCs w:val="18"/>
        </w:rPr>
        <w:t xml:space="preserve">ADA Accessibility Audit · Legal Compliance Letter · CORA Request</w:t>
      </w:r>
    </w:p>
    <w:p>
      <w:pPr>
        <w:spacing w:after="160" w:before="0"/>
        <w:jc w:val="center"/>
      </w:pPr>
      <w:r>
        <w:rPr>
          <w:rFonts w:ascii="Arial" w:cs="Arial" w:eastAsia="Arial" w:hAnsi="Arial"/>
          <w:b w:val="false"/>
          <w:bCs w:val="false"/>
          <w:i w:val="false"/>
          <w:iCs w:val="false"/>
          <w:color w:val="444444"/>
          <w:sz w:val="18"/>
          <w:szCs w:val="18"/>
        </w:rPr>
        <w:t xml:space="preserve">coloradosprings.gov/City-Clerk/CORA · April 2026</w:t>
      </w:r>
    </w:p>
    <w:p>
      <w:pPr>
        <w:spacing w:after="80"/>
      </w:pPr>
      <w:r>
        <w:rPr>
          <w:rFonts w:ascii="Arial" w:cs="Arial" w:eastAsia="Arial" w:hAnsi="Arial"/>
          <w:sz w:val="24"/>
          <w:szCs w:val="24"/>
        </w:rPr>
        <w:t xml:space="preserve"/>
      </w:r>
    </w:p>
    <w:p>
      <w:pPr>
        <w:spacing w:after="160" w:before="160"/>
        <w:jc w:val="center"/>
      </w:pPr>
      <w:r>
        <w:rPr>
          <w:rFonts w:ascii="Arial" w:cs="Arial" w:eastAsia="Arial" w:hAnsi="Arial"/>
          <w:color w:val="cccccc"/>
          <w:sz w:val="20"/>
          <w:szCs w:val="20"/>
        </w:rPr>
        <w:t xml:space="preserve">―――――――――――――――</w:t>
      </w:r>
    </w:p>
    <w:p>
      <w:pPr>
        <w:spacing w:after="80"/>
      </w:pPr>
      <w:r>
        <w:rPr>
          <w:rFonts w:ascii="Arial" w:cs="Arial" w:eastAsia="Arial" w:hAnsi="Arial"/>
          <w:sz w:val="24"/>
          <w:szCs w:val="24"/>
        </w:rPr>
        <w:t xml:space="preserve"/>
      </w:r>
    </w:p>
    <w:p>
      <w:pPr>
        <w:pStyle w:val="Heading1"/>
        <w:spacing w:after="160" w:before="400"/>
      </w:pPr>
      <w:r>
        <w:rPr>
          <w:rFonts w:ascii="Arial" w:cs="Arial" w:eastAsia="Arial" w:hAnsi="Arial"/>
          <w:b/>
          <w:bCs/>
          <w:color w:val="001a4d"/>
          <w:sz w:val="32"/>
          <w:szCs w:val="32"/>
        </w:rPr>
        <w:t xml:space="preserve">Part One — ADA Accessibility Audit</w:t>
      </w:r>
    </w:p>
    <w:p>
      <w:pPr>
        <w:spacing w:after="160" w:before="0"/>
        <w:jc w:val="left"/>
      </w:pPr>
      <w:r>
        <w:rPr>
          <w:rFonts w:ascii="Arial" w:cs="Arial" w:eastAsia="Arial" w:hAnsi="Arial"/>
          <w:b w:val="false"/>
          <w:bCs w:val="false"/>
          <w:i/>
          <w:iCs/>
          <w:color w:val="444444"/>
          <w:sz w:val="24"/>
          <w:szCs w:val="24"/>
        </w:rPr>
        <w:t xml:space="preserve">Page audited: coloradosprings.gov/City-Clerk/CORA</w:t>
      </w:r>
    </w:p>
    <w:p>
      <w:pPr>
        <w:spacing w:after="160" w:before="0"/>
        <w:jc w:val="left"/>
      </w:pPr>
      <w:r>
        <w:rPr>
          <w:rFonts w:ascii="Arial" w:cs="Arial" w:eastAsia="Arial" w:hAnsi="Arial"/>
          <w:b w:val="false"/>
          <w:bCs w:val="false"/>
          <w:i/>
          <w:iCs/>
          <w:color w:val="444444"/>
          <w:sz w:val="24"/>
          <w:szCs w:val="24"/>
        </w:rPr>
        <w:t xml:space="preserve">Audit method: Live browser evaluation, accessibility tree inspection, JavaScript DOM analysis, manual keyboard review. April 2026.</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City of Colorado Springs CORA page was audited against WCAG 2.1 Level AA, required under the DOJ Final Rule effective April 24, 2026 for jurisdictions of 50,000 or more residents. Ten failures were identified. Total estimated remediation time: approximately three to four hours for fixes 1–9. Finding 10 requires a process redesign addressed in Part Three of this document.</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Summary of Findings</w:t>
      </w:r>
    </w:p>
    <w:p>
      <w:pPr>
        <w:spacing w:after="8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20"/>
        <w:gridCol w:w="4680"/>
        <w:gridCol w:w="2520"/>
      </w:tblGrid>
      <w:tr>
        <w:tc>
          <w:tcPr>
            <w:tcW w:type="dxa" w:w="540"/>
            <w:tcBorders>
              <w:top w:val="single" w:color="dddddd" w:sz="1"/>
              <w:left w:val="single" w:color="dddddd" w:sz="1"/>
              <w:bottom w:val="single" w:color="dddddd" w:sz="1"/>
              <w:right w:val="single" w:color="dddddd" w:sz="1"/>
            </w:tcBorders>
            <w:shd w:fill="001a4d"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w:t>
            </w:r>
          </w:p>
        </w:tc>
        <w:tc>
          <w:tcPr>
            <w:tcW w:type="dxa" w:w="1620"/>
            <w:tcBorders>
              <w:top w:val="single" w:color="dddddd" w:sz="1"/>
              <w:left w:val="single" w:color="dddddd" w:sz="1"/>
              <w:bottom w:val="single" w:color="dddddd" w:sz="1"/>
              <w:right w:val="single" w:color="dddddd" w:sz="1"/>
            </w:tcBorders>
            <w:shd w:fill="001a4d"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Severity</w:t>
            </w:r>
          </w:p>
        </w:tc>
        <w:tc>
          <w:tcPr>
            <w:tcW w:type="dxa" w:w="4680"/>
            <w:tcBorders>
              <w:top w:val="single" w:color="dddddd" w:sz="1"/>
              <w:left w:val="single" w:color="dddddd" w:sz="1"/>
              <w:bottom w:val="single" w:color="dddddd" w:sz="1"/>
              <w:right w:val="single" w:color="dddddd" w:sz="1"/>
            </w:tcBorders>
            <w:shd w:fill="001a4d"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Finding</w:t>
            </w:r>
          </w:p>
        </w:tc>
        <w:tc>
          <w:tcPr>
            <w:tcW w:type="dxa" w:w="2520"/>
            <w:tcBorders>
              <w:top w:val="single" w:color="dddddd" w:sz="1"/>
              <w:left w:val="single" w:color="dddddd" w:sz="1"/>
              <w:bottom w:val="single" w:color="dddddd" w:sz="1"/>
              <w:right w:val="single" w:color="dddddd" w:sz="1"/>
            </w:tcBorders>
            <w:shd w:fill="001a4d"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Est. Fix Time</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1</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color w:val="7f1d1d"/>
                <w:sz w:val="22"/>
                <w:szCs w:val="22"/>
              </w:rPr>
              <w:t xml:space="preserve">Critical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Third-party inaccessible portals for all CORA submissions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15 min (add email alternative)</w:t>
            </w:r>
          </w:p>
        </w:tc>
      </w:tr>
      <w:tr>
        <w:tc>
          <w:tcPr>
            <w:tcW w:type="dxa" w:w="54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sz w:val="22"/>
                <w:szCs w:val="22"/>
              </w:rPr>
              <w:t xml:space="preserve">2</w:t>
            </w:r>
          </w:p>
        </w:tc>
        <w:tc>
          <w:tcPr>
            <w:tcW w:type="dxa" w:w="16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color w:val="7f1d1d"/>
                <w:sz w:val="22"/>
                <w:szCs w:val="22"/>
              </w:rPr>
              <w:t xml:space="preserve">Critical</w:t>
            </w:r>
          </w:p>
        </w:tc>
        <w:tc>
          <w:tcPr>
            <w:tcW w:type="dxa" w:w="468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Duplicate H3 headings for every accordion section (9 sections)</w:t>
            </w:r>
          </w:p>
        </w:tc>
        <w:tc>
          <w:tcPr>
            <w:tcW w:type="dxa" w:w="25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30 min</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3</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color w:val="78350f"/>
                <w:sz w:val="22"/>
                <w:szCs w:val="22"/>
              </w:rPr>
              <w:t xml:space="preserve">High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Heading order violation: H2 appears before H1 in DOM</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15 min</w:t>
            </w:r>
          </w:p>
        </w:tc>
      </w:tr>
      <w:tr>
        <w:tc>
          <w:tcPr>
            <w:tcW w:type="dxa" w:w="54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sz w:val="22"/>
                <w:szCs w:val="22"/>
              </w:rPr>
              <w:t xml:space="preserve">4</w:t>
            </w:r>
          </w:p>
        </w:tc>
        <w:tc>
          <w:tcPr>
            <w:tcW w:type="dxa" w:w="16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color w:val="78350f"/>
                <w:sz w:val="22"/>
                <w:szCs w:val="22"/>
              </w:rPr>
              <w:t xml:space="preserve">High</w:t>
            </w:r>
          </w:p>
        </w:tc>
        <w:tc>
          <w:tcPr>
            <w:tcW w:type="dxa" w:w="468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Phone numbers not linked as tel: links</w:t>
            </w:r>
          </w:p>
        </w:tc>
        <w:tc>
          <w:tcPr>
            <w:tcW w:type="dxa" w:w="25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15 min</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5</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color w:val="78350f"/>
                <w:sz w:val="22"/>
                <w:szCs w:val="22"/>
              </w:rPr>
              <w:t xml:space="preserve">High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PDF links do not announce file type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15 min</w:t>
            </w:r>
          </w:p>
        </w:tc>
      </w:tr>
      <w:tr>
        <w:tc>
          <w:tcPr>
            <w:tcW w:type="dxa" w:w="54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sz w:val="22"/>
                <w:szCs w:val="22"/>
              </w:rPr>
              <w:t xml:space="preserve">6</w:t>
            </w:r>
          </w:p>
        </w:tc>
        <w:tc>
          <w:tcPr>
            <w:tcW w:type="dxa" w:w="16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color w:val="78350f"/>
                <w:sz w:val="22"/>
                <w:szCs w:val="22"/>
              </w:rPr>
              <w:t xml:space="preserve">High</w:t>
            </w:r>
          </w:p>
        </w:tc>
        <w:tc>
          <w:tcPr>
            <w:tcW w:type="dxa" w:w="468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Skip link may not become visible on keyboard focus</w:t>
            </w:r>
          </w:p>
        </w:tc>
        <w:tc>
          <w:tcPr>
            <w:tcW w:type="dxa" w:w="25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30 min</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7</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color w:val="1a6b40"/>
                <w:sz w:val="22"/>
                <w:szCs w:val="22"/>
              </w:rPr>
              <w:t xml:space="preserve">Medium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Accordion icon images lack explicit alt='' attribute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10 min</w:t>
            </w:r>
          </w:p>
        </w:tc>
      </w:tr>
      <w:tr>
        <w:tc>
          <w:tcPr>
            <w:tcW w:type="dxa" w:w="54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sz w:val="22"/>
                <w:szCs w:val="22"/>
              </w:rPr>
              <w:t xml:space="preserve">8</w:t>
            </w:r>
          </w:p>
        </w:tc>
        <w:tc>
          <w:tcPr>
            <w:tcW w:type="dxa" w:w="16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color w:val="1a6b40"/>
                <w:sz w:val="22"/>
                <w:szCs w:val="22"/>
              </w:rPr>
              <w:t xml:space="preserve">Medium</w:t>
            </w:r>
          </w:p>
        </w:tc>
        <w:tc>
          <w:tcPr>
            <w:tcW w:type="dxa" w:w="468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Warning text emphasis not conveyed to assistive technology</w:t>
            </w:r>
          </w:p>
        </w:tc>
        <w:tc>
          <w:tcPr>
            <w:tcW w:type="dxa" w:w="25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15 min</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9</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b/>
                <w:bCs/>
                <w:color w:val="1a6b40"/>
                <w:sz w:val="22"/>
                <w:szCs w:val="22"/>
              </w:rPr>
              <w:t xml:space="preserve">Medium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Asterisk in note text not meaningful to screen readers + grammatical error</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5 min</w:t>
            </w:r>
          </w:p>
        </w:tc>
      </w:tr>
      <w:tr>
        <w:tc>
          <w:tcPr>
            <w:tcW w:type="dxa" w:w="54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sz w:val="22"/>
                <w:szCs w:val="22"/>
              </w:rPr>
              <w:t xml:space="preserve">10</w:t>
            </w:r>
          </w:p>
        </w:tc>
        <w:tc>
          <w:tcPr>
            <w:tcW w:type="dxa" w:w="16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b/>
                <w:bCs/>
                <w:color w:val="1a6b40"/>
                <w:sz w:val="22"/>
                <w:szCs w:val="22"/>
              </w:rPr>
              <w:t xml:space="preserve">Medium</w:t>
            </w:r>
          </w:p>
        </w:tc>
        <w:tc>
          <w:tcPr>
            <w:tcW w:type="dxa" w:w="468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No error recovery when third-party form fails or is inaccessible</w:t>
            </w:r>
          </w:p>
        </w:tc>
        <w:tc>
          <w:tcPr>
            <w:tcW w:type="dxa" w:w="2520"/>
            <w:tcBorders>
              <w:top w:val="single" w:color="dddddd" w:sz="1"/>
              <w:left w:val="single" w:color="dddddd" w:sz="1"/>
              <w:bottom w:val="single" w:color="dddddd" w:sz="1"/>
              <w:right w:val="single" w:color="dddddd" w:sz="1"/>
            </w:tcBorders>
            <w:shd w:fill="fafbfd" w:val="clear"/>
            <w:tcMar>
              <w:top w:type="dxa" w:w="80"/>
              <w:left w:type="dxa" w:w="120"/>
              <w:bottom w:type="dxa" w:w="80"/>
              <w:right w:type="dxa" w:w="120"/>
            </w:tcMar>
          </w:tcPr>
          <w:p>
            <w:pPr>
              <w:spacing w:after="0"/>
            </w:pPr>
            <w:r>
              <w:rPr>
                <w:rFonts w:ascii="Arial" w:cs="Arial" w:eastAsia="Arial" w:hAnsi="Arial"/>
                <w:sz w:val="22"/>
                <w:szCs w:val="22"/>
              </w:rPr>
              <w:t xml:space="preserve">1–2 days (redesign)</w:t>
            </w:r>
          </w:p>
        </w:tc>
      </w:tr>
    </w:tbl>
    <w:p>
      <w:pPr>
        <w:spacing w:after="24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Detailed Findings</w:t>
      </w:r>
    </w:p>
    <w:p>
      <w:pPr>
        <w:spacing w:after="80"/>
      </w:pPr>
      <w:r>
        <w:rPr>
          <w:rFonts w:ascii="Arial" w:cs="Arial" w:eastAsia="Arial" w:hAnsi="Arial"/>
          <w:sz w:val="24"/>
          <w:szCs w:val="24"/>
        </w:rPr>
        <w:t xml:space="preserve"/>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1  </w:t>
      </w:r>
      <w:r>
        <w:rPr>
          <w:rFonts w:ascii="Arial" w:cs="Arial" w:eastAsia="Arial" w:hAnsi="Arial"/>
          <w:b/>
          <w:bCs/>
          <w:color w:val="7f1d1d"/>
          <w:sz w:val="20"/>
          <w:szCs w:val="20"/>
        </w:rPr>
        <w:t xml:space="preserve">  CRITICAL  </w:t>
      </w:r>
      <w:r>
        <w:rPr>
          <w:rFonts w:ascii="Arial" w:cs="Arial" w:eastAsia="Arial" w:hAnsi="Arial"/>
          <w:b/>
          <w:bCs/>
          <w:color w:val="1a1a1a"/>
          <w:sz w:val="24"/>
          <w:szCs w:val="24"/>
        </w:rPr>
        <w:t xml:space="preserve">  Third-party portals are inaccessible — city directs all CORA submissions there</w:t>
      </w:r>
    </w:p>
    <w:p>
      <w:pPr>
        <w:spacing w:after="60" w:before="0"/>
        <w:ind w:left="360"/>
        <w:jc w:val="left"/>
      </w:pPr>
      <w:r>
        <w:rPr>
          <w:rFonts w:ascii="Arial" w:cs="Arial" w:eastAsia="Arial" w:hAnsi="Arial"/>
          <w:b w:val="false"/>
          <w:bCs w:val="false"/>
          <w:i w:val="false"/>
          <w:iCs w:val="false"/>
          <w:color w:val="1a1a1a"/>
          <w:sz w:val="24"/>
          <w:szCs w:val="24"/>
        </w:rPr>
        <w:t xml:space="preserve">The CORA page links to five separate govoutreach.com portal pages for submissions (Contracting/Procurement, Neighborhood Services, Fire, Planning, General City Records). These portals rendered empty content to headless browser and HTTP fetch tools — meaning they are inaccessible to screen readers and other assistive technology. A resident using a screen reader cannot submit any CORA request through the city's designated channels. This is the most significant finding. It affects every category of CORA request.</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Title II ADA. DOJ Final Rule. WCAG 2.1 SC 4.1.1 — Parsing.</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Add a direct email address and phone number as an accessible alternative for each department. Require the vendor to bring the portals into WCAG 2.1 AA compliance immediately.</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15 minutes to add email alternatives. Vendor portal remediation: days to weeks.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2  </w:t>
      </w:r>
      <w:r>
        <w:rPr>
          <w:rFonts w:ascii="Arial" w:cs="Arial" w:eastAsia="Arial" w:hAnsi="Arial"/>
          <w:b/>
          <w:bCs/>
          <w:color w:val="7f1d1d"/>
          <w:sz w:val="20"/>
          <w:szCs w:val="20"/>
        </w:rPr>
        <w:t xml:space="preserve">  CRITICAL  </w:t>
      </w:r>
      <w:r>
        <w:rPr>
          <w:rFonts w:ascii="Arial" w:cs="Arial" w:eastAsia="Arial" w:hAnsi="Arial"/>
          <w:b/>
          <w:bCs/>
          <w:color w:val="1a1a1a"/>
          <w:sz w:val="24"/>
          <w:szCs w:val="24"/>
        </w:rPr>
        <w:t xml:space="preserve">  Duplicate H3 heading text for every accordion section — 9 sections affected</w:t>
      </w:r>
    </w:p>
    <w:p>
      <w:pPr>
        <w:spacing w:after="60" w:before="0"/>
        <w:ind w:left="360"/>
        <w:jc w:val="left"/>
      </w:pPr>
      <w:r>
        <w:rPr>
          <w:rFonts w:ascii="Arial" w:cs="Arial" w:eastAsia="Arial" w:hAnsi="Arial"/>
          <w:b w:val="false"/>
          <w:bCs w:val="false"/>
          <w:i w:val="false"/>
          <w:iCs w:val="false"/>
          <w:color w:val="1a1a1a"/>
          <w:sz w:val="24"/>
          <w:szCs w:val="24"/>
        </w:rPr>
        <w:t xml:space="preserve">Every accordion section on the page has its heading text duplicated. For example, 'Code Violations / Neighborhood Services' appears twice in succession as an H3 element — once as the accordion button and once as the content heading. Screen readers announce both headings when navigating by heading, reading the same text twice for each of nine sections. A resident navigating by headings hears 18 H3s where there should be 9. This makes heading navigation — the primary navigation method for many screen reader users — confusing and unusable on this page.</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1.3.1 — Info and Relationships. SC 2.4.6 — Headings and Labels.</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The content heading inside each accordion panel should either be removed (the button heading is sufficient) or given a visually hidden class so it remains in the DOM for structural purposes without being announced twice.</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30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3  </w:t>
      </w:r>
      <w:r>
        <w:rPr>
          <w:rFonts w:ascii="Arial" w:cs="Arial" w:eastAsia="Arial" w:hAnsi="Arial"/>
          <w:b/>
          <w:bCs/>
          <w:color w:val="78350f"/>
          <w:sz w:val="20"/>
          <w:szCs w:val="20"/>
        </w:rPr>
        <w:t xml:space="preserve">  HIGH  </w:t>
      </w:r>
      <w:r>
        <w:rPr>
          <w:rFonts w:ascii="Arial" w:cs="Arial" w:eastAsia="Arial" w:hAnsi="Arial"/>
          <w:b/>
          <w:bCs/>
          <w:color w:val="1a1a1a"/>
          <w:sz w:val="24"/>
          <w:szCs w:val="24"/>
        </w:rPr>
        <w:t xml:space="preserve">  Heading order violation: H2 appears before H1 in the DOM</w:t>
      </w:r>
    </w:p>
    <w:p>
      <w:pPr>
        <w:spacing w:after="60" w:before="0"/>
        <w:ind w:left="360"/>
        <w:jc w:val="left"/>
      </w:pPr>
      <w:r>
        <w:rPr>
          <w:rFonts w:ascii="Arial" w:cs="Arial" w:eastAsia="Arial" w:hAnsi="Arial"/>
          <w:b w:val="false"/>
          <w:bCs w:val="false"/>
          <w:i w:val="false"/>
          <w:iCs w:val="false"/>
          <w:color w:val="1a1a1a"/>
          <w:sz w:val="24"/>
          <w:szCs w:val="24"/>
        </w:rPr>
        <w:t xml:space="preserve">The site search modal contains an H2 heading labeled 'Search' that appears before the page's H1 heading ('Colorado Open Records Act (CORA)') in the document order. Even though the search modal is visually hidden until activated, it is present in the accessibility tree and announced by screen readers in document order. This creates a heading hierarchy that starts at H2, then jumps to H1, violating the principle of sequential heading order. Screen readers navigating by headings will encounter 'Search' before the page title.</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1.3.1 — Info and Relationships. SC 2.4.6 — Headings and Labels.</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The search modal should use aria-hidden='true' when not active so its H2 is excluded from the accessibility tree until opened. Alternatively change the modal heading to a level that doesn't precede H1.</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15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4  </w:t>
      </w:r>
      <w:r>
        <w:rPr>
          <w:rFonts w:ascii="Arial" w:cs="Arial" w:eastAsia="Arial" w:hAnsi="Arial"/>
          <w:b/>
          <w:bCs/>
          <w:color w:val="78350f"/>
          <w:sz w:val="20"/>
          <w:szCs w:val="20"/>
        </w:rPr>
        <w:t xml:space="preserve">  HIGH  </w:t>
      </w:r>
      <w:r>
        <w:rPr>
          <w:rFonts w:ascii="Arial" w:cs="Arial" w:eastAsia="Arial" w:hAnsi="Arial"/>
          <w:b/>
          <w:bCs/>
          <w:color w:val="1a1a1a"/>
          <w:sz w:val="24"/>
          <w:szCs w:val="24"/>
        </w:rPr>
        <w:t xml:space="preserve">  Phone numbers are plain text — not linked as tel: links</w:t>
      </w:r>
    </w:p>
    <w:p>
      <w:pPr>
        <w:spacing w:after="60" w:before="0"/>
        <w:ind w:left="360"/>
        <w:jc w:val="left"/>
      </w:pPr>
      <w:r>
        <w:rPr>
          <w:rFonts w:ascii="Arial" w:cs="Arial" w:eastAsia="Arial" w:hAnsi="Arial"/>
          <w:b w:val="false"/>
          <w:bCs w:val="false"/>
          <w:i w:val="false"/>
          <w:iCs w:val="false"/>
          <w:color w:val="1a1a1a"/>
          <w:sz w:val="24"/>
          <w:szCs w:val="24"/>
        </w:rPr>
        <w:t xml:space="preserve">Four phone numbers appear on the CORA page as plain text: (719) 385-5906 (City Communications), (719) 385-5928 (Municipal Court), (719) 385-2367 (Accounts Receivable), and (719) 385-5265 (Procurement Services). None are linked with tel: href attributes. Mobile users cannot tap to call. Screen reader users must manually transcribe or copy the number. For residents with motor disabilities who use voice control or switch access, unlinked phone numbers create a significant usability barrier.</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2.4.4 — Link Purpose. Mobile accessibility best practice.</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Wrap each phone number in &lt;a href='tel:+17193855906'&gt; tags. This takes approximately one minute per number.</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15 minutes for all four.</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5  </w:t>
      </w:r>
      <w:r>
        <w:rPr>
          <w:rFonts w:ascii="Arial" w:cs="Arial" w:eastAsia="Arial" w:hAnsi="Arial"/>
          <w:b/>
          <w:bCs/>
          <w:color w:val="78350f"/>
          <w:sz w:val="20"/>
          <w:szCs w:val="20"/>
        </w:rPr>
        <w:t xml:space="preserve">  HIGH  </w:t>
      </w:r>
      <w:r>
        <w:rPr>
          <w:rFonts w:ascii="Arial" w:cs="Arial" w:eastAsia="Arial" w:hAnsi="Arial"/>
          <w:b/>
          <w:bCs/>
          <w:color w:val="1a1a1a"/>
          <w:sz w:val="24"/>
          <w:szCs w:val="24"/>
        </w:rPr>
        <w:t xml:space="preserve">  PDF links do not announce that they open a PDF file</w:t>
      </w:r>
    </w:p>
    <w:p>
      <w:pPr>
        <w:spacing w:after="60" w:before="0"/>
        <w:ind w:left="360"/>
        <w:jc w:val="left"/>
      </w:pPr>
      <w:r>
        <w:rPr>
          <w:rFonts w:ascii="Arial" w:cs="Arial" w:eastAsia="Arial" w:hAnsi="Arial"/>
          <w:b w:val="false"/>
          <w:bCs w:val="false"/>
          <w:i w:val="false"/>
          <w:iCs w:val="false"/>
          <w:color w:val="1a1a1a"/>
          <w:sz w:val="24"/>
          <w:szCs w:val="24"/>
        </w:rPr>
        <w:t xml:space="preserve">Three links on the page open PDF files: 'Colorado Open Records Act (CORA)' (links to CORA_Act.pdf), 'City's CORA Policy' (links to corapolicy-2023-04-192.pdf), appearing twice. None of these links indicate to the user that clicking will open a PDF rather than a web page. Screen reader users and users with limited bandwidth are not warned. Additionally, one PDF link uses the filename as its accessible name in the DOM (visible in the accessibility tree as 'CORA_Policy-2023-04-19_2.pdf') rather than a descriptive name.</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2.4.4 — Link Purpose. SC 2.4.6 — Headings and Labels.</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Add '(PDF)' or '(opens PDF)' to the link text, or add an aria-label that includes the file type. For the filename link, change the accessible name to a description.</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15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6  </w:t>
      </w:r>
      <w:r>
        <w:rPr>
          <w:rFonts w:ascii="Arial" w:cs="Arial" w:eastAsia="Arial" w:hAnsi="Arial"/>
          <w:b/>
          <w:bCs/>
          <w:color w:val="78350f"/>
          <w:sz w:val="20"/>
          <w:szCs w:val="20"/>
        </w:rPr>
        <w:t xml:space="preserve">  HIGH  </w:t>
      </w:r>
      <w:r>
        <w:rPr>
          <w:rFonts w:ascii="Arial" w:cs="Arial" w:eastAsia="Arial" w:hAnsi="Arial"/>
          <w:b/>
          <w:bCs/>
          <w:color w:val="1a1a1a"/>
          <w:sz w:val="24"/>
          <w:szCs w:val="24"/>
        </w:rPr>
        <w:t xml:space="preserve">  Skip link may not become visible on keyboard focus</w:t>
      </w:r>
    </w:p>
    <w:p>
      <w:pPr>
        <w:spacing w:after="60" w:before="0"/>
        <w:ind w:left="360"/>
        <w:jc w:val="left"/>
      </w:pPr>
      <w:r>
        <w:rPr>
          <w:rFonts w:ascii="Arial" w:cs="Arial" w:eastAsia="Arial" w:hAnsi="Arial"/>
          <w:b w:val="false"/>
          <w:bCs w:val="false"/>
          <w:i w:val="false"/>
          <w:iCs w:val="false"/>
          <w:color w:val="1a1a1a"/>
          <w:sz w:val="24"/>
          <w:szCs w:val="24"/>
        </w:rPr>
        <w:t xml:space="preserve">A 'Skip to main content' link exists on the page. However, it uses CSS clip: rect(0px, 0px, 0px, 0px) which visually hides it. The standard accessible pattern requires this link to become visible when it receives keyboard focus. This could not be fully verified through automated testing — the link must be manually tested by pressing Tab as the first keyboard action on the page. If the focus state does not reveal the link, keyboard-only users cannot use it to bypass navigation.</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2.4.1 — Bypass Blocks. SC 2.4.7 — Focus Visible.</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Ensure the skip link's :focus CSS rule removes the clip and positions it visibly on screen. Test manually with keyboard navigation.</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30 minutes including testing.</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7  </w:t>
      </w:r>
      <w:r>
        <w:rPr>
          <w:rFonts w:ascii="Arial" w:cs="Arial" w:eastAsia="Arial" w:hAnsi="Arial"/>
          <w:b/>
          <w:bCs/>
          <w:color w:val="065f46"/>
          <w:sz w:val="20"/>
          <w:szCs w:val="20"/>
        </w:rPr>
        <w:t xml:space="preserve">  MEDIUM  </w:t>
      </w:r>
      <w:r>
        <w:rPr>
          <w:rFonts w:ascii="Arial" w:cs="Arial" w:eastAsia="Arial" w:hAnsi="Arial"/>
          <w:b/>
          <w:bCs/>
          <w:color w:val="1a1a1a"/>
          <w:sz w:val="24"/>
          <w:szCs w:val="24"/>
        </w:rPr>
        <w:t xml:space="preserve">  Accordion expand/collapse icon images lack explicit alt='' attribute</w:t>
      </w:r>
    </w:p>
    <w:p>
      <w:pPr>
        <w:spacing w:after="60" w:before="0"/>
        <w:ind w:left="360"/>
        <w:jc w:val="left"/>
      </w:pPr>
      <w:r>
        <w:rPr>
          <w:rFonts w:ascii="Arial" w:cs="Arial" w:eastAsia="Arial" w:hAnsi="Arial"/>
          <w:b w:val="false"/>
          <w:bCs w:val="false"/>
          <w:i w:val="false"/>
          <w:iCs w:val="false"/>
          <w:color w:val="1a1a1a"/>
          <w:sz w:val="24"/>
          <w:szCs w:val="24"/>
        </w:rPr>
        <w:t xml:space="preserve">Each of the nine accordion section buttons contains two img elements (likely + and - or chevron icons) that serve as visual indicators of expanded/collapsed state. These images were detected in the accessibility tree without explicit alt='' attributes. Decorative images should carry alt='' so screen readers skip them. Without it, some screen readers may announce the image filename or 'image' — adding noise to the accordion button announcement. Note: the buttons themselves have aria-expanded attributes correctly implemented, which is positive.</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1.1.1 — Non-text Content.</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Add alt='' to each decorative icon image inside accordion buttons.</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10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8  </w:t>
      </w:r>
      <w:r>
        <w:rPr>
          <w:rFonts w:ascii="Arial" w:cs="Arial" w:eastAsia="Arial" w:hAnsi="Arial"/>
          <w:b/>
          <w:bCs/>
          <w:color w:val="065f46"/>
          <w:sz w:val="20"/>
          <w:szCs w:val="20"/>
        </w:rPr>
        <w:t xml:space="preserve">  MEDIUM  </w:t>
      </w:r>
      <w:r>
        <w:rPr>
          <w:rFonts w:ascii="Arial" w:cs="Arial" w:eastAsia="Arial" w:hAnsi="Arial"/>
          <w:b/>
          <w:bCs/>
          <w:color w:val="1a1a1a"/>
          <w:sz w:val="24"/>
          <w:szCs w:val="24"/>
        </w:rPr>
        <w:t xml:space="preserve">  Warning text emphasis ('Please do NOT') not conveyed to assistive technology</w:t>
      </w:r>
    </w:p>
    <w:p>
      <w:pPr>
        <w:spacing w:after="60" w:before="0"/>
        <w:ind w:left="360"/>
        <w:jc w:val="left"/>
      </w:pPr>
      <w:r>
        <w:rPr>
          <w:rFonts w:ascii="Arial" w:cs="Arial" w:eastAsia="Arial" w:hAnsi="Arial"/>
          <w:b w:val="false"/>
          <w:bCs w:val="false"/>
          <w:i w:val="false"/>
          <w:iCs w:val="false"/>
          <w:color w:val="1a1a1a"/>
          <w:sz w:val="24"/>
          <w:szCs w:val="24"/>
        </w:rPr>
        <w:t xml:space="preserve">The page contains a critical warning: 'Please do NOT send credit card or personal information over fax, email or the online request form.' The words 'Please do NOT' are formatted with visual bold or color emphasis. However, WCAG requires that information conveyed through visual presentation also be conveyed through text or structure. Screen readers do not announce bold or color by default. A resident who relies on a screen reader may not receive the urgency of this warning.</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1.3.3 — Sensory Characteristics. SC 1.4.1 — Use of Color.</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Add aria-label or role='alert' to the warning container, or restructure the text so the emphasis is conveyed through word choice alone without relying on visual formatting.</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15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9  </w:t>
      </w:r>
      <w:r>
        <w:rPr>
          <w:rFonts w:ascii="Arial" w:cs="Arial" w:eastAsia="Arial" w:hAnsi="Arial"/>
          <w:b/>
          <w:bCs/>
          <w:color w:val="065f46"/>
          <w:sz w:val="20"/>
          <w:szCs w:val="20"/>
        </w:rPr>
        <w:t xml:space="preserve">  MEDIUM  </w:t>
      </w:r>
      <w:r>
        <w:rPr>
          <w:rFonts w:ascii="Arial" w:cs="Arial" w:eastAsia="Arial" w:hAnsi="Arial"/>
          <w:b/>
          <w:bCs/>
          <w:color w:val="1a1a1a"/>
          <w:sz w:val="24"/>
          <w:szCs w:val="24"/>
        </w:rPr>
        <w:t xml:space="preserve">  Asterisk in note text is meaningless to screen readers and contains a grammatical error</w:t>
      </w:r>
    </w:p>
    <w:p>
      <w:pPr>
        <w:spacing w:after="60" w:before="0"/>
        <w:ind w:left="360"/>
        <w:jc w:val="left"/>
      </w:pPr>
      <w:r>
        <w:rPr>
          <w:rFonts w:ascii="Arial" w:cs="Arial" w:eastAsia="Arial" w:hAnsi="Arial"/>
          <w:b w:val="false"/>
          <w:bCs w:val="false"/>
          <w:i w:val="false"/>
          <w:iCs w:val="false"/>
          <w:color w:val="1a1a1a"/>
          <w:sz w:val="24"/>
          <w:szCs w:val="24"/>
        </w:rPr>
        <w:t xml:space="preserve">The page contains the text: '*Note: If do not receive an email confirmation of your submittal, please check your SPAM box.' Two issues: (1) The asterisk character is announced literally by screen readers as 'asterisk' with no explanation of what it signifies. (2) The text contains a grammatical error — 'If do not receive' should read 'If you do not receive.' While a minor grammatical error, on an official government page providing legal process instructions, clarity is essential. Residents with cognitive disabilities or limited English proficiency are most affected.</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WCAG 2.1 SC 3.1.5 — Reading Level. Plain language best practice.</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Remove the asterisk. Correct the grammar: 'Note: If you do not receive an email confirmation, please check your spam folder.' Place in a clearly labeled note element.</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5 minutes.</w:t>
      </w:r>
    </w:p>
    <w:p>
      <w:pPr>
        <w:pBdr>
          <w:bottom w:val="single" w:color="cccccc" w:sz="2" w:space="2"/>
        </w:pBdr>
        <w:shd w:fill="f5f7fa" w:val="clear"/>
        <w:spacing w:after="60" w:before="240"/>
      </w:pPr>
      <w:r>
        <w:rPr>
          <w:rFonts w:ascii="Arial" w:cs="Arial" w:eastAsia="Arial" w:hAnsi="Arial"/>
          <w:b/>
          <w:bCs/>
          <w:color w:val="ffffff"/>
          <w:sz w:val="22"/>
          <w:szCs w:val="22"/>
          <w:highlight w:val="none"/>
        </w:rPr>
        <w:t xml:space="preserve">  10  </w:t>
      </w:r>
      <w:r>
        <w:rPr>
          <w:rFonts w:ascii="Arial" w:cs="Arial" w:eastAsia="Arial" w:hAnsi="Arial"/>
          <w:b/>
          <w:bCs/>
          <w:color w:val="065f46"/>
          <w:sz w:val="20"/>
          <w:szCs w:val="20"/>
        </w:rPr>
        <w:t xml:space="preserve">  MEDIUM  </w:t>
      </w:r>
      <w:r>
        <w:rPr>
          <w:rFonts w:ascii="Arial" w:cs="Arial" w:eastAsia="Arial" w:hAnsi="Arial"/>
          <w:b/>
          <w:bCs/>
          <w:color w:val="1a1a1a"/>
          <w:sz w:val="24"/>
          <w:szCs w:val="24"/>
        </w:rPr>
        <w:t xml:space="preserve">  No error recovery path when third-party form is inaccessible or requires unknown information</w:t>
      </w:r>
    </w:p>
    <w:p>
      <w:pPr>
        <w:spacing w:after="60" w:before="0"/>
        <w:ind w:left="360"/>
        <w:jc w:val="left"/>
      </w:pPr>
      <w:r>
        <w:rPr>
          <w:rFonts w:ascii="Arial" w:cs="Arial" w:eastAsia="Arial" w:hAnsi="Arial"/>
          <w:b w:val="false"/>
          <w:bCs w:val="false"/>
          <w:i w:val="false"/>
          <w:iCs w:val="false"/>
          <w:color w:val="1a1a1a"/>
          <w:sz w:val="24"/>
          <w:szCs w:val="24"/>
        </w:rPr>
        <w:t xml:space="preserve">The CORA page provides no guidance for residents who cannot complete a submission through the govoutreach portals — whether because the portal is inaccessible to their assistive technology, or because the portal requires a specific document number they do not have. There is no alternative email address, no phone number on the department-specific portal pages, and no instruction for what to do when the portal fails. Under Title II of the ADA, when a digital service is inaccessible, an equivalent accessible alternative must be clearly and readily available.</w:t>
      </w:r>
    </w:p>
    <w:p>
      <w:pPr>
        <w:spacing w:after="40"/>
        <w:ind w:left="360"/>
      </w:pPr>
      <w:r>
        <w:rPr>
          <w:rFonts w:ascii="Arial" w:cs="Arial" w:eastAsia="Arial" w:hAnsi="Arial"/>
          <w:b/>
          <w:bCs/>
          <w:color w:val="444444"/>
          <w:sz w:val="22"/>
          <w:szCs w:val="22"/>
        </w:rPr>
        <w:t xml:space="preserve">Standard: </w:t>
      </w:r>
      <w:r>
        <w:rPr>
          <w:rFonts w:ascii="Arial" w:cs="Arial" w:eastAsia="Arial" w:hAnsi="Arial"/>
          <w:i/>
          <w:iCs/>
          <w:color w:val="444444"/>
          <w:sz w:val="22"/>
          <w:szCs w:val="22"/>
        </w:rPr>
        <w:t xml:space="preserve">Title II ADA — 28 C.F.R. § 35.160 — Effective Communication. DOJ Final Rule.</w:t>
      </w:r>
    </w:p>
    <w:p>
      <w:pPr>
        <w:spacing w:after="40"/>
        <w:ind w:left="360"/>
      </w:pPr>
      <w:r>
        <w:rPr>
          <w:rFonts w:ascii="Arial" w:cs="Arial" w:eastAsia="Arial" w:hAnsi="Arial"/>
          <w:b/>
          <w:bCs/>
          <w:color w:val="065f46"/>
          <w:sz w:val="22"/>
          <w:szCs w:val="22"/>
        </w:rPr>
        <w:t xml:space="preserve">Fix: </w:t>
      </w:r>
      <w:r>
        <w:rPr>
          <w:rFonts w:ascii="Arial" w:cs="Arial" w:eastAsia="Arial" w:hAnsi="Arial"/>
          <w:color w:val="065f46"/>
          <w:sz w:val="22"/>
          <w:szCs w:val="22"/>
        </w:rPr>
        <w:t xml:space="preserve">Add a direct email address and phone number for each department's CORA requests on the city's own page. Redesign the submission process to accept plain-language descriptions without requiring specific document numbers. See Part Three of this document.</w:t>
      </w:r>
    </w:p>
    <w:p>
      <w:pPr>
        <w:spacing w:after="200"/>
        <w:ind w:left="360"/>
      </w:pPr>
      <w:r>
        <w:rPr>
          <w:rFonts w:ascii="Arial" w:cs="Arial" w:eastAsia="Arial" w:hAnsi="Arial"/>
          <w:b/>
          <w:bCs/>
          <w:color w:val="444444"/>
          <w:sz w:val="22"/>
          <w:szCs w:val="22"/>
        </w:rPr>
        <w:t xml:space="preserve">Estimated time: </w:t>
      </w:r>
      <w:r>
        <w:rPr>
          <w:rFonts w:ascii="Arial" w:cs="Arial" w:eastAsia="Arial" w:hAnsi="Arial"/>
          <w:color w:val="444444"/>
          <w:sz w:val="22"/>
          <w:szCs w:val="22"/>
        </w:rPr>
        <w:t xml:space="preserve">Process redesign: 1–2 days. Adding contact information: 1 hour.</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Audit Summary</w:t>
      </w:r>
    </w:p>
    <w:p>
      <w:pPr>
        <w:spacing w:after="160" w:before="0"/>
        <w:jc w:val="left"/>
      </w:pPr>
      <w:r>
        <w:rPr>
          <w:rFonts w:ascii="Arial" w:cs="Arial" w:eastAsia="Arial" w:hAnsi="Arial"/>
          <w:b w:val="false"/>
          <w:bCs w:val="false"/>
          <w:i w:val="false"/>
          <w:iCs w:val="false"/>
          <w:color w:val="1a1a1a"/>
          <w:sz w:val="24"/>
          <w:szCs w:val="24"/>
        </w:rPr>
        <w:t xml:space="preserve">Total confirmed failures: 10. Two critical. Four high. Four medium.</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Estimated total remediation time for findings 1–9: 3–4 hours. Finding 10 requires a process redesign addressed in Part Three.</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most significant failure is Finding 1 — every CORA submission path leads to a third-party portal that is inaccessible to assistive technology. This affects all residents who rely on screen readers, keyboard navigation, or other assistive technology, for every type of record request the City offers.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DOJ Final Rule compliance deadline for jurisdictions of Colorado Springs' population size was April 24, 2026. These failures constitute non-compliance as of that date.</w:t>
      </w:r>
    </w:p>
    <w:p>
      <w:pPr>
        <w:spacing w:after="80"/>
      </w:pPr>
      <w:r>
        <w:rPr>
          <w:rFonts w:ascii="Arial" w:cs="Arial" w:eastAsia="Arial" w:hAnsi="Arial"/>
          <w:sz w:val="24"/>
          <w:szCs w:val="24"/>
        </w:rPr>
        <w:t xml:space="preserve"/>
      </w:r>
    </w:p>
    <w:p>
      <w:pPr>
        <w:spacing w:after="160" w:before="160"/>
        <w:jc w:val="center"/>
      </w:pPr>
      <w:r>
        <w:rPr>
          <w:rFonts w:ascii="Arial" w:cs="Arial" w:eastAsia="Arial" w:hAnsi="Arial"/>
          <w:color w:val="cccccc"/>
          <w:sz w:val="20"/>
          <w:szCs w:val="20"/>
        </w:rPr>
        <w:t xml:space="preserve">―――――――――――――――</w:t>
      </w:r>
    </w:p>
    <w:p>
      <w:pPr>
        <w:spacing w:after="80"/>
      </w:pPr>
      <w:r>
        <w:rPr>
          <w:rFonts w:ascii="Arial" w:cs="Arial" w:eastAsia="Arial" w:hAnsi="Arial"/>
          <w:sz w:val="24"/>
          <w:szCs w:val="24"/>
        </w:rPr>
        <w:t xml:space="preserve"/>
      </w:r>
    </w:p>
    <w:p>
      <w:pPr>
        <w:spacing w:after="0"/>
      </w:pPr>
      <w:r>
        <w:br/>
        <w:t xml:space="preserve"/>
      </w:r>
    </w:p>
    <w:p>
      <w:pPr>
        <w:pStyle w:val="Heading1"/>
        <w:spacing w:after="160" w:before="400"/>
      </w:pPr>
      <w:r>
        <w:rPr>
          <w:rFonts w:ascii="Arial" w:cs="Arial" w:eastAsia="Arial" w:hAnsi="Arial"/>
          <w:b/>
          <w:bCs/>
          <w:color w:val="001a4d"/>
          <w:sz w:val="32"/>
          <w:szCs w:val="32"/>
        </w:rPr>
        <w:t xml:space="preserve">Part Two — Combined ADA and Legal Compliance Letter</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To:</w:t>
      </w:r>
    </w:p>
    <w:p>
      <w:pPr>
        <w:spacing w:after="160" w:before="0"/>
        <w:ind w:left="360"/>
        <w:jc w:val="left"/>
      </w:pPr>
      <w:r>
        <w:rPr>
          <w:rFonts w:ascii="Arial" w:cs="Arial" w:eastAsia="Arial" w:hAnsi="Arial"/>
          <w:b w:val="false"/>
          <w:bCs w:val="false"/>
          <w:i w:val="false"/>
          <w:iCs w:val="false"/>
          <w:color w:val="1a1a1a"/>
          <w:sz w:val="24"/>
          <w:szCs w:val="24"/>
        </w:rPr>
        <w:t xml:space="preserve">City of Colorado Springs — City Clerk's Office</w:t>
      </w:r>
    </w:p>
    <w:p>
      <w:pPr>
        <w:spacing w:after="160" w:before="0"/>
        <w:ind w:left="360"/>
        <w:jc w:val="left"/>
      </w:pPr>
      <w:r>
        <w:rPr>
          <w:rFonts w:ascii="Arial" w:cs="Arial" w:eastAsia="Arial" w:hAnsi="Arial"/>
          <w:b w:val="false"/>
          <w:bCs w:val="false"/>
          <w:i w:val="false"/>
          <w:iCs w:val="false"/>
          <w:color w:val="1a1a1a"/>
          <w:sz w:val="24"/>
          <w:szCs w:val="24"/>
        </w:rPr>
        <w:t xml:space="preserve">City Communications</w:t>
      </w:r>
    </w:p>
    <w:p>
      <w:pPr>
        <w:spacing w:after="160" w:before="0"/>
        <w:ind w:left="360"/>
        <w:jc w:val="left"/>
      </w:pPr>
      <w:r>
        <w:rPr>
          <w:rFonts w:ascii="Arial" w:cs="Arial" w:eastAsia="Arial" w:hAnsi="Arial"/>
          <w:b w:val="false"/>
          <w:bCs w:val="false"/>
          <w:i w:val="false"/>
          <w:iCs w:val="false"/>
          <w:color w:val="1a1a1a"/>
          <w:sz w:val="24"/>
          <w:szCs w:val="24"/>
        </w:rPr>
        <w:t xml:space="preserve">Office of Accessibility</w:t>
      </w:r>
    </w:p>
    <w:p>
      <w:pPr>
        <w:spacing w:after="160" w:before="0"/>
        <w:ind w:left="360"/>
        <w:jc w:val="left"/>
      </w:pPr>
      <w:r>
        <w:rPr>
          <w:rFonts w:ascii="Arial" w:cs="Arial" w:eastAsia="Arial" w:hAnsi="Arial"/>
          <w:b w:val="false"/>
          <w:bCs w:val="false"/>
          <w:i w:val="false"/>
          <w:iCs w:val="false"/>
          <w:color w:val="1a1a1a"/>
          <w:sz w:val="24"/>
          <w:szCs w:val="24"/>
        </w:rPr>
        <w:t xml:space="preserve">Procurement Services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Date: April 2026</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Re: ADA Accessibility Failures and Legal Compliance Issues — CORA Submission Portal and CORA Page at coloradosprings.gov/City-Clerk/CORA</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Sent by email to:</w:t>
      </w:r>
    </w:p>
    <w:p>
      <w:pPr>
        <w:spacing w:after="160" w:before="0"/>
        <w:ind w:left="360"/>
        <w:jc w:val="left"/>
      </w:pPr>
      <w:r>
        <w:rPr>
          <w:rFonts w:ascii="Arial" w:cs="Arial" w:eastAsia="Arial" w:hAnsi="Arial"/>
          <w:b w:val="false"/>
          <w:bCs w:val="false"/>
          <w:i w:val="false"/>
          <w:iCs w:val="false"/>
          <w:color w:val="1a1a1a"/>
          <w:sz w:val="24"/>
          <w:szCs w:val="24"/>
        </w:rPr>
        <w:t xml:space="preserve">City Clerk: City.Communications@coloradosprings.gov</w:t>
      </w:r>
    </w:p>
    <w:p>
      <w:pPr>
        <w:spacing w:after="160" w:before="0"/>
        <w:ind w:left="360"/>
        <w:jc w:val="left"/>
      </w:pPr>
      <w:r>
        <w:rPr>
          <w:rFonts w:ascii="Arial" w:cs="Arial" w:eastAsia="Arial" w:hAnsi="Arial"/>
          <w:b w:val="false"/>
          <w:bCs w:val="false"/>
          <w:i w:val="false"/>
          <w:iCs w:val="false"/>
          <w:color w:val="1a1a1a"/>
          <w:sz w:val="24"/>
          <w:szCs w:val="24"/>
        </w:rPr>
        <w:t xml:space="preserve">Office of Accessibility: coloradosprings.gov/TitleIIADA</w:t>
      </w:r>
    </w:p>
    <w:p>
      <w:pPr>
        <w:spacing w:after="160" w:before="0"/>
        <w:ind w:left="360"/>
        <w:jc w:val="left"/>
      </w:pPr>
      <w:r>
        <w:rPr>
          <w:rFonts w:ascii="Arial" w:cs="Arial" w:eastAsia="Arial" w:hAnsi="Arial"/>
          <w:b w:val="false"/>
          <w:bCs w:val="false"/>
          <w:i w:val="false"/>
          <w:iCs w:val="false"/>
          <w:color w:val="1a1a1a"/>
          <w:sz w:val="24"/>
          <w:szCs w:val="24"/>
        </w:rPr>
        <w:t xml:space="preserve">Procurement Services: Nicole Spindler, (719) 385-5265</w:t>
      </w:r>
    </w:p>
    <w:p>
      <w:pPr>
        <w:spacing w:after="80"/>
      </w:pPr>
      <w:r>
        <w:rPr>
          <w:rFonts w:ascii="Arial" w:cs="Arial" w:eastAsia="Arial" w:hAnsi="Arial"/>
          <w:sz w:val="24"/>
          <w:szCs w:val="24"/>
        </w:rPr>
        <w:t xml:space="preserve"/>
      </w:r>
    </w:p>
    <w:p>
      <w:pPr>
        <w:spacing w:after="160" w:before="160"/>
        <w:jc w:val="center"/>
      </w:pPr>
      <w:r>
        <w:rPr>
          <w:rFonts w:ascii="Arial" w:cs="Arial" w:eastAsia="Arial" w:hAnsi="Arial"/>
          <w:color w:val="cccccc"/>
          <w:sz w:val="20"/>
          <w:szCs w:val="20"/>
        </w:rPr>
        <w:t xml:space="preserve">―――――――――――――――</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Dear City of Colorado Springs,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 am a resident of Colorado Springs writing to document accessibility and legal compliance failures on the City's Colorado Open Records Act (CORA) submission page and its associated third-party submission portals. I am also submitting a CORA request for Esri/ArcGIS procurement records, and requesting a fee waiver on the grounds described below.</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 am writing to three City contacts simultaneously because the failures I have documented span three areas of City responsibility: the City Clerk's office manages the CORA process, the Office of Accessibility is responsible for digital compliance, and Procurement Services holds the records I am requesting.</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Section One — ADA Compliance Failures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 conducted an accessibility audit of coloradosprings.gov/City-Clerk/CORA on April 2026. I found ten WCAG 2.1 AA failures. The full audit with detailed findings, applicable standards, fixes, and estimated remediation times is attached as Part One of this document.</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The most significant finding:</w:t>
      </w:r>
    </w:p>
    <w:p>
      <w:pPr>
        <w:spacing w:after="80"/>
      </w:pPr>
      <w:r>
        <w:rPr>
          <w:rFonts w:ascii="Arial" w:cs="Arial" w:eastAsia="Arial" w:hAnsi="Arial"/>
          <w:sz w:val="24"/>
          <w:szCs w:val="24"/>
        </w:rPr>
        <w:t xml:space="preserve"/>
      </w:r>
    </w:p>
    <w:p>
      <w:pPr>
        <w:spacing w:after="160" w:before="0"/>
        <w:ind w:left="360"/>
        <w:jc w:val="left"/>
      </w:pPr>
      <w:r>
        <w:rPr>
          <w:rFonts w:ascii="Arial" w:cs="Arial" w:eastAsia="Arial" w:hAnsi="Arial"/>
          <w:b w:val="false"/>
          <w:bCs w:val="false"/>
          <w:i w:val="false"/>
          <w:iCs w:val="false"/>
          <w:color w:val="1a1a1a"/>
          <w:sz w:val="24"/>
          <w:szCs w:val="24"/>
        </w:rPr>
        <w:t xml:space="preserve">Every CORA submission path on the City's page routes to third-party portals at user.govoutreach.com. These portals returned empty content when accessed by automated rendering tools — indicating they are inaccessible to screen readers, keyboard navigation, and other assistive technology. A resident who uses assistive technology cannot submit any type of CORA request through the City's designated digital channels.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This failure affects all residents who rely on assistive technology, for every type of public records request the City processes. It is not a minor technical detail. It is a complete barrier to a government service.</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Additional failures include duplicate heading structure that confuses screen reader navigation, phone numbers that cannot be activated by keyboard or touch, PDF links that do not announce their file type, and warning text whose emphasis is conveyed only through visual formatting that assistive technology does not convey.</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DOJ Final Rule requiring WCAG 2.1 AA compliance for public entities of Colorado Springs' size took effect April 24, 2026. These failures constitute non-compliance as of that date under Title II of the Americans with Disabilities Act, 42 U.S.C. § 12131 et seq., and 28 C.F.R. Part 35.</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Most of the technical fixes are simple. Estimated total remediation time for findings 1 through 9 is three to four hours. The City should also require its vendor (GovOutreach) to bring the third-party portals into WCAG 2.1 AA compliance as a condition of continuing that contract.</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Section Two — Legal Compliance Failures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CORA submission portals impose requirements that exceed what Colorado's Open Records Act authorizes. These additional requirements function as legal barriers to access independent of the ADA failures described above.</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Finding One — The portals require specific document numbers that CORA does not require.</w:t>
      </w:r>
    </w:p>
    <w:p>
      <w:pPr>
        <w:spacing w:after="80"/>
      </w:pPr>
      <w:r>
        <w:rPr>
          <w:rFonts w:ascii="Arial" w:cs="Arial" w:eastAsia="Arial" w:hAnsi="Arial"/>
          <w:sz w:val="24"/>
          <w:szCs w:val="24"/>
        </w:rPr>
        <w:t xml:space="preserve"/>
      </w:r>
    </w:p>
    <w:p>
      <w:pPr>
        <w:spacing w:after="160" w:before="0"/>
        <w:ind w:left="360"/>
        <w:jc w:val="left"/>
      </w:pPr>
      <w:r>
        <w:rPr>
          <w:rFonts w:ascii="Arial" w:cs="Arial" w:eastAsia="Arial" w:hAnsi="Arial"/>
          <w:b w:val="false"/>
          <w:bCs w:val="false"/>
          <w:i w:val="false"/>
          <w:iCs w:val="false"/>
          <w:color w:val="1a1a1a"/>
          <w:sz w:val="24"/>
          <w:szCs w:val="24"/>
        </w:rPr>
        <w:t xml:space="preserve">The Contracting/Procurement CORA portal requires a specific RFP number or contract identifier before a submission can be completed. Colorado's Open Records Act, C.R.S. § 24-72-203, requires only that the requester describe the records sought with sufficient specificity for the custodian to identify them. The City's own CORA policy page states: 'If the document name is unknown, provide brief, but specific description of the document or information requested.' The portal's technical requirement contradicts the City's own stated policy and exceeds what the law requires.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Finding Two — The requirement creates a circular access barrier.</w:t>
      </w:r>
    </w:p>
    <w:p>
      <w:pPr>
        <w:spacing w:after="80"/>
      </w:pPr>
      <w:r>
        <w:rPr>
          <w:rFonts w:ascii="Arial" w:cs="Arial" w:eastAsia="Arial" w:hAnsi="Arial"/>
          <w:sz w:val="24"/>
          <w:szCs w:val="24"/>
        </w:rPr>
        <w:t xml:space="preserve"/>
      </w:r>
    </w:p>
    <w:p>
      <w:pPr>
        <w:spacing w:after="160" w:before="0"/>
        <w:ind w:left="360"/>
        <w:jc w:val="left"/>
      </w:pPr>
      <w:r>
        <w:rPr>
          <w:rFonts w:ascii="Arial" w:cs="Arial" w:eastAsia="Arial" w:hAnsi="Arial"/>
          <w:b w:val="false"/>
          <w:bCs w:val="false"/>
          <w:i w:val="false"/>
          <w:iCs w:val="false"/>
          <w:color w:val="1a1a1a"/>
          <w:sz w:val="24"/>
          <w:szCs w:val="24"/>
        </w:rPr>
        <w:t xml:space="preserve">To file a CORA request for procurement records, a resident must already know the specific RFP or contract number for those records. That number is only available by accessing the records the resident is trying to request. This circular requirement effectively denies access to residents who have not previously navigated the City's internal procurement system — which describes the overwhelming majority of Colorado Springs residents.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Finding Three — The multi-department restriction compounds the barrier.</w:t>
      </w:r>
    </w:p>
    <w:p>
      <w:pPr>
        <w:spacing w:after="80"/>
      </w:pPr>
      <w:r>
        <w:rPr>
          <w:rFonts w:ascii="Arial" w:cs="Arial" w:eastAsia="Arial" w:hAnsi="Arial"/>
          <w:sz w:val="24"/>
          <w:szCs w:val="24"/>
        </w:rPr>
        <w:t xml:space="preserve"/>
      </w:r>
    </w:p>
    <w:p>
      <w:pPr>
        <w:spacing w:after="160" w:before="0"/>
        <w:ind w:left="360"/>
        <w:jc w:val="left"/>
      </w:pPr>
      <w:r>
        <w:rPr>
          <w:rFonts w:ascii="Arial" w:cs="Arial" w:eastAsia="Arial" w:hAnsi="Arial"/>
          <w:b w:val="false"/>
          <w:bCs w:val="false"/>
          <w:i w:val="false"/>
          <w:iCs w:val="false"/>
          <w:color w:val="1a1a1a"/>
          <w:sz w:val="24"/>
          <w:szCs w:val="24"/>
        </w:rPr>
        <w:t xml:space="preserve">The City states it cannot process multi-department CORA requests. When the responsible department is itself uncertain — as it is for technology procurement records that may sit across IT and Procurement — a resident cannot know where to file without already having access to the records. Requiring separate department-specific requests when the correct department is unknown creates an additional barrier not required by CORA.</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Section Three — CORA Request</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Pursuant to C.R.S. § 24-72-201 et seq., I request the following records from Procurement Services for the period January 2020 through April 2026:</w:t>
      </w:r>
    </w:p>
    <w:p>
      <w:pPr>
        <w:spacing w:after="80"/>
      </w:pPr>
      <w:r>
        <w:rPr>
          <w:rFonts w:ascii="Arial" w:cs="Arial" w:eastAsia="Arial" w:hAnsi="Arial"/>
          <w:sz w:val="24"/>
          <w:szCs w:val="24"/>
        </w:rPr>
        <w:t xml:space="preserve"/>
      </w:r>
    </w:p>
    <w:p>
      <w:pPr>
        <w:spacing w:after="80" w:before="0"/>
        <w:ind w:left="360"/>
        <w:jc w:val="left"/>
      </w:pPr>
      <w:r>
        <w:rPr>
          <w:rFonts w:ascii="Arial" w:cs="Arial" w:eastAsia="Arial" w:hAnsi="Arial"/>
          <w:b w:val="false"/>
          <w:bCs w:val="false"/>
          <w:i w:val="false"/>
          <w:iCs w:val="false"/>
          <w:color w:val="1a1a1a"/>
          <w:sz w:val="24"/>
          <w:szCs w:val="24"/>
        </w:rPr>
        <w:t xml:space="preserve">One — All contracts, enterprise agreements, or licensing agreements between the City of Colorado Springs and Esri Inc. for any ArcGIS product or service, including ArcGIS Online, ArcGIS Enterprise, and ArcGIS Pro. For each contract: start date, end date, annual cost, total value, and responsible department.</w:t>
      </w:r>
    </w:p>
    <w:p>
      <w:pPr>
        <w:spacing w:after="80" w:before="0"/>
        <w:ind w:left="360"/>
        <w:jc w:val="left"/>
      </w:pPr>
      <w:r>
        <w:rPr>
          <w:rFonts w:ascii="Arial" w:cs="Arial" w:eastAsia="Arial" w:hAnsi="Arial"/>
          <w:b w:val="false"/>
          <w:bCs w:val="false"/>
          <w:i w:val="false"/>
          <w:iCs w:val="false"/>
          <w:color w:val="1a1a1a"/>
          <w:sz w:val="24"/>
          <w:szCs w:val="24"/>
        </w:rPr>
        <w:t xml:space="preserve">Two — All purchase orders, invoices, or payment records to Esri Inc. during the request period.</w:t>
      </w:r>
    </w:p>
    <w:p>
      <w:pPr>
        <w:spacing w:after="80" w:before="0"/>
        <w:ind w:left="360"/>
        <w:jc w:val="left"/>
      </w:pPr>
      <w:r>
        <w:rPr>
          <w:rFonts w:ascii="Arial" w:cs="Arial" w:eastAsia="Arial" w:hAnsi="Arial"/>
          <w:b w:val="false"/>
          <w:bCs w:val="false"/>
          <w:i w:val="false"/>
          <w:iCs w:val="false"/>
          <w:color w:val="1a1a1a"/>
          <w:sz w:val="24"/>
          <w:szCs w:val="24"/>
        </w:rPr>
        <w:t xml:space="preserve">Three — All RFPs, invitations for bid, sole source justifications, or procurement evaluation records related to the selection of Esri as the City's GIS vendor.</w:t>
      </w:r>
    </w:p>
    <w:p>
      <w:pPr>
        <w:spacing w:after="80" w:before="0"/>
        <w:ind w:left="360"/>
        <w:jc w:val="left"/>
      </w:pPr>
      <w:r>
        <w:rPr>
          <w:rFonts w:ascii="Arial" w:cs="Arial" w:eastAsia="Arial" w:hAnsi="Arial"/>
          <w:b w:val="false"/>
          <w:bCs w:val="false"/>
          <w:i w:val="false"/>
          <w:iCs w:val="false"/>
          <w:color w:val="1a1a1a"/>
          <w:sz w:val="24"/>
          <w:szCs w:val="24"/>
        </w:rPr>
        <w:t xml:space="preserve">Four — Any renewal documents, amendments, or change orders to existing Esri contracts during the request period.</w:t>
      </w:r>
    </w:p>
    <w:p>
      <w:pPr>
        <w:spacing w:after="160" w:before="0"/>
        <w:ind w:left="360"/>
        <w:jc w:val="left"/>
      </w:pPr>
      <w:r>
        <w:rPr>
          <w:rFonts w:ascii="Arial" w:cs="Arial" w:eastAsia="Arial" w:hAnsi="Arial"/>
          <w:b w:val="false"/>
          <w:bCs w:val="false"/>
          <w:i w:val="false"/>
          <w:iCs w:val="false"/>
          <w:color w:val="1a1a1a"/>
          <w:sz w:val="24"/>
          <w:szCs w:val="24"/>
        </w:rPr>
        <w:t xml:space="preserve">Five — Any internal communications or evaluation records related to the decision to use ArcGIS as the platform for the crash data dashboard associated with the Colorado Springs Transportation Safety Action Plan.</w:t>
      </w:r>
    </w:p>
    <w:p>
      <w:pPr>
        <w:spacing w:after="160" w:before="0"/>
        <w:jc w:val="left"/>
      </w:pPr>
      <w:r>
        <w:rPr>
          <w:rFonts w:ascii="Arial" w:cs="Arial" w:eastAsia="Arial" w:hAnsi="Arial"/>
          <w:b w:val="false"/>
          <w:bCs w:val="false"/>
          <w:i w:val="false"/>
          <w:iCs w:val="false"/>
          <w:color w:val="1a1a1a"/>
          <w:sz w:val="24"/>
          <w:szCs w:val="24"/>
        </w:rPr>
        <w:t xml:space="preserve">I am submitting this request by direct written communication rather than through the online portal because: (1) the portal requires a specific document number I do not have and cannot obtain without first receiving the records I am requesting, (2) the portal is inaccessible to assistive technology as documented in this audit, and (3) direct written submission is permitted under C.R.S. § 24-72-203.</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 request records in electronic format to minimize staff time and cost.</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Section Four — Fee Waiver Request</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 request a full waiver of all fees on the following grounds: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Ground One — ADA barrier.</w:t>
      </w:r>
    </w:p>
    <w:p>
      <w:pPr>
        <w:spacing w:after="120" w:before="0"/>
        <w:ind w:left="360"/>
        <w:jc w:val="left"/>
      </w:pPr>
      <w:r>
        <w:rPr>
          <w:rFonts w:ascii="Arial" w:cs="Arial" w:eastAsia="Arial" w:hAnsi="Arial"/>
          <w:b w:val="false"/>
          <w:bCs w:val="false"/>
          <w:i w:val="false"/>
          <w:iCs w:val="false"/>
          <w:color w:val="1a1a1a"/>
          <w:sz w:val="24"/>
          <w:szCs w:val="24"/>
        </w:rPr>
        <w:t xml:space="preserve">The City's designated submission portal is inaccessible and imposed requirements beyond what CORA authorizes, compelling me to seek an alternative submission path. The burden and cost of the City's non-compliant portal design should not be transferred to the requester. C.R.S. § 24-72-205(6) permits fee reduction or waiver when disclosure is in the public interest or when circumstances warrant.</w:t>
      </w:r>
    </w:p>
    <w:p>
      <w:pPr>
        <w:spacing w:after="160" w:before="0"/>
        <w:jc w:val="left"/>
      </w:pPr>
      <w:r>
        <w:rPr>
          <w:rFonts w:ascii="Arial" w:cs="Arial" w:eastAsia="Arial" w:hAnsi="Arial"/>
          <w:b/>
          <w:bCs/>
          <w:i w:val="false"/>
          <w:iCs w:val="false"/>
          <w:color w:val="1a1a1a"/>
          <w:sz w:val="24"/>
          <w:szCs w:val="24"/>
        </w:rPr>
        <w:t xml:space="preserve">Ground Two — Legal access barrier.</w:t>
      </w:r>
    </w:p>
    <w:p>
      <w:pPr>
        <w:spacing w:after="120" w:before="0"/>
        <w:ind w:left="360"/>
        <w:jc w:val="left"/>
      </w:pPr>
      <w:r>
        <w:rPr>
          <w:rFonts w:ascii="Arial" w:cs="Arial" w:eastAsia="Arial" w:hAnsi="Arial"/>
          <w:b w:val="false"/>
          <w:bCs w:val="false"/>
          <w:i w:val="false"/>
          <w:iCs w:val="false"/>
          <w:color w:val="1a1a1a"/>
          <w:sz w:val="24"/>
          <w:szCs w:val="24"/>
        </w:rPr>
        <w:t xml:space="preserve">The portal's requirement for a specific document number — which I cannot obtain without already having access to the records — constitutes a barrier beyond what CORA permits. A fee waiver is appropriate where the City's own portal design prevented me from using the designated submission channel.</w:t>
      </w:r>
    </w:p>
    <w:p>
      <w:pPr>
        <w:spacing w:after="160" w:before="0"/>
        <w:jc w:val="left"/>
      </w:pPr>
      <w:r>
        <w:rPr>
          <w:rFonts w:ascii="Arial" w:cs="Arial" w:eastAsia="Arial" w:hAnsi="Arial"/>
          <w:b/>
          <w:bCs/>
          <w:i w:val="false"/>
          <w:iCs w:val="false"/>
          <w:color w:val="1a1a1a"/>
          <w:sz w:val="24"/>
          <w:szCs w:val="24"/>
        </w:rPr>
        <w:t xml:space="preserve">Ground Three — Public interest.</w:t>
      </w:r>
    </w:p>
    <w:p>
      <w:pPr>
        <w:spacing w:after="120" w:before="0"/>
        <w:ind w:left="360"/>
        <w:jc w:val="left"/>
      </w:pPr>
      <w:r>
        <w:rPr>
          <w:rFonts w:ascii="Arial" w:cs="Arial" w:eastAsia="Arial" w:hAnsi="Arial"/>
          <w:b w:val="false"/>
          <w:bCs w:val="false"/>
          <w:i w:val="false"/>
          <w:iCs w:val="false"/>
          <w:color w:val="1a1a1a"/>
          <w:sz w:val="24"/>
          <w:szCs w:val="24"/>
        </w:rPr>
        <w:t xml:space="preserve">This request seeks information about the cost of publicly funded technology used to serve residents. The Colorado Springs Safety Action Plan was funded by a $280,000 federal Safe Streets for All grant. The ArcGIS dashboard associated with that plan fails four federal accessibility standards. Understanding the procurement decision is directly relevant to public accountability for federal grant expenditure.</w:t>
      </w:r>
    </w:p>
    <w:p>
      <w:pPr>
        <w:spacing w:after="160" w:before="0"/>
        <w:jc w:val="left"/>
      </w:pPr>
      <w:r>
        <w:rPr>
          <w:rFonts w:ascii="Arial" w:cs="Arial" w:eastAsia="Arial" w:hAnsi="Arial"/>
          <w:b/>
          <w:bCs/>
          <w:i w:val="false"/>
          <w:iCs w:val="false"/>
          <w:color w:val="1a1a1a"/>
          <w:sz w:val="24"/>
          <w:szCs w:val="24"/>
        </w:rPr>
        <w:t xml:space="preserve">Ground Four — Statutory authority.</w:t>
      </w:r>
    </w:p>
    <w:p>
      <w:pPr>
        <w:spacing w:after="160" w:before="0"/>
        <w:ind w:left="360"/>
        <w:jc w:val="left"/>
      </w:pPr>
      <w:r>
        <w:rPr>
          <w:rFonts w:ascii="Arial" w:cs="Arial" w:eastAsia="Arial" w:hAnsi="Arial"/>
          <w:b w:val="false"/>
          <w:bCs w:val="false"/>
          <w:i w:val="false"/>
          <w:iCs w:val="false"/>
          <w:color w:val="1a1a1a"/>
          <w:sz w:val="24"/>
          <w:szCs w:val="24"/>
        </w:rPr>
        <w:t xml:space="preserve">C.R.S. § 24-72-205(6) — custodians may reduce or waive fees when disclosure is in the public interest. This request meets that standard.</w:t>
      </w:r>
    </w:p>
    <w:p>
      <w:pPr>
        <w:spacing w:after="80"/>
      </w:pPr>
      <w:r>
        <w:rPr>
          <w:rFonts w:ascii="Arial" w:cs="Arial" w:eastAsia="Arial" w:hAnsi="Arial"/>
          <w:sz w:val="24"/>
          <w:szCs w:val="24"/>
        </w:rPr>
        <w:t xml:space="preserve"/>
      </w:r>
    </w:p>
    <w:p>
      <w:pPr>
        <w:pStyle w:val="Heading2"/>
        <w:spacing w:after="80" w:before="280"/>
      </w:pPr>
      <w:r>
        <w:rPr>
          <w:rFonts w:ascii="Arial" w:cs="Arial" w:eastAsia="Arial" w:hAnsi="Arial"/>
          <w:b/>
          <w:bCs/>
          <w:color w:val="001a4d"/>
          <w:sz w:val="26"/>
          <w:szCs w:val="26"/>
        </w:rPr>
        <w:t xml:space="preserve">Section Five — Requested Actions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bCs/>
          <w:i w:val="false"/>
          <w:iCs w:val="false"/>
          <w:color w:val="1a1a1a"/>
          <w:sz w:val="24"/>
          <w:szCs w:val="24"/>
        </w:rPr>
        <w:t xml:space="preserve">From the City Clerk and City Communications:</w:t>
      </w:r>
    </w:p>
    <w:p>
      <w:pPr>
        <w:spacing w:after="60" w:before="0"/>
        <w:ind w:left="360"/>
        <w:jc w:val="left"/>
      </w:pPr>
      <w:r>
        <w:rPr>
          <w:rFonts w:ascii="Arial" w:cs="Arial" w:eastAsia="Arial" w:hAnsi="Arial"/>
          <w:b w:val="false"/>
          <w:bCs w:val="false"/>
          <w:i w:val="false"/>
          <w:iCs w:val="false"/>
          <w:color w:val="1a1a1a"/>
          <w:sz w:val="24"/>
          <w:szCs w:val="24"/>
        </w:rPr>
        <w:t xml:space="preserve">1. Add direct email and phone contact information for each department on the CORA page itself, as an accessible alternative to the third-party portals.</w:t>
      </w:r>
    </w:p>
    <w:p>
      <w:pPr>
        <w:spacing w:after="60" w:before="0"/>
        <w:ind w:left="360"/>
        <w:jc w:val="left"/>
      </w:pPr>
      <w:r>
        <w:rPr>
          <w:rFonts w:ascii="Arial" w:cs="Arial" w:eastAsia="Arial" w:hAnsi="Arial"/>
          <w:b w:val="false"/>
          <w:bCs w:val="false"/>
          <w:i w:val="false"/>
          <w:iCs w:val="false"/>
          <w:color w:val="1a1a1a"/>
          <w:sz w:val="24"/>
          <w:szCs w:val="24"/>
        </w:rPr>
        <w:t xml:space="preserve">2. Require GovOutreach to bring its portals into WCAG 2.1 AA compliance as a condition of continuing the contract.</w:t>
      </w:r>
    </w:p>
    <w:p>
      <w:pPr>
        <w:spacing w:after="120" w:before="0"/>
        <w:ind w:left="360"/>
        <w:jc w:val="left"/>
      </w:pPr>
      <w:r>
        <w:rPr>
          <w:rFonts w:ascii="Arial" w:cs="Arial" w:eastAsia="Arial" w:hAnsi="Arial"/>
          <w:b w:val="false"/>
          <w:bCs w:val="false"/>
          <w:i w:val="false"/>
          <w:iCs w:val="false"/>
          <w:color w:val="1a1a1a"/>
          <w:sz w:val="24"/>
          <w:szCs w:val="24"/>
        </w:rPr>
        <w:t xml:space="preserve">3. Remediate the nine additional ADA findings documented in Part One of this document.</w:t>
      </w:r>
    </w:p>
    <w:p>
      <w:pPr>
        <w:spacing w:after="160" w:before="0"/>
        <w:jc w:val="left"/>
      </w:pPr>
      <w:r>
        <w:rPr>
          <w:rFonts w:ascii="Arial" w:cs="Arial" w:eastAsia="Arial" w:hAnsi="Arial"/>
          <w:b/>
          <w:bCs/>
          <w:i w:val="false"/>
          <w:iCs w:val="false"/>
          <w:color w:val="1a1a1a"/>
          <w:sz w:val="24"/>
          <w:szCs w:val="24"/>
        </w:rPr>
        <w:t xml:space="preserve">From the Office of Accessibility:</w:t>
      </w:r>
    </w:p>
    <w:p>
      <w:pPr>
        <w:spacing w:after="60" w:before="0"/>
        <w:ind w:left="360"/>
        <w:jc w:val="left"/>
      </w:pPr>
      <w:r>
        <w:rPr>
          <w:rFonts w:ascii="Arial" w:cs="Arial" w:eastAsia="Arial" w:hAnsi="Arial"/>
          <w:b w:val="false"/>
          <w:bCs w:val="false"/>
          <w:i w:val="false"/>
          <w:iCs w:val="false"/>
          <w:color w:val="1a1a1a"/>
          <w:sz w:val="24"/>
          <w:szCs w:val="24"/>
        </w:rPr>
        <w:t xml:space="preserve">1. Conduct an independent review of the govoutreach portals against WCAG 2.1 AA standards.</w:t>
      </w:r>
    </w:p>
    <w:p>
      <w:pPr>
        <w:spacing w:after="120" w:before="0"/>
        <w:ind w:left="360"/>
        <w:jc w:val="left"/>
      </w:pPr>
      <w:r>
        <w:rPr>
          <w:rFonts w:ascii="Arial" w:cs="Arial" w:eastAsia="Arial" w:hAnsi="Arial"/>
          <w:b w:val="false"/>
          <w:bCs w:val="false"/>
          <w:i w:val="false"/>
          <w:iCs w:val="false"/>
          <w:color w:val="1a1a1a"/>
          <w:sz w:val="24"/>
          <w:szCs w:val="24"/>
        </w:rPr>
        <w:t xml:space="preserve">2. Add the CORA page and its associated portals to the City's accessibility monitoring process.</w:t>
      </w:r>
    </w:p>
    <w:p>
      <w:pPr>
        <w:spacing w:after="160" w:before="0"/>
        <w:jc w:val="left"/>
      </w:pPr>
      <w:r>
        <w:rPr>
          <w:rFonts w:ascii="Arial" w:cs="Arial" w:eastAsia="Arial" w:hAnsi="Arial"/>
          <w:b/>
          <w:bCs/>
          <w:i w:val="false"/>
          <w:iCs w:val="false"/>
          <w:color w:val="1a1a1a"/>
          <w:sz w:val="24"/>
          <w:szCs w:val="24"/>
        </w:rPr>
        <w:t xml:space="preserve">From Procurement Services:</w:t>
      </w:r>
    </w:p>
    <w:p>
      <w:pPr>
        <w:spacing w:after="60" w:before="0"/>
        <w:ind w:left="360"/>
        <w:jc w:val="left"/>
      </w:pPr>
      <w:r>
        <w:rPr>
          <w:rFonts w:ascii="Arial" w:cs="Arial" w:eastAsia="Arial" w:hAnsi="Arial"/>
          <w:b w:val="false"/>
          <w:bCs w:val="false"/>
          <w:i w:val="false"/>
          <w:iCs w:val="false"/>
          <w:color w:val="1a1a1a"/>
          <w:sz w:val="24"/>
          <w:szCs w:val="24"/>
        </w:rPr>
        <w:t xml:space="preserve">1. Respond to the CORA request above within three working days as required by C.R.S. § 24-72-203.</w:t>
      </w:r>
    </w:p>
    <w:p>
      <w:pPr>
        <w:spacing w:after="60" w:before="0"/>
        <w:ind w:left="360"/>
        <w:jc w:val="left"/>
      </w:pPr>
      <w:r>
        <w:rPr>
          <w:rFonts w:ascii="Arial" w:cs="Arial" w:eastAsia="Arial" w:hAnsi="Arial"/>
          <w:b w:val="false"/>
          <w:bCs w:val="false"/>
          <w:i w:val="false"/>
          <w:iCs w:val="false"/>
          <w:color w:val="1a1a1a"/>
          <w:sz w:val="24"/>
          <w:szCs w:val="24"/>
        </w:rPr>
        <w:t xml:space="preserve">2. Grant the fee waiver request.</w:t>
      </w:r>
    </w:p>
    <w:p>
      <w:pPr>
        <w:spacing w:after="160" w:before="0"/>
        <w:ind w:left="360"/>
        <w:jc w:val="left"/>
      </w:pPr>
      <w:r>
        <w:rPr>
          <w:rFonts w:ascii="Arial" w:cs="Arial" w:eastAsia="Arial" w:hAnsi="Arial"/>
          <w:b w:val="false"/>
          <w:bCs w:val="false"/>
          <w:i w:val="false"/>
          <w:iCs w:val="false"/>
          <w:color w:val="1a1a1a"/>
          <w:sz w:val="24"/>
          <w:szCs w:val="24"/>
        </w:rPr>
        <w:t xml:space="preserve">3. If the records are held by a different department, advise the correct custodian and forward this request.</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If any portion of the CORA request is denied, please provide in writing the specific statutory exemption under C.R.S. § 24-72-204 that applies to each withheld record.</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A redesigned, accessible CORA submission process — built by two residents at a kitchen table at no cost — is included as Part Three of this document and offered to the City for use without charge.</w:t>
      </w:r>
    </w:p>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Respectfully submitted,</w:t>
      </w:r>
    </w:p>
    <w:p>
      <w:pPr>
        <w:spacing w:after="24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_______________________________</w:t>
      </w:r>
    </w:p>
    <w:p>
      <w:pPr>
        <w:spacing w:after="160" w:before="0"/>
        <w:jc w:val="left"/>
      </w:pPr>
      <w:r>
        <w:rPr>
          <w:rFonts w:ascii="Arial" w:cs="Arial" w:eastAsia="Arial" w:hAnsi="Arial"/>
          <w:b w:val="false"/>
          <w:bCs w:val="false"/>
          <w:i w:val="false"/>
          <w:iCs w:val="false"/>
          <w:color w:val="1a1a1a"/>
          <w:sz w:val="24"/>
          <w:szCs w:val="24"/>
        </w:rPr>
        <w:t xml:space="preserve">[Name]</w:t>
      </w:r>
    </w:p>
    <w:p>
      <w:pPr>
        <w:spacing w:after="160" w:before="0"/>
        <w:jc w:val="left"/>
      </w:pPr>
      <w:r>
        <w:rPr>
          <w:rFonts w:ascii="Arial" w:cs="Arial" w:eastAsia="Arial" w:hAnsi="Arial"/>
          <w:b w:val="false"/>
          <w:bCs w:val="false"/>
          <w:i w:val="false"/>
          <w:iCs w:val="false"/>
          <w:color w:val="1a1a1a"/>
          <w:sz w:val="24"/>
          <w:szCs w:val="24"/>
        </w:rPr>
        <w:t xml:space="preserve">[Address, Colorado Springs, CO]</w:t>
      </w:r>
    </w:p>
    <w:p>
      <w:pPr>
        <w:spacing w:after="160" w:before="0"/>
        <w:jc w:val="left"/>
      </w:pPr>
      <w:r>
        <w:rPr>
          <w:rFonts w:ascii="Arial" w:cs="Arial" w:eastAsia="Arial" w:hAnsi="Arial"/>
          <w:b w:val="false"/>
          <w:bCs w:val="false"/>
          <w:i w:val="false"/>
          <w:iCs w:val="false"/>
          <w:color w:val="1a1a1a"/>
          <w:sz w:val="24"/>
          <w:szCs w:val="24"/>
        </w:rPr>
        <w:t xml:space="preserve">[Email]</w:t>
      </w:r>
    </w:p>
    <w:p>
      <w:pPr>
        <w:spacing w:after="160" w:before="0"/>
        <w:jc w:val="left"/>
      </w:pPr>
      <w:r>
        <w:rPr>
          <w:rFonts w:ascii="Arial" w:cs="Arial" w:eastAsia="Arial" w:hAnsi="Arial"/>
          <w:b w:val="false"/>
          <w:bCs w:val="false"/>
          <w:i w:val="false"/>
          <w:iCs w:val="false"/>
          <w:color w:val="1a1a1a"/>
          <w:sz w:val="24"/>
          <w:szCs w:val="24"/>
        </w:rPr>
        <w:t xml:space="preserve">[Phone]</w:t>
      </w:r>
    </w:p>
    <w:p>
      <w:pPr>
        <w:spacing w:after="80"/>
      </w:pPr>
      <w:r>
        <w:rPr>
          <w:rFonts w:ascii="Arial" w:cs="Arial" w:eastAsia="Arial" w:hAnsi="Arial"/>
          <w:sz w:val="24"/>
          <w:szCs w:val="24"/>
        </w:rPr>
        <w:t xml:space="preserve"/>
      </w:r>
    </w:p>
    <w:p>
      <w:pPr>
        <w:spacing w:after="160" w:before="160"/>
        <w:jc w:val="center"/>
      </w:pPr>
      <w:r>
        <w:rPr>
          <w:rFonts w:ascii="Arial" w:cs="Arial" w:eastAsia="Arial" w:hAnsi="Arial"/>
          <w:color w:val="cccccc"/>
          <w:sz w:val="20"/>
          <w:szCs w:val="20"/>
        </w:rPr>
        <w:t xml:space="preserve">―――――――――――――――</w:t>
      </w:r>
    </w:p>
    <w:p>
      <w:pPr>
        <w:spacing w:after="80"/>
      </w:pPr>
      <w:r>
        <w:rPr>
          <w:rFonts w:ascii="Arial" w:cs="Arial" w:eastAsia="Arial" w:hAnsi="Arial"/>
          <w:sz w:val="24"/>
          <w:szCs w:val="24"/>
        </w:rPr>
        <w:t xml:space="preserve"/>
      </w:r>
    </w:p>
    <w:p>
      <w:pPr>
        <w:spacing w:after="0"/>
      </w:pPr>
      <w:r>
        <w:br/>
        <w:t xml:space="preserve"/>
      </w:r>
    </w:p>
    <w:p>
      <w:pPr>
        <w:pStyle w:val="Heading1"/>
        <w:spacing w:after="160" w:before="400"/>
      </w:pPr>
      <w:r>
        <w:rPr>
          <w:rFonts w:ascii="Arial" w:cs="Arial" w:eastAsia="Arial" w:hAnsi="Arial"/>
          <w:b/>
          <w:bCs/>
          <w:color w:val="001a4d"/>
          <w:sz w:val="32"/>
          <w:szCs w:val="32"/>
        </w:rPr>
        <w:t xml:space="preserve">Part Three — Redesigned CORA Submission Process</w:t>
      </w:r>
    </w:p>
    <w:p>
      <w:pPr>
        <w:spacing w:after="160" w:before="0"/>
        <w:jc w:val="left"/>
      </w:pPr>
      <w:r>
        <w:rPr>
          <w:rFonts w:ascii="Arial" w:cs="Arial" w:eastAsia="Arial" w:hAnsi="Arial"/>
          <w:b w:val="false"/>
          <w:bCs w:val="false"/>
          <w:i/>
          <w:iCs/>
          <w:color w:val="444444"/>
          <w:sz w:val="24"/>
          <w:szCs w:val="24"/>
        </w:rPr>
        <w:t xml:space="preserve">Proposed by two residents. Offered to the City at no cost.</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current CORA submission process requires residents to know which department holds their records, know specific document numbers, navigate five separate third-party portals, and find no alternative when those portals are inaccessible. None of these requirements are mandated by CORA. All of them create barriers.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The redesigned process is built on four principles:</w:t>
      </w:r>
    </w:p>
    <w:p>
      <w:pPr>
        <w:spacing w:after="80"/>
      </w:pPr>
      <w:r>
        <w:rPr>
          <w:rFonts w:ascii="Arial" w:cs="Arial" w:eastAsia="Arial" w:hAnsi="Arial"/>
          <w:sz w:val="24"/>
          <w:szCs w:val="24"/>
        </w:rPr>
        <w:t xml:space="preserve"/>
      </w:r>
    </w:p>
    <w:p>
      <w:pPr>
        <w:spacing w:after="80" w:before="0"/>
        <w:ind w:left="360"/>
        <w:jc w:val="left"/>
      </w:pPr>
      <w:r>
        <w:rPr>
          <w:rFonts w:ascii="Arial" w:cs="Arial" w:eastAsia="Arial" w:hAnsi="Arial"/>
          <w:b w:val="false"/>
          <w:bCs w:val="false"/>
          <w:i w:val="false"/>
          <w:iCs w:val="false"/>
          <w:color w:val="1a1a1a"/>
          <w:sz w:val="24"/>
          <w:szCs w:val="24"/>
        </w:rPr>
        <w:t xml:space="preserve">One — Plain language. The form asks what the resident is looking for, not what RFP number they already have.</w:t>
      </w:r>
    </w:p>
    <w:p>
      <w:pPr>
        <w:spacing w:after="80" w:before="0"/>
        <w:ind w:left="360"/>
        <w:jc w:val="left"/>
      </w:pPr>
      <w:r>
        <w:rPr>
          <w:rFonts w:ascii="Arial" w:cs="Arial" w:eastAsia="Arial" w:hAnsi="Arial"/>
          <w:b w:val="false"/>
          <w:bCs w:val="false"/>
          <w:i w:val="false"/>
          <w:iCs w:val="false"/>
          <w:color w:val="1a1a1a"/>
          <w:sz w:val="24"/>
          <w:szCs w:val="24"/>
        </w:rPr>
        <w:t xml:space="preserve">Two — Accessible. WCAG 2.1 AA compliant. Works on any device, with any assistive technology, in any browser.</w:t>
      </w:r>
    </w:p>
    <w:p>
      <w:pPr>
        <w:spacing w:after="80" w:before="0"/>
        <w:ind w:left="360"/>
        <w:jc w:val="left"/>
      </w:pPr>
      <w:r>
        <w:rPr>
          <w:rFonts w:ascii="Arial" w:cs="Arial" w:eastAsia="Arial" w:hAnsi="Arial"/>
          <w:b w:val="false"/>
          <w:bCs w:val="false"/>
          <w:i w:val="false"/>
          <w:iCs w:val="false"/>
          <w:color w:val="1a1a1a"/>
          <w:sz w:val="24"/>
          <w:szCs w:val="24"/>
        </w:rPr>
        <w:t xml:space="preserve">Three — Routable. The form collects enough information to route to the correct department internally — the resident does not need to know which department in advance.</w:t>
      </w:r>
    </w:p>
    <w:p>
      <w:pPr>
        <w:spacing w:after="160" w:before="0"/>
        <w:ind w:left="360"/>
        <w:jc w:val="left"/>
      </w:pPr>
      <w:r>
        <w:rPr>
          <w:rFonts w:ascii="Arial" w:cs="Arial" w:eastAsia="Arial" w:hAnsi="Arial"/>
          <w:b w:val="false"/>
          <w:bCs w:val="false"/>
          <w:i w:val="false"/>
          <w:iCs w:val="false"/>
          <w:color w:val="1a1a1a"/>
          <w:sz w:val="24"/>
          <w:szCs w:val="24"/>
        </w:rPr>
        <w:t xml:space="preserve">Four — Honest. The form tells residents what to expect, what it costs, how long it takes, and what happens if records are withheld.</w:t>
      </w:r>
    </w:p>
    <w:p>
      <w:pPr>
        <w:spacing w:after="160" w:before="0"/>
        <w:jc w:val="left"/>
      </w:pPr>
      <w:r>
        <w:rPr>
          <w:rFonts w:ascii="Arial" w:cs="Arial" w:eastAsia="Arial" w:hAnsi="Arial"/>
          <w:b w:val="false"/>
          <w:bCs w:val="false"/>
          <w:i w:val="false"/>
          <w:iCs w:val="false"/>
          <w:color w:val="1a1a1a"/>
          <w:sz w:val="24"/>
          <w:szCs w:val="24"/>
        </w:rPr>
        <w:t xml:space="preserve">The working prototype is provided as a separate HTML file. It can be deployed immediately as a replacement for the current portal links, hosted on coloradosprings.gov, and handed to the City's web team for integration into the existing CMS.</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No invoice. No vendor contract. No ArcGIS license.</w:t>
      </w:r>
    </w:p>
    <w:p>
      <w:pPr>
        <w:spacing w:after="80"/>
      </w:pPr>
      <w:r>
        <w:rPr>
          <w:rFonts w:ascii="Arial" w:cs="Arial" w:eastAsia="Arial" w:hAnsi="Arial"/>
          <w:sz w:val="24"/>
          <w:szCs w:val="24"/>
        </w:rPr>
        <w:t xml:space="preserve"/>
      </w:r>
    </w:p>
    <w:p>
      <w:pPr>
        <w:spacing w:after="160" w:before="0"/>
        <w:jc w:val="left"/>
      </w:pPr>
      <w:r>
        <w:rPr>
          <w:rFonts w:ascii="Arial" w:cs="Arial" w:eastAsia="Arial" w:hAnsi="Arial"/>
          <w:b w:val="false"/>
          <w:bCs w:val="false"/>
          <w:i w:val="false"/>
          <w:iCs w:val="false"/>
          <w:color w:val="1a1a1a"/>
          <w:sz w:val="24"/>
          <w:szCs w:val="24"/>
        </w:rPr>
        <w:t xml:space="preserve">Just a form that works for everyone.</w:t>
      </w:r>
    </w:p>
    <w:p>
      <w:pPr>
        <w:spacing w:after="80"/>
      </w:pPr>
      <w:r>
        <w:rPr>
          <w:rFonts w:ascii="Arial" w:cs="Arial" w:eastAsia="Arial" w:hAnsi="Arial"/>
          <w:sz w:val="24"/>
          <w:szCs w:val="24"/>
        </w:rPr>
        <w:t xml:space="preserve"/>
      </w:r>
    </w:p>
    <w:p>
      <w:pPr>
        <w:spacing w:after="160" w:before="160"/>
        <w:jc w:val="center"/>
      </w:pPr>
      <w:r>
        <w:rPr>
          <w:rFonts w:ascii="Arial" w:cs="Arial" w:eastAsia="Arial" w:hAnsi="Arial"/>
          <w:color w:val="cccccc"/>
          <w:sz w:val="20"/>
          <w:szCs w:val="20"/>
        </w:rPr>
        <w:t xml:space="preserve">―――――――――――――――</w:t>
      </w:r>
    </w:p>
    <w:p>
      <w:pPr>
        <w:spacing w:after="80"/>
      </w:pPr>
      <w:r>
        <w:rPr>
          <w:rFonts w:ascii="Arial" w:cs="Arial" w:eastAsia="Arial" w:hAnsi="Arial"/>
          <w:sz w:val="24"/>
          <w:szCs w:val="24"/>
        </w:rPr>
        <w:t xml:space="preserve"/>
      </w:r>
    </w:p>
    <w:p>
      <w:pPr>
        <w:spacing w:after="160" w:before="0"/>
        <w:jc w:val="center"/>
      </w:pPr>
      <w:r>
        <w:rPr>
          <w:rFonts w:ascii="Arial" w:cs="Arial" w:eastAsia="Arial" w:hAnsi="Arial"/>
          <w:b/>
          <w:bCs/>
          <w:i w:val="false"/>
          <w:iCs w:val="false"/>
          <w:color w:val="001a4d"/>
          <w:sz w:val="24"/>
          <w:szCs w:val="24"/>
        </w:rPr>
        <w:t xml:space="preserve">END OF DOCUMENT</w:t>
      </w:r>
    </w:p>
    <w:p>
      <w:pPr>
        <w:spacing w:after="160" w:before="0"/>
        <w:jc w:val="center"/>
      </w:pPr>
      <w:r>
        <w:rPr>
          <w:rFonts w:ascii="Arial" w:cs="Arial" w:eastAsia="Arial" w:hAnsi="Arial"/>
          <w:b w:val="false"/>
          <w:bCs w:val="false"/>
          <w:i/>
          <w:iCs/>
          <w:color w:val="444444"/>
          <w:sz w:val="20"/>
          <w:szCs w:val="20"/>
        </w:rPr>
        <w:t xml:space="preserve">ADA Audit · Legal Compliance Letter · CORA Request · Fee Waiver · Process Redesign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pPr>
    <w:r>
      <w:rPr>
        <w:rFonts w:ascii="Arial" w:cs="Arial" w:eastAsia="Arial" w:hAnsi="Arial"/>
        <w:color w:val="888888"/>
        <w:sz w:val="18"/>
        <w:szCs w:val="18"/>
      </w:rPr>
      <w:t xml:space="preserve">StorySeed / The Dais · Not legal advice · For public record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a4d" w:sz="4" w:space="4"/>
      </w:pBdr>
      <w:tabs>
        <w:tab w:val="right" w:pos="9360"/>
      </w:tabs>
      <w:spacing w:after="0"/>
    </w:pPr>
    <w:r>
      <w:rPr>
        <w:rFonts w:ascii="Arial" w:cs="Arial" w:eastAsia="Arial" w:hAnsi="Arial"/>
        <w:color w:val="666666"/>
        <w:sz w:val="18"/>
        <w:szCs w:val="18"/>
      </w:rPr>
      <w:t xml:space="preserve">CITY OF COLORADO SPRINGS · CORA ADA AUDIT &amp; COMPLIANCE LETTER</w:t>
    </w:r>
    <w:r>
      <w:rPr>
        <w:rFonts w:ascii="Arial" w:cs="Arial" w:eastAsia="Arial" w:hAnsi="Arial"/>
        <w:sz w:val="18"/>
        <w:szCs w:val="18"/>
      </w:rPr>
      <w:t xml:space="preserve">	</w:t>
    </w:r>
    <w:r>
      <w:rPr>
        <w:rFonts w:ascii="Arial" w:cs="Arial" w:eastAsia="Arial" w:hAnsi="Arial"/>
        <w:i/>
        <w:iCs/>
        <w:color w:val="666666"/>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1a4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1a4d"/>
      <w:sz w:val="26"/>
      <w:szCs w:val="26"/>
    </w:rPr>
  </w:style>
  <w:style w:type="paragraph" w:styleId="Heading3">
    <w:name w:val="Heading 3"/>
    <w:basedOn w:val="Normal"/>
    <w:next w:val="Normal"/>
    <w:qFormat/>
    <w:pPr>
      <w:spacing w:after="60" w:before="200"/>
      <w:outlineLvl w:val="2"/>
    </w:pPr>
    <w:rPr>
      <w:rFonts w:ascii="Arial" w:cs="Arial" w:eastAsia="Arial" w:hAnsi="Arial"/>
      <w:b/>
      <w:bCs/>
      <w:color w:val="7f1d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2026-04-05T04:52:00.482Z</dcterms:created>
  <dcterms:modified xsi:type="dcterms:W3CDTF">2026-04-05T04:52:00.483Z</dcterms:modified>
</cp:coreProperties>
</file>

<file path=docProps/custom.xml><?xml version="1.0" encoding="utf-8"?>
<Properties xmlns="http://schemas.openxmlformats.org/officeDocument/2006/custom-properties" xmlns:vt="http://schemas.openxmlformats.org/officeDocument/2006/docPropsVTypes"/>
</file>