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7F7F7F"/>
          <w:sz w:val="18"/>
          <w:szCs w:val="18"/>
        </w:rPr>
        <w:t xml:space="preserve">PROPOSAL</w:t>
      </w:r>
    </w:p>
    <w:p>
      <w:pPr>
        <w:spacing w:after="120"/>
      </w:pPr>
      <w:r>
        <w:rPr>
          <w:b/>
          <w:bCs/>
          <w:color w:val="1F3864"/>
          <w:sz w:val="36"/>
          <w:szCs w:val="36"/>
        </w:rPr>
        <w:t xml:space="preserve">Centennial Hall: Expanding Public Access and Revenue</w:t>
      </w:r>
    </w:p>
    <w:p>
      <w:pPr>
        <w:pBdr>
          <w:bottom w:val="single" w:color="2E5496" w:sz="6" w:space="6"/>
        </w:pBdr>
        <w:spacing w:after="320"/>
      </w:pPr>
      <w:r>
        <w:rPr>
          <w:i/>
          <w:iCs/>
          <w:color w:val="595959"/>
          <w:sz w:val="22"/>
          <w:szCs w:val="22"/>
        </w:rPr>
        <w:t xml:space="preserve">A pilot framework for the Board of County Commissioners</w:t>
      </w:r>
    </w:p>
    <w:p>
      <w:pPr>
        <w:spacing w:after="60"/>
      </w:pPr>
      <w:r>
        <w:rPr>
          <w:b/>
          <w:bCs/>
        </w:rPr>
        <w:t xml:space="preserve">To: </w:t>
      </w:r>
      <w:r>
        <w:t xml:space="preserve">Board of County Commissioners, El Paso County</w:t>
      </w:r>
    </w:p>
    <w:p>
      <w:pPr>
        <w:spacing w:after="60"/>
      </w:pPr>
      <w:r>
        <w:rPr>
          <w:b/>
          <w:bCs/>
        </w:rPr>
        <w:t xml:space="preserve">Cc: </w:t>
      </w:r>
      <w:r>
        <w:t xml:space="preserve">County Administrator; Director of Government Affairs; Chief Public Information Officer</w:t>
      </w:r>
    </w:p>
    <w:p>
      <w:pPr>
        <w:spacing w:after="60"/>
      </w:pPr>
      <w:r>
        <w:rPr>
          <w:b/>
          <w:bCs/>
        </w:rPr>
        <w:t xml:space="preserve">From: </w:t>
      </w:r>
      <w:r>
        <w:t xml:space="preserve">Emma Moore, Pivot True North</w:t>
      </w:r>
    </w:p>
    <w:p>
      <w:pPr>
        <w:spacing w:after="60"/>
      </w:pPr>
      <w:r>
        <w:rPr>
          <w:b/>
          <w:bCs/>
        </w:rPr>
        <w:t xml:space="preserve">Date: </w:t>
      </w:r>
      <w:r>
        <w:t xml:space="preserve">April 21, 2026</w:t>
      </w:r>
    </w:p>
    <w:p>
      <w:pPr>
        <w:spacing w:after="320"/>
      </w:pPr>
      <w:r>
        <w:rPr>
          <w:b/>
          <w:bCs/>
        </w:rPr>
        <w:t xml:space="preserve">Re: </w:t>
      </w:r>
      <w:r>
        <w:t xml:space="preserve">Expanding public use and revenue at Centennial Hall (200 S Cascade Ave)</w:t>
      </w:r>
    </w:p>
    <w:p>
      <w:pPr>
        <w:pStyle w:val="Heading1"/>
      </w:pPr>
      <w:r>
        <w:t xml:space="preserve">Executive Summary</w:t>
      </w:r>
    </w:p>
    <w:p>
      <w:pPr>
        <w:spacing w:after="160" w:line="300"/>
      </w:pPr>
      <w:r>
        <w:t xml:space="preserve">Centennial Hall is a 299-seat auditorium in downtown Colorado Springs, owned and operated by El Paso County. Records released to me under the Colorado Open Records Act show that outside-entity rentals of the Hall generated approximately $6,063 in total recovered fees over the five-year period spanning 2020 through early 2025 — an average of roughly $1,200 per year, across eleven billable events.</w:t>
      </w:r>
    </w:p>
    <w:p>
      <w:pPr>
        <w:spacing w:after="160" w:line="300"/>
      </w:pPr>
      <w:r>
        <w:t xml:space="preserve">That number is not a failure of demand. It is a direct consequence of how the facility is currently priced and promoted. The County does not charge rent for the auditorium itself; it only recovers the direct staff costs of keeping the building open (security, custodial, A/V). There is no published rate card, no self-service booking, and outside requests require personal approval from the County Administrator or Public Information Officer.</w:t>
      </w:r>
    </w:p>
    <w:p>
      <w:pPr>
        <w:spacing w:after="160" w:line="300"/>
      </w:pPr>
      <w:r>
        <w:t xml:space="preserve">This proposal outlines a low-risk, County-controlled path to meaningfully increase Centennial Hall's utilization and revenue while fully preserving its core role as a County meeting space, a voting polling center, and a venue for mission-aligned civic events. Nothing in this proposal asks the County to give up any current priority or control.</w:t>
      </w:r>
    </w:p>
    <w:p>
      <w:pPr>
        <w:pStyle w:val="Heading1"/>
      </w:pPr>
      <w:r>
        <w:t xml:space="preserve">What the Records Show</w:t>
      </w:r>
    </w:p>
    <w:p>
      <w:pPr>
        <w:pStyle w:val="Heading2"/>
      </w:pPr>
      <w:r>
        <w:t xml:space="preserve">Five-year revenue, reconstructed from County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4"/>
              <w:left w:val="single" w:color="BFBFBF" w:sz="4"/>
              <w:bottom w:val="single" w:color="BFBFBF" w:sz="4"/>
              <w:right w:val="single" w:color="BFBFBF" w:sz="4"/>
            </w:tcBorders>
            <w:shd w:fill="E7E6E6" w:val="clear"/>
            <w:tcMar>
              <w:top w:type="dxa" w:w="100"/>
              <w:left w:type="dxa" w:w="140"/>
              <w:bottom w:type="dxa" w:w="100"/>
              <w:right w:type="dxa" w:w="140"/>
            </w:tcMar>
          </w:tcPr>
          <w:p>
            <w:pPr>
              <w:jc w:val="left"/>
            </w:pPr>
            <w:r>
              <w:rPr>
                <w:b/>
                <w:bCs/>
              </w:rPr>
              <w:t xml:space="preserve">Year</w:t>
            </w:r>
          </w:p>
        </w:tc>
        <w:tc>
          <w:tcPr>
            <w:tcW w:type="dxa" w:w="2340"/>
            <w:tcBorders>
              <w:top w:val="single" w:color="BFBFBF" w:sz="4"/>
              <w:left w:val="single" w:color="BFBFBF" w:sz="4"/>
              <w:bottom w:val="single" w:color="BFBFBF" w:sz="4"/>
              <w:right w:val="single" w:color="BFBFBF" w:sz="4"/>
            </w:tcBorders>
            <w:shd w:fill="E7E6E6" w:val="clear"/>
            <w:tcMar>
              <w:top w:type="dxa" w:w="100"/>
              <w:left w:type="dxa" w:w="140"/>
              <w:bottom w:type="dxa" w:w="100"/>
              <w:right w:type="dxa" w:w="140"/>
            </w:tcMar>
          </w:tcPr>
          <w:p>
            <w:pPr>
              <w:jc w:val="left"/>
            </w:pPr>
            <w:r>
              <w:rPr>
                <w:b/>
                <w:bCs/>
              </w:rPr>
              <w:t xml:space="preserve">Billable Events</w:t>
            </w:r>
          </w:p>
        </w:tc>
        <w:tc>
          <w:tcPr>
            <w:tcW w:type="dxa" w:w="4680"/>
            <w:tcBorders>
              <w:top w:val="single" w:color="BFBFBF" w:sz="4"/>
              <w:left w:val="single" w:color="BFBFBF" w:sz="4"/>
              <w:bottom w:val="single" w:color="BFBFBF" w:sz="4"/>
              <w:right w:val="single" w:color="BFBFBF" w:sz="4"/>
            </w:tcBorders>
            <w:shd w:fill="E7E6E6" w:val="clear"/>
            <w:tcMar>
              <w:top w:type="dxa" w:w="100"/>
              <w:left w:type="dxa" w:w="140"/>
              <w:bottom w:type="dxa" w:w="100"/>
              <w:right w:type="dxa" w:w="140"/>
            </w:tcMar>
          </w:tcPr>
          <w:p>
            <w:pPr>
              <w:jc w:val="right"/>
            </w:pPr>
            <w:r>
              <w:rPr>
                <w:b/>
                <w:bCs/>
              </w:rPr>
              <w:t xml:space="preserve">Total Fees Recovered</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2020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$1,120.25</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2021</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$1,019.75</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2023</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3</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$584.64</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2024</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4</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$3,195.90</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2025</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$142.02</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Total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11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bCs/>
              </w:rPr>
              <w:t xml:space="preserve">$6,062.56</w:t>
            </w:r>
          </w:p>
        </w:tc>
      </w:tr>
    </w:tbl>
    <w:p>
      <w:pPr>
        <w:spacing w:after="200" w:before="80"/>
      </w:pPr>
      <w:r>
        <w:rPr>
          <w:i/>
          <w:iCs/>
          <w:color w:val="595959"/>
          <w:sz w:val="18"/>
          <w:szCs w:val="18"/>
        </w:rPr>
        <w:t xml:space="preserve">Source: El Paso County Finance export, events FIN12836 through FIN16236, released via CORA 4/21/2026.</w:t>
      </w:r>
    </w:p>
    <w:p>
      <w:pPr>
        <w:pStyle w:val="Heading2"/>
      </w:pPr>
      <w:r>
        <w:t xml:space="preserve">The fee structure has never included a room-rental rate</w:t>
      </w:r>
    </w:p>
    <w:p>
      <w:pPr>
        <w:spacing w:after="160" w:line="300"/>
      </w:pPr>
      <w:r>
        <w:t xml:space="preserve">Across three versions of the Facility Use Application (2020, 2022, and 2025) and the current 2026 invoice template, the County bills only pass-through staff costs. Every version is missing the line item that would actually generate revenue: a charge for use of the room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E7E6E6" w:val="clear"/>
            <w:tcMar>
              <w:top w:type="dxa" w:w="100"/>
              <w:left w:type="dxa" w:w="140"/>
              <w:bottom w:type="dxa" w:w="100"/>
              <w:right w:type="dxa" w:w="140"/>
            </w:tcMar>
          </w:tcPr>
          <w:p>
            <w:pPr>
              <w:jc w:val="left"/>
            </w:pPr>
            <w:r>
              <w:rPr>
                <w:b/>
                <w:bCs/>
              </w:rPr>
              <w:t xml:space="preserve">Cost Line</w:t>
            </w:r>
          </w:p>
        </w:tc>
        <w:tc>
          <w:tcPr>
            <w:tcW w:type="dxa" w:w="2340"/>
            <w:tcBorders>
              <w:top w:val="single" w:color="BFBFBF" w:sz="4"/>
              <w:left w:val="single" w:color="BFBFBF" w:sz="4"/>
              <w:bottom w:val="single" w:color="BFBFBF" w:sz="4"/>
              <w:right w:val="single" w:color="BFBFBF" w:sz="4"/>
            </w:tcBorders>
            <w:shd w:fill="E7E6E6" w:val="clear"/>
            <w:tcMar>
              <w:top w:type="dxa" w:w="100"/>
              <w:left w:type="dxa" w:w="140"/>
              <w:bottom w:type="dxa" w:w="100"/>
              <w:right w:type="dxa" w:w="140"/>
            </w:tcMar>
          </w:tcPr>
          <w:p>
            <w:pPr>
              <w:jc w:val="left"/>
            </w:pPr>
            <w:r>
              <w:rPr>
                <w:b/>
                <w:bCs/>
              </w:rPr>
              <w:t xml:space="preserve">2020 Rate</w:t>
            </w:r>
          </w:p>
        </w:tc>
        <w:tc>
          <w:tcPr>
            <w:tcW w:type="dxa" w:w="2340"/>
            <w:tcBorders>
              <w:top w:val="single" w:color="BFBFBF" w:sz="4"/>
              <w:left w:val="single" w:color="BFBFBF" w:sz="4"/>
              <w:bottom w:val="single" w:color="BFBFBF" w:sz="4"/>
              <w:right w:val="single" w:color="BFBFBF" w:sz="4"/>
            </w:tcBorders>
            <w:shd w:fill="E7E6E6" w:val="clear"/>
            <w:tcMar>
              <w:top w:type="dxa" w:w="100"/>
              <w:left w:type="dxa" w:w="140"/>
              <w:bottom w:type="dxa" w:w="100"/>
              <w:right w:type="dxa" w:w="140"/>
            </w:tcMar>
          </w:tcPr>
          <w:p>
            <w:pPr>
              <w:jc w:val="left"/>
            </w:pPr>
            <w:r>
              <w:rPr>
                <w:b/>
                <w:bCs/>
              </w:rPr>
              <w:t xml:space="preserve">2022 Rate</w:t>
            </w:r>
          </w:p>
        </w:tc>
        <w:tc>
          <w:tcPr>
            <w:tcW w:type="dxa" w:w="2340"/>
            <w:tcBorders>
              <w:top w:val="single" w:color="BFBFBF" w:sz="4"/>
              <w:left w:val="single" w:color="BFBFBF" w:sz="4"/>
              <w:bottom w:val="single" w:color="BFBFBF" w:sz="4"/>
              <w:right w:val="single" w:color="BFBFBF" w:sz="4"/>
            </w:tcBorders>
            <w:shd w:fill="E7E6E6" w:val="clear"/>
            <w:tcMar>
              <w:top w:type="dxa" w:w="100"/>
              <w:left w:type="dxa" w:w="140"/>
              <w:bottom w:type="dxa" w:w="100"/>
              <w:right w:type="dxa" w:w="140"/>
            </w:tcMar>
          </w:tcPr>
          <w:p>
            <w:pPr>
              <w:jc w:val="left"/>
            </w:pPr>
            <w:r>
              <w:rPr>
                <w:b/>
                <w:bCs/>
              </w:rPr>
              <w:t xml:space="preserve">2026 Rate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Security (overtime)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$29.75 / hr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$48.98 / hr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$50.77 / hr</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Custodial (food served)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$247.00 flat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$185.00 flat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$253.00 flat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Public Info / IT (A/V)</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$37.50 / hr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$37.50 / hr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$37.50 / hr</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Room rental rate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None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None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None</w:t>
            </w:r>
          </w:p>
        </w:tc>
      </w:tr>
    </w:tbl>
    <w:p>
      <w:pPr>
        <w:spacing w:after="200" w:before="80"/>
      </w:pPr>
      <w:r>
        <w:t xml:space="preserve"> </w:t>
      </w:r>
    </w:p>
    <w:p>
      <w:pPr>
        <w:pStyle w:val="Heading2"/>
      </w:pPr>
      <w:r>
        <w:t xml:space="preserve">Booking friction is high and public visibility is near-zero</w:t>
      </w:r>
    </w:p>
    <w:p>
      <w:pPr>
        <w:pStyle w:val="ListParagraph"/>
        <w:numPr>
          <w:ilvl w:val="0"/>
          <w:numId w:val="2"/>
        </w:numPr>
        <w:spacing w:after="100" w:line="300"/>
      </w:pPr>
      <w:r>
        <w:t xml:space="preserve">Rates are not published on the County website; prospective users must request a form.</w:t>
      </w:r>
    </w:p>
    <w:p>
      <w:pPr>
        <w:pStyle w:val="ListParagraph"/>
        <w:numPr>
          <w:ilvl w:val="0"/>
          <w:numId w:val="2"/>
        </w:numPr>
        <w:spacing w:after="100" w:line="300"/>
      </w:pPr>
      <w:r>
        <w:t xml:space="preserve">The application is a PDF returned by email or fax.</w:t>
      </w:r>
    </w:p>
    <w:p>
      <w:pPr>
        <w:pStyle w:val="ListParagraph"/>
        <w:numPr>
          <w:ilvl w:val="0"/>
          <w:numId w:val="2"/>
        </w:numPr>
        <w:spacing w:after="100" w:line="300"/>
      </w:pPr>
      <w:r>
        <w:t xml:space="preserve">Outside requests require personal sign-off from the PIO or County Administrator.</w:t>
      </w:r>
    </w:p>
    <w:p>
      <w:pPr>
        <w:pStyle w:val="ListParagraph"/>
        <w:numPr>
          <w:ilvl w:val="0"/>
          <w:numId w:val="2"/>
        </w:numPr>
        <w:spacing w:after="100" w:line="300"/>
      </w:pPr>
      <w:r>
        <w:t xml:space="preserve">No online calendar shows available dates.</w:t>
      </w:r>
    </w:p>
    <w:p>
      <w:pPr>
        <w:pStyle w:val="ListParagraph"/>
        <w:numPr>
          <w:ilvl w:val="0"/>
          <w:numId w:val="2"/>
        </w:numPr>
        <w:spacing w:after="100" w:line="300"/>
      </w:pPr>
      <w:r>
        <w:t xml:space="preserve">No tiered pricing exists for nonprofit, standard, or premium use.</w:t>
      </w:r>
    </w:p>
    <w:p>
      <w:pPr>
        <w:pStyle w:val="ListParagraph"/>
        <w:numPr>
          <w:ilvl w:val="0"/>
          <w:numId w:val="2"/>
        </w:numPr>
        <w:spacing w:after="100" w:line="300"/>
      </w:pPr>
      <w:r>
        <w:t xml:space="preserve">No peak-demand pricing exists for high-value dates (graduation season, election cycles, holiday weekends).</w:t>
      </w:r>
    </w:p>
    <w:p>
      <w:pPr>
        <w:spacing w:after="200"/>
      </w:pPr>
      <w:r>
        <w:t xml:space="preserve"> </w:t>
      </w:r>
    </w:p>
    <w:p>
      <w:pPr>
        <w:pStyle w:val="Heading1"/>
      </w:pPr>
      <w:r>
        <w:t xml:space="preserve">The Opportunity</w:t>
      </w:r>
    </w:p>
    <w:p>
      <w:pPr>
        <w:spacing w:after="160" w:line="300"/>
      </w:pPr>
      <w:r>
        <w:t xml:space="preserve">Centennial Hall is a prime downtown civic venue two blocks from the courthouse, adjacent to the Pikes Peak Center, with 299 seats, professional A/V, and a covered parking structure next door. For most evenings and weekends throughout the year, it sits empty while the County continues to carry its fixed maintenance costs — HVAC, insurance, lifecycle capital, and the salary overhead of the staff who would be on call anyway.</w:t>
      </w:r>
    </w:p>
    <w:p>
      <w:pPr>
        <w:spacing w:after="160" w:line="300"/>
      </w:pPr>
      <w:r>
        <w:t xml:space="preserve">Dark inventory is a cost whether or not anyone is billed for it. Converting even a modest fraction of that dark inventory into accessible civic rental space would: (a) generate new net revenue the County is currently leaving on the table, (b) expand public access to a high-quality downtown venue for local nonprofits, arts groups, and community organizations that cannot afford private venues, and (c) strengthen the case for the Hall's continued investment as a public asset.</w:t>
      </w:r>
    </w:p>
    <w:p>
      <w:pPr>
        <w:pStyle w:val="Heading1"/>
      </w:pPr>
      <w:r>
        <w:t xml:space="preserve">Proposal: A Six-Part Pilot</w:t>
      </w:r>
    </w:p>
    <w:p>
      <w:pPr>
        <w:spacing w:after="160" w:line="300"/>
      </w:pPr>
      <w:r>
        <w:t xml:space="preserve">I recommend the Board direct staff to design and launch a 12-month pilot with the following six components. Each is reversible, each preserves County priority, and each can be measured against published metrics.</w:t>
      </w:r>
    </w:p>
    <w:p>
      <w:pPr>
        <w:pStyle w:val="ListParagraph"/>
        <w:numPr>
          <w:ilvl w:val="0"/>
          <w:numId w:val="3"/>
        </w:numPr>
        <w:spacing w:after="100" w:line="300"/>
      </w:pPr>
      <w:r>
        <w:rPr>
          <w:b/>
          <w:bCs/>
        </w:rPr>
        <w:t xml:space="preserve">Publish a transparent rate card. </w:t>
      </w:r>
      <w:r>
        <w:t xml:space="preserve">Set a room-rental rate for the auditorium, lobby, and conference room, separate from the existing pass-through staff fees. Post the card on the County website. This single change moves Centennial Hall from "call to ask" to "see the price, decide, book."</w:t>
      </w:r>
    </w:p>
    <w:p>
      <w:pPr>
        <w:pStyle w:val="ListParagraph"/>
        <w:numPr>
          <w:ilvl w:val="0"/>
          <w:numId w:val="3"/>
        </w:numPr>
        <w:spacing w:after="100" w:line="300"/>
      </w:pPr>
      <w:r>
        <w:rPr>
          <w:b/>
          <w:bCs/>
        </w:rPr>
        <w:t xml:space="preserve">Introduce three pricing tiers. </w:t>
      </w:r>
      <w:r>
        <w:t xml:space="preserve">Nonprofit / civic (reduced), standard (market-rate), and premium / commercial (full-rate). The PIO or County Administrator retains discretion to waive or reduce fees for mission-aligned use, exactly as they do today.</w:t>
      </w:r>
    </w:p>
    <w:p>
      <w:pPr>
        <w:pStyle w:val="ListParagraph"/>
        <w:numPr>
          <w:ilvl w:val="0"/>
          <w:numId w:val="3"/>
        </w:numPr>
        <w:spacing w:after="100" w:line="300"/>
      </w:pPr>
      <w:r>
        <w:rPr>
          <w:b/>
          <w:bCs/>
        </w:rPr>
        <w:t xml:space="preserve">Add peak-date pricing. </w:t>
      </w:r>
      <w:r>
        <w:t xml:space="preserve">Identify roughly 15-20 high-demand dates per year (graduation weekends, election cycles, certain holidays, Pikes Peak Center spillover dates) and apply a premium multiplier. Flat rates leave this money on the table every year.</w:t>
      </w:r>
    </w:p>
    <w:p>
      <w:pPr>
        <w:pStyle w:val="ListParagraph"/>
        <w:numPr>
          <w:ilvl w:val="0"/>
          <w:numId w:val="3"/>
        </w:numPr>
        <w:spacing w:after="100" w:line="300"/>
      </w:pPr>
      <w:r>
        <w:rPr>
          <w:b/>
          <w:bCs/>
        </w:rPr>
        <w:t xml:space="preserve">Launch a self-service booking calendar. </w:t>
      </w:r>
      <w:r>
        <w:t xml:space="preserve">A simple online calendar showing available dates, with a short intake form replacing the current PDF-and-fax workflow. County priority holds stay blocked out automatically. This is a standard municipal software pattern and does not require new staff.</w:t>
      </w:r>
    </w:p>
    <w:p>
      <w:pPr>
        <w:pStyle w:val="ListParagraph"/>
        <w:numPr>
          <w:ilvl w:val="0"/>
          <w:numId w:val="3"/>
        </w:numPr>
        <w:spacing w:after="100" w:line="300"/>
      </w:pPr>
      <w:r>
        <w:rPr>
          <w:b/>
          <w:bCs/>
        </w:rPr>
        <w:t xml:space="preserve">Pilot an anchor-tenant program. </w:t>
      </w:r>
      <w:r>
        <w:t xml:space="preserve">Invite two or three recurring community users (for example: a recurring speaker series, a faith community, a civic education program) to sign 12-month recurring-use agreements at the nonprofit tier. Recurring bookings fill dead inventory predictably and lower per-event sales overhead.</w:t>
      </w:r>
    </w:p>
    <w:p>
      <w:pPr>
        <w:pStyle w:val="ListParagraph"/>
        <w:numPr>
          <w:ilvl w:val="0"/>
          <w:numId w:val="3"/>
        </w:numPr>
        <w:spacing w:after="100" w:line="300"/>
      </w:pPr>
      <w:r>
        <w:rPr>
          <w:b/>
          <w:bCs/>
        </w:rPr>
        <w:t xml:space="preserve">Unbundle and monetize existing add-ons. </w:t>
      </w:r>
      <w:r>
        <w:t xml:space="preserve">A/V tech time, parking-garage group rates, and setup/teardown services are already being delivered; they should be itemized as optional paid add-ons on the rate card rather than bundled into opaque overtime hours.</w:t>
      </w:r>
    </w:p>
    <w:p>
      <w:pPr>
        <w:spacing w:after="200"/>
      </w:pPr>
      <w:r>
        <w:t xml:space="preserve"> </w:t>
      </w:r>
    </w:p>
    <w:p>
      <w:pPr>
        <w:pStyle w:val="Heading1"/>
      </w:pPr>
      <w:r>
        <w:t xml:space="preserve">Safeguards and Things This Proposal Does Not Change</w:t>
      </w:r>
    </w:p>
    <w:p>
      <w:pPr>
        <w:spacing w:after="160" w:line="300"/>
      </w:pPr>
      <w:r>
        <w:t xml:space="preserve">This proposal is designed to be conservative. Specifically, it does not:</w:t>
      </w:r>
    </w:p>
    <w:p>
      <w:pPr>
        <w:pStyle w:val="ListParagraph"/>
        <w:numPr>
          <w:ilvl w:val="0"/>
          <w:numId w:val="2"/>
        </w:numPr>
        <w:spacing w:after="100" w:line="300"/>
      </w:pPr>
      <w:r>
        <w:t xml:space="preserve">Change the Hall's role as a County meeting space. County business remains the priority booking window.</w:t>
      </w:r>
    </w:p>
    <w:p>
      <w:pPr>
        <w:pStyle w:val="ListParagraph"/>
        <w:numPr>
          <w:ilvl w:val="0"/>
          <w:numId w:val="2"/>
        </w:numPr>
        <w:spacing w:after="100" w:line="300"/>
      </w:pPr>
      <w:r>
        <w:t xml:space="preserve">Change the Hall's role as a voting services polling center. Election-period holds remain inviolable, including the 100-foot perimeter required near the ballot box.</w:t>
      </w:r>
    </w:p>
    <w:p>
      <w:pPr>
        <w:pStyle w:val="ListParagraph"/>
        <w:numPr>
          <w:ilvl w:val="0"/>
          <w:numId w:val="2"/>
        </w:numPr>
        <w:spacing w:after="100" w:line="300"/>
      </w:pPr>
      <w:r>
        <w:t xml:space="preserve">Remove the County Administrator's or PIO's final approval authority over outside requests.</w:t>
      </w:r>
    </w:p>
    <w:p>
      <w:pPr>
        <w:pStyle w:val="ListParagraph"/>
        <w:numPr>
          <w:ilvl w:val="0"/>
          <w:numId w:val="2"/>
        </w:numPr>
        <w:spacing w:after="100" w:line="300"/>
      </w:pPr>
      <w:r>
        <w:t xml:space="preserve">Change current alcohol-service rules (Colorado Springs liquor license, $350K / $1M insurance, CenterPlate exclusivity on the shared patio).</w:t>
      </w:r>
    </w:p>
    <w:p>
      <w:pPr>
        <w:pStyle w:val="ListParagraph"/>
        <w:numPr>
          <w:ilvl w:val="0"/>
          <w:numId w:val="2"/>
        </w:numPr>
        <w:spacing w:after="100" w:line="300"/>
      </w:pPr>
      <w:r>
        <w:t xml:space="preserve">Waive the existing 30-clause Terms and Conditions, indemnity language, or liability framework.</w:t>
      </w:r>
    </w:p>
    <w:p>
      <w:pPr>
        <w:pStyle w:val="ListParagraph"/>
        <w:numPr>
          <w:ilvl w:val="0"/>
          <w:numId w:val="2"/>
        </w:numPr>
        <w:spacing w:after="100" w:line="300"/>
      </w:pPr>
      <w:r>
        <w:t xml:space="preserve">Affect internal-department free use of the building.</w:t>
      </w:r>
    </w:p>
    <w:p>
      <w:pPr>
        <w:spacing w:after="200"/>
      </w:pPr>
      <w:r>
        <w:t xml:space="preserve"> </w:t>
      </w:r>
    </w:p>
    <w:p>
      <w:pPr>
        <w:pStyle w:val="Heading1"/>
      </w:pPr>
      <w:r>
        <w:t xml:space="preserve">What Success Would Look Like</w:t>
      </w:r>
    </w:p>
    <w:p>
      <w:pPr>
        <w:spacing w:after="160" w:line="300"/>
      </w:pPr>
      <w:r>
        <w:t xml:space="preserve">A conservative benchmark: if the Hall booked even one paid weekend event per month at a $1,500 room rate (well below market for a comparable downtown venue), plus existing pass-through staff recovery, that single change alone would generate more revenue in one year than the past five years combined.</w:t>
      </w:r>
    </w:p>
    <w:p>
      <w:pPr>
        <w:spacing w:after="160" w:line="300"/>
      </w:pPr>
      <w:r>
        <w:t xml:space="preserve">More aggressive, but still realistic: a fully published rate card, an online calendar, and two anchor tenants could plausibly produce $75,000 to $150,000 in new annual gross revenue within 18 months, against minimal incremental operating cost. I would be glad to develop a full revenue model against the operating-cost figures the County is willing to share.</w:t>
      </w:r>
    </w:p>
    <w:p>
      <w:pPr>
        <w:pStyle w:val="Heading1"/>
      </w:pPr>
      <w:r>
        <w:t xml:space="preserve">Requested Next Steps</w:t>
      </w:r>
    </w:p>
    <w:p>
      <w:pPr>
        <w:pStyle w:val="ListParagraph"/>
        <w:numPr>
          <w:ilvl w:val="0"/>
          <w:numId w:val="3"/>
        </w:numPr>
        <w:spacing w:after="100" w:line="300"/>
      </w:pPr>
      <w:r>
        <w:t xml:space="preserve">A 30-minute meeting with the County Administrator, the Director of Government Affairs, and a designee of the Board to discuss this proposal.</w:t>
      </w:r>
    </w:p>
    <w:p>
      <w:pPr>
        <w:pStyle w:val="ListParagraph"/>
        <w:numPr>
          <w:ilvl w:val="0"/>
          <w:numId w:val="3"/>
        </w:numPr>
        <w:spacing w:after="100" w:line="300"/>
      </w:pPr>
      <w:r>
        <w:t xml:space="preserve">Access to (or a summary of) Centennial Hall's annual operating-cost figures, so that a net-revenue model can be built against real numbers rather than assumptions.</w:t>
      </w:r>
    </w:p>
    <w:p>
      <w:pPr>
        <w:pStyle w:val="ListParagraph"/>
        <w:numPr>
          <w:ilvl w:val="0"/>
          <w:numId w:val="3"/>
        </w:numPr>
        <w:spacing w:after="100" w:line="300"/>
      </w:pPr>
      <w:r>
        <w:t xml:space="preserve">If the Board is open to it, Board direction to staff to scope a 90-day design phase for the pilot described above, with a public report-back at the end of that period.</w:t>
      </w:r>
    </w:p>
    <w:p>
      <w:pPr>
        <w:spacing w:after="200"/>
      </w:pPr>
      <w:r>
        <w:t xml:space="preserve"> </w:t>
      </w:r>
    </w:p>
    <w:p>
      <w:pPr>
        <w:pStyle w:val="Heading1"/>
      </w:pPr>
      <w:r>
        <w:t xml:space="preserve">Closing Note</w:t>
      </w:r>
    </w:p>
    <w:p>
      <w:pPr>
        <w:spacing w:after="160" w:line="300"/>
      </w:pPr>
      <w:r>
        <w:t xml:space="preserve">This proposal is offered constructively. Centennial Hall is a public asset, and the goal is to make it work harder for the public that already pays to maintain it — not to commercialize it or crowd out its civic function. I am happy to revise, narrow, or expand any part of this proposal based on what the Board and County staff consider feasible, and to provide the full underlying analysis on request.</w:t>
      </w:r>
    </w:p>
    <w:p>
      <w:pPr>
        <w:spacing w:after="160" w:line="300"/>
      </w:pPr>
      <w:r>
        <w:t xml:space="preserve">Thank you for your time and consideration.</w:t>
      </w:r>
    </w:p>
    <w:p>
      <w:pPr>
        <w:spacing w:after="200"/>
      </w:pPr>
      <w:r>
        <w:t xml:space="preserve"> </w:t>
      </w:r>
    </w:p>
    <w:p>
      <w:pPr>
        <w:spacing w:after="160" w:line="300"/>
      </w:pPr>
      <w:r>
        <w:t xml:space="preserve">Respectfully,</w:t>
      </w:r>
    </w:p>
    <w:p>
      <w:pPr>
        <w:spacing w:after="120"/>
      </w:pPr>
      <w:r>
        <w:t xml:space="preserve"> </w:t>
      </w:r>
    </w:p>
    <w:p>
      <w:pPr>
        <w:spacing w:after="40"/>
      </w:pPr>
      <w:r>
        <w:rPr>
          <w:b/>
          <w:bCs/>
        </w:rPr>
        <w:t xml:space="preserve">Emma Moore</w:t>
      </w:r>
    </w:p>
    <w:p>
      <w:pPr>
        <w:spacing w:after="160" w:line="300"/>
      </w:pPr>
      <w:r>
        <w:t xml:space="preserve">Pivot True North</w:t>
      </w:r>
    </w:p>
    <w:p>
      <w:pPr>
        <w:spacing w:after="160" w:line="300"/>
      </w:pPr>
      <w:r>
        <w:t xml:space="preserve">emma@pivottruenorth.com  |  310.913.8931</w:t>
      </w:r>
    </w:p>
    <w:p>
      <w:pPr>
        <w:spacing w:after="160" w:line="300"/>
      </w:pPr>
      <w:r>
        <w:t xml:space="preserve">1826 Wooten Road, Colorado Springs, CO 80915</w:t>
      </w:r>
    </w:p>
    <w:p>
      <w:pPr>
        <w:pBdr>
          <w:top w:val="single" w:color="BFBFBF" w:sz="4" w:space="6"/>
        </w:pBdr>
        <w:spacing w:after="80" w:before="400"/>
      </w:pPr>
      <w:r>
        <w:rPr>
          <w:b/>
          <w:bCs/>
          <w:color w:val="595959"/>
          <w:sz w:val="20"/>
          <w:szCs w:val="20"/>
        </w:rPr>
        <w:t xml:space="preserve">Supporting records</w:t>
      </w:r>
    </w:p>
    <w:p>
      <w:pPr>
        <w:spacing w:after="160" w:line="300"/>
      </w:pPr>
      <w:r>
        <w:rPr>
          <w:i/>
          <w:iCs/>
          <w:color w:val="595959"/>
          <w:sz w:val="18"/>
          <w:szCs w:val="18"/>
        </w:rPr>
        <w:t xml:space="preserve">All figures and policy references in this proposal are drawn from records released by the El Paso County Department of Communications on April 21, 2026, in response to CORA request dated April 14, 2026. Underlying documents include: five-year facility-use revenue export; 2020, 2022, and 2025 Facility Use Application forms; 2020 and 2026 User Fee Agreements; Centennial Hall Auditorium Reservation Guidelines; and Centennial Hall Parking Information. Full records available on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Centennial Hall: A Proposal to Expand Public Access and Revenue</dc:title>
  <dc:creator>Emma Moore</dc:creator>
  <cp:lastModifiedBy>Un-named</cp:lastModifiedBy>
  <cp:revision>1</cp:revision>
  <dcterms:created xsi:type="dcterms:W3CDTF">2026-04-21T19:31:44.020Z</dcterms:created>
  <dcterms:modified xsi:type="dcterms:W3CDTF">2026-04-21T19:31:44.021Z</dcterms:modified>
</cp:coreProperties>
</file>

<file path=docProps/custom.xml><?xml version="1.0" encoding="utf-8"?>
<Properties xmlns="http://schemas.openxmlformats.org/officeDocument/2006/custom-properties" xmlns:vt="http://schemas.openxmlformats.org/officeDocument/2006/docPropsVTypes"/>
</file>