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b w:val="false"/>
          <w:bCs w:val="false"/>
          <w:i/>
          <w:iCs/>
          <w:color w:val="555555"/>
          <w:sz w:val="20"/>
          <w:szCs w:val="20"/>
        </w:rPr>
        <w:t xml:space="preserve">StorySeed Studios  ·  The Dais</w:t>
      </w:r>
    </w:p>
    <w:p>
      <w:pPr>
        <w:spacing w:after="80" w:before="0"/>
        <w:jc w:val="left"/>
      </w:pPr>
      <w:r>
        <w:rPr>
          <w:rFonts w:ascii="Arial" w:cs="Arial" w:eastAsia="Arial" w:hAnsi="Arial"/>
          <w:b/>
          <w:bCs/>
          <w:i w:val="false"/>
          <w:iCs w:val="false"/>
          <w:color w:val="0D1B2E"/>
          <w:sz w:val="32"/>
          <w:szCs w:val="32"/>
        </w:rPr>
        <w:t xml:space="preserve">ACCESSIBILITY &amp; LEGAL EXPOSURE AUDIT</w:t>
      </w:r>
    </w:p>
    <w:p>
      <w:pPr>
        <w:spacing w:after="80" w:before="0"/>
        <w:jc w:val="left"/>
      </w:pPr>
      <w:r>
        <w:rPr>
          <w:rFonts w:ascii="Arial" w:cs="Arial" w:eastAsia="Arial" w:hAnsi="Arial"/>
          <w:b w:val="false"/>
          <w:bCs w:val="false"/>
          <w:i w:val="false"/>
          <w:iCs w:val="false"/>
          <w:color w:val="1A3050"/>
          <w:sz w:val="22"/>
          <w:szCs w:val="22"/>
        </w:rPr>
        <w:t xml:space="preserve">elpasocountyldc.konveio.com/code-assessment</w:t>
      </w:r>
    </w:p>
    <w:p>
      <w:pPr>
        <w:spacing w:after="200" w:before="0"/>
        <w:jc w:val="left"/>
      </w:pPr>
      <w:r>
        <w:rPr>
          <w:rFonts w:ascii="Arial" w:cs="Arial" w:eastAsia="Arial" w:hAnsi="Arial"/>
          <w:b w:val="false"/>
          <w:bCs w:val="false"/>
          <w:i/>
          <w:iCs/>
          <w:color w:val="555555"/>
          <w:sz w:val="22"/>
          <w:szCs w:val="22"/>
        </w:rPr>
        <w:t xml:space="preserve">El Paso County Land Development Code — Code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bCs/>
                <w:i w:val="false"/>
                <w:iCs w:val="false"/>
                <w:color w:val="0D1B2E"/>
                <w:sz w:val="19"/>
                <w:szCs w:val="19"/>
              </w:rPr>
              <w:t xml:space="preserve">Audited By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StorySeed Studios / The Dais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bCs/>
                <w:i w:val="false"/>
                <w:iCs w:val="false"/>
                <w:color w:val="0D1B2E"/>
                <w:sz w:val="19"/>
                <w:szCs w:val="19"/>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April 2026</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bCs/>
                <w:i w:val="false"/>
                <w:iCs w:val="false"/>
                <w:color w:val="0D1B2E"/>
                <w:sz w:val="19"/>
                <w:szCs w:val="19"/>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Konveio Document Engagement (private SaaS, Denver CO)</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bCs/>
                <w:i w:val="false"/>
                <w:iCs w:val="false"/>
                <w:color w:val="0D1B2E"/>
                <w:sz w:val="19"/>
                <w:szCs w:val="19"/>
              </w:rPr>
              <w:t xml:space="preserve">Standard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WCAG 2.1 AA  ·  ADA Title II  ·  Colorado HB 21-1110  ·  Colorado SB 23-244</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80"/>
            </w:tcMar>
          </w:tcPr>
          <w:p>
            <w:pPr>
              <w:spacing w:after="0" w:before="0"/>
            </w:pPr>
            <w:r>
              <w:rPr>
                <w:rFonts w:ascii="Arial" w:cs="Arial" w:eastAsia="Arial" w:hAnsi="Arial"/>
                <w:b/>
                <w:bCs/>
                <w:i w:val="false"/>
                <w:iCs w:val="false"/>
                <w:color w:val="0D1B2E"/>
                <w:sz w:val="19"/>
                <w:szCs w:val="19"/>
              </w:rPr>
              <w:t xml:space="preserve">Overall Finding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80"/>
            </w:tcMar>
          </w:tcPr>
          <w:p>
            <w:pPr>
              <w:spacing w:after="0" w:before="0"/>
            </w:pPr>
            <w:r>
              <w:rPr>
                <w:rFonts w:ascii="Arial" w:cs="Arial" w:eastAsia="Arial" w:hAnsi="Arial"/>
                <w:b/>
                <w:bCs/>
                <w:i w:val="false"/>
                <w:iCs w:val="false"/>
                <w:color w:val="C0392B"/>
                <w:sz w:val="19"/>
                <w:szCs w:val="19"/>
              </w:rPr>
              <w:t xml:space="preserve">NOT COMPLIANT — 20 documented failures across 4 layers. Platform hosted by private company; government entity retains full legal liability.</w:t>
            </w:r>
          </w:p>
        </w:tc>
      </w:tr>
    </w:tbl>
    <w:p>
      <w:pPr>
        <w:pBdr>
          <w:left w:val="single" w:color="C0392B" w:sz="8" w:space="8"/>
        </w:pBdr>
        <w:spacing w:after="80" w:before="200"/>
        <w:jc w:val="left"/>
      </w:pPr>
      <w:r>
        <w:rPr>
          <w:rFonts w:ascii="Arial" w:cs="Arial" w:eastAsia="Arial" w:hAnsi="Arial"/>
          <w:b w:val="false"/>
          <w:bCs w:val="false"/>
          <w:i/>
          <w:iCs/>
          <w:color w:val="C0392B"/>
          <w:sz w:val="19"/>
          <w:szCs w:val="19"/>
        </w:rPr>
        <w:t xml:space="preserve">⚠️  IMPORTANT NOTICE: This document is informational and prepared by StorySeed Studios as part of its civic accessibility journalism work. Nothing in this document constitutes legal advice. Before taking any legal action or making legal determinations based on this report, consult a qualified attorney.</w:t>
      </w:r>
    </w:p>
    <w:p>
      <w:pPr>
        <w:pBdr>
          <w:bottom w:val="single" w:color="CCCCCC" w:sz="2" w:space="2"/>
        </w:pBdr>
        <w:spacing w:after="120" w:before="120"/>
      </w:pPr>
    </w:p>
    <w:p>
      <w:pPr>
        <w:pBdr>
          <w:bottom w:val="single" w:color="C8A84B" w:sz="6" w:space="4"/>
        </w:pBdr>
        <w:spacing w:after="120" w:before="320"/>
      </w:pPr>
      <w:r>
        <w:rPr>
          <w:rFonts w:ascii="Arial" w:cs="Arial" w:eastAsia="Arial" w:hAnsi="Arial"/>
          <w:b/>
          <w:bCs/>
          <w:i w:val="false"/>
          <w:iCs w:val="false"/>
          <w:color w:val="0D1B2E"/>
          <w:sz w:val="28"/>
          <w:szCs w:val="28"/>
        </w:rPr>
        <w:t xml:space="preserve">I.  Executive Summary</w:t>
      </w:r>
    </w:p>
    <w:p>
      <w:pPr>
        <w:spacing w:after="120" w:before="0"/>
        <w:jc w:val="left"/>
      </w:pPr>
      <w:r>
        <w:rPr>
          <w:rFonts w:ascii="Arial" w:cs="Arial" w:eastAsia="Arial" w:hAnsi="Arial"/>
          <w:b w:val="false"/>
          <w:bCs w:val="false"/>
          <w:i w:val="false"/>
          <w:iCs w:val="false"/>
          <w:color w:val="222222"/>
          <w:sz w:val="22"/>
          <w:szCs w:val="22"/>
        </w:rPr>
        <w:t xml:space="preserve">The El Paso County Land Development Code update is one of the most significant planning processes the county has undertaken in years. It is being conducted, in part, through a Konveio document engagement platform at </w:t>
      </w:r>
      <w:r>
        <w:rPr>
          <w:rFonts w:ascii="Arial" w:cs="Arial" w:eastAsia="Arial" w:hAnsi="Arial"/>
          <w:b w:val="false"/>
          <w:bCs w:val="false"/>
          <w:i w:val="false"/>
          <w:iCs w:val="false"/>
          <w:color w:val="0066CC"/>
          <w:sz w:val="22"/>
          <w:szCs w:val="22"/>
          <w:u w:val="single"/>
        </w:rPr>
        <w:t xml:space="preserve">elpasocountyldc.konveio.com/code-assessment</w:t>
      </w:r>
      <w:r>
        <w:rPr>
          <w:rFonts w:ascii="Arial" w:cs="Arial" w:eastAsia="Arial" w:hAnsi="Arial"/>
          <w:b w:val="false"/>
          <w:bCs w:val="false"/>
          <w:i w:val="false"/>
          <w:iCs w:val="false"/>
          <w:color w:val="222222"/>
          <w:sz w:val="22"/>
          <w:szCs w:val="22"/>
        </w:rPr>
        <w:t xml:space="preserve">. This platform is operated by Konveio — a private company headquartered in Denver, Colorado — under contract to El Paso County.</w:t>
      </w:r>
    </w:p>
    <w:p>
      <w:pPr>
        <w:spacing w:after="120" w:before="0"/>
        <w:jc w:val="left"/>
      </w:pPr>
      <w:r>
        <w:rPr>
          <w:rFonts w:ascii="Arial" w:cs="Arial" w:eastAsia="Arial" w:hAnsi="Arial"/>
          <w:b w:val="false"/>
          <w:bCs w:val="false"/>
          <w:i w:val="false"/>
          <w:iCs w:val="false"/>
          <w:color w:val="222222"/>
          <w:sz w:val="22"/>
          <w:szCs w:val="22"/>
        </w:rPr>
        <w:t xml:space="preserve">This audit documents 20 specific accessibility failures across four distinct technical layers of that platform. Several failures are at WCAG Level A — the minimum compliance floor, not an edge case. The document used for public comment (the Code Assessment PDF) cannot be confirmed as properly tagged for screen reader access, which means the primary content of the civic engagement process may be inaccessible to blind and low-vision residents.</w:t>
      </w:r>
    </w:p>
    <w:p>
      <w:pPr>
        <w:spacing w:after="160" w:before="0"/>
        <w:jc w:val="left"/>
      </w:pPr>
      <w:r>
        <w:rPr>
          <w:rFonts w:ascii="Arial" w:cs="Arial" w:eastAsia="Arial" w:hAnsi="Arial"/>
          <w:b w:val="false"/>
          <w:bCs w:val="false"/>
          <w:i w:val="false"/>
          <w:iCs w:val="false"/>
          <w:color w:val="222222"/>
          <w:sz w:val="22"/>
          <w:szCs w:val="22"/>
        </w:rPr>
        <w:t xml:space="preserve">The legal exposure this creates is real and layered. El Paso County is covered by </w:t>
      </w:r>
      <w:r>
        <w:rPr>
          <w:rFonts w:ascii="Arial" w:cs="Arial" w:eastAsia="Arial" w:hAnsi="Arial"/>
          <w:b/>
          <w:bCs/>
          <w:i w:val="false"/>
          <w:iCs w:val="false"/>
          <w:color w:val="222222"/>
          <w:sz w:val="22"/>
          <w:szCs w:val="22"/>
        </w:rPr>
        <w:t xml:space="preserve">three overlapping legal obligations</w:t>
      </w:r>
      <w:r>
        <w:rPr>
          <w:rFonts w:ascii="Arial" w:cs="Arial" w:eastAsia="Arial" w:hAnsi="Arial"/>
          <w:b w:val="false"/>
          <w:bCs w:val="false"/>
          <w:i w:val="false"/>
          <w:iCs w:val="false"/>
          <w:color w:val="222222"/>
          <w:sz w:val="22"/>
          <w:szCs w:val="22"/>
        </w:rPr>
        <w:t xml:space="preserve">: ADA Title II (federal), Colorado HB 21-1110 (state civil rights law), and Colorado SB 23-244 (2023 accessibility extension). The fact that the platform is hosted by a private company does not transfer liability to Konveio — El Paso County, as the contracting government entity, retains full ADA compliance responsibility for public programs it administers, regardless of the vendor used.</w:t>
      </w:r>
    </w:p>
    <w:p>
      <w:pPr>
        <w:pBdr>
          <w:bottom w:val="single" w:color="C8A84B" w:sz="6" w:space="4"/>
        </w:pBdr>
        <w:spacing w:after="120" w:before="320"/>
      </w:pPr>
      <w:r>
        <w:rPr>
          <w:rFonts w:ascii="Arial" w:cs="Arial" w:eastAsia="Arial" w:hAnsi="Arial"/>
          <w:b/>
          <w:bCs/>
          <w:i w:val="false"/>
          <w:iCs w:val="false"/>
          <w:color w:val="0D1B2E"/>
          <w:sz w:val="28"/>
          <w:szCs w:val="28"/>
        </w:rPr>
        <w:t xml:space="preserve">II.  Platform Ownership and the Third-Party Liability Question</w:t>
      </w:r>
    </w:p>
    <w:p>
      <w:pPr>
        <w:spacing w:after="80" w:before="240"/>
      </w:pPr>
      <w:r>
        <w:rPr>
          <w:rFonts w:ascii="Arial" w:cs="Arial" w:eastAsia="Arial" w:hAnsi="Arial"/>
          <w:b/>
          <w:bCs/>
          <w:i w:val="false"/>
          <w:iCs w:val="false"/>
          <w:color w:val="0D1B2E"/>
          <w:sz w:val="24"/>
          <w:szCs w:val="24"/>
        </w:rPr>
        <w:t xml:space="preserve">A. What Konveio Is</w:t>
      </w:r>
    </w:p>
    <w:p>
      <w:pPr>
        <w:spacing w:after="120" w:before="0"/>
        <w:jc w:val="left"/>
      </w:pPr>
      <w:r>
        <w:rPr>
          <w:rFonts w:ascii="Arial" w:cs="Arial" w:eastAsia="Arial" w:hAnsi="Arial"/>
          <w:b w:val="false"/>
          <w:bCs w:val="false"/>
          <w:i w:val="false"/>
          <w:iCs w:val="false"/>
          <w:color w:val="222222"/>
          <w:sz w:val="22"/>
          <w:szCs w:val="22"/>
        </w:rPr>
        <w:t xml:space="preserve">Konveio is a private, bootstrapped GovTech company founded in 2020 by Chris Haller, headquartered at 1660 S Albion Street, Suite 325, Denver, Colorado 80222. It operates a SaaS (Software as a Service) platform providing document engagement tools to local governments, planning agencies, universities, and special districts. Konveio has received approximately $150,000 in funding (from CivStart) and has been named to Government Technology Magazine’s GovTech 100 list.</w:t>
      </w:r>
    </w:p>
    <w:p>
      <w:pPr>
        <w:spacing w:after="160" w:before="0"/>
        <w:jc w:val="left"/>
      </w:pPr>
      <w:r>
        <w:rPr>
          <w:rFonts w:ascii="Arial" w:cs="Arial" w:eastAsia="Arial" w:hAnsi="Arial"/>
          <w:b w:val="false"/>
          <w:bCs w:val="false"/>
          <w:i w:val="false"/>
          <w:iCs w:val="false"/>
          <w:color w:val="222222"/>
          <w:sz w:val="22"/>
          <w:szCs w:val="22"/>
        </w:rPr>
        <w:t xml:space="preserve">When El Paso County uses Konveio, the County’s content resides on Konveio’s infrastructure at the subdomain elpasocountyldc.konveio.com. The County does not own this domain. The platform template, viewer code, and server infrastructure are Konveio’s, not the County’s.</w:t>
      </w:r>
    </w:p>
    <w:p>
      <w:pPr>
        <w:spacing w:after="80" w:before="240"/>
      </w:pPr>
      <w:r>
        <w:rPr>
          <w:rFonts w:ascii="Arial" w:cs="Arial" w:eastAsia="Arial" w:hAnsi="Arial"/>
          <w:b/>
          <w:bCs/>
          <w:i w:val="false"/>
          <w:iCs w:val="false"/>
          <w:color w:val="0D1B2E"/>
          <w:sz w:val="24"/>
          <w:szCs w:val="24"/>
        </w:rPr>
        <w:t xml:space="preserve">B. Does Hosting on a Private Platform Relieve the County of Liability?</w:t>
      </w:r>
    </w:p>
    <w:p>
      <w:pPr>
        <w:spacing w:after="80" w:before="0"/>
        <w:jc w:val="left"/>
      </w:pPr>
      <w:r>
        <w:rPr>
          <w:rFonts w:ascii="Arial" w:cs="Arial" w:eastAsia="Arial" w:hAnsi="Arial"/>
          <w:b w:val="false"/>
          <w:bCs w:val="false"/>
          <w:i w:val="false"/>
          <w:iCs w:val="false"/>
          <w:color w:val="222222"/>
          <w:sz w:val="22"/>
          <w:szCs w:val="22"/>
        </w:rPr>
        <w:t xml:space="preserve">No. The DOJ’s April 2024 Title II rule is explicit on this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A84B" w:sz="8" w:space="8"/>
              <w:bottom w:val="none" w:color="FFFFFF" w:sz="0"/>
              <w:right w:val="none" w:color="FFFFFF" w:sz="0"/>
            </w:tcBorders>
            <w:tcMar>
              <w:top w:type="dxa" w:w="80"/>
              <w:left w:type="dxa" w:w="200"/>
              <w:bottom w:type="dxa" w:w="80"/>
              <w:right w:type="dxa" w:w="120"/>
            </w:tcMar>
          </w:tcPr>
          <w:p>
            <w:pPr>
              <w:spacing w:after="120" w:before="0"/>
              <w:jc w:val="left"/>
            </w:pPr>
            <w:r>
              <w:rPr>
                <w:rFonts w:ascii="Arial" w:cs="Arial" w:eastAsia="Arial" w:hAnsi="Arial"/>
                <w:b w:val="false"/>
                <w:bCs w:val="false"/>
                <w:i/>
                <w:iCs/>
                <w:color w:val="1A3050"/>
                <w:sz w:val="21"/>
                <w:szCs w:val="21"/>
              </w:rPr>
              <w:t xml:space="preserve">“The rule applies to state, local, and other special or district governments, encompassing all government agencies, services, and organizations, as well as organizations they’ve contracted to run programs.”</w:t>
            </w:r>
          </w:p>
        </w:tc>
      </w:tr>
    </w:tbl>
    <w:p>
      <w:pPr>
        <w:spacing w:after="120" w:before="120"/>
        <w:jc w:val="left"/>
      </w:pPr>
      <w:r>
        <w:rPr>
          <w:rFonts w:ascii="Arial" w:cs="Arial" w:eastAsia="Arial" w:hAnsi="Arial"/>
          <w:b w:val="false"/>
          <w:bCs w:val="false"/>
          <w:i w:val="false"/>
          <w:iCs w:val="false"/>
          <w:color w:val="222222"/>
          <w:sz w:val="22"/>
          <w:szCs w:val="22"/>
        </w:rPr>
        <w:t xml:space="preserve">This means that if El Paso County contracts with Konveio to administer a public comment process, the County assumes full ADA compliance responsibility for that process. If Konveio’s platform is inaccessible, the County — not Konveio — is the party legally liable to citizens with disabilities.</w:t>
      </w:r>
    </w:p>
    <w:p>
      <w:pPr>
        <w:spacing w:after="160" w:before="0"/>
        <w:jc w:val="left"/>
      </w:pPr>
      <w:r>
        <w:rPr>
          <w:rFonts w:ascii="Arial" w:cs="Arial" w:eastAsia="Arial" w:hAnsi="Arial"/>
          <w:b w:val="false"/>
          <w:bCs w:val="false"/>
          <w:i w:val="false"/>
          <w:iCs w:val="false"/>
          <w:color w:val="222222"/>
          <w:sz w:val="22"/>
          <w:szCs w:val="22"/>
        </w:rPr>
        <w:t xml:space="preserve">There is a secondary question of whether the County’s contract with Konveio includes accessibility warranties or indemnification provisions. Konveio markets its platform as “WCAG compliant” and “screen-reader accessible.” If those representations are materially false and the County relied on them, the County may have breach-of-contract or warranty claims against Konveio. But that is a contractual matter between the County and its vendor — it does not change the County’s ADA obligations to residents.</w:t>
      </w:r>
    </w:p>
    <w:p>
      <w:pPr>
        <w:spacing w:after="80" w:before="240"/>
      </w:pPr>
      <w:r>
        <w:rPr>
          <w:rFonts w:ascii="Arial" w:cs="Arial" w:eastAsia="Arial" w:hAnsi="Arial"/>
          <w:b/>
          <w:bCs/>
          <w:i w:val="false"/>
          <w:iCs w:val="false"/>
          <w:color w:val="0D1B2E"/>
          <w:sz w:val="24"/>
          <w:szCs w:val="24"/>
        </w:rPr>
        <w:t xml:space="preserve">C. Should the Content Be on a Government-Owned Domain?</w:t>
      </w:r>
    </w:p>
    <w:p>
      <w:pPr>
        <w:spacing w:after="80" w:before="0"/>
        <w:jc w:val="left"/>
      </w:pPr>
      <w:r>
        <w:rPr>
          <w:rFonts w:ascii="Arial" w:cs="Arial" w:eastAsia="Arial" w:hAnsi="Arial"/>
          <w:b w:val="false"/>
          <w:bCs w:val="false"/>
          <w:i w:val="false"/>
          <w:iCs w:val="false"/>
          <w:color w:val="222222"/>
          <w:sz w:val="22"/>
          <w:szCs w:val="22"/>
        </w:rPr>
        <w:t xml:space="preserve">There is no strict legal requirement that government content reside on a government-controlled domain. Courts and DOJ enforcement actions evaluate whether the government is providing accessible programs and services — not where, technically, those programs are hosted. However, practical compliance and oversight strongly favor government control:</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 government-hosted platform allows direct remediation without vendor dependency</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Vendor-hosted content is subject to the vendor’s platform update cycles and priorities</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When accessibility failures occur on a vendor platform, the government must rely on the vendor to fix code it does not control</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Colorado HB 21-1110 requires agencies to publish and maintain annual accessibility plans — this is much harder to do when core public-facing content lives on a vendor subdomain</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Colorado OIT guidance specifically advises agencies to “Contact your platform provider to make sure they are aware of the law” — implying a responsibility to ensure vendor compliance, not outsource it</w:t>
      </w:r>
    </w:p>
    <w:p>
      <w:pPr>
        <w:spacing w:after="160" w:before="120"/>
        <w:jc w:val="left"/>
      </w:pPr>
      <w:r>
        <w:rPr>
          <w:rFonts w:ascii="Arial" w:cs="Arial" w:eastAsia="Arial" w:hAnsi="Arial"/>
          <w:b/>
          <w:bCs/>
          <w:i w:val="false"/>
          <w:iCs w:val="false"/>
          <w:color w:val="222222"/>
          <w:sz w:val="22"/>
          <w:szCs w:val="22"/>
        </w:rPr>
        <w:t xml:space="preserve">The short answer: technically permitted, practically high-risk, and legally the County’s problem regardless.</w:t>
      </w:r>
    </w:p>
    <w:p>
      <w:pPr>
        <w:pBdr>
          <w:bottom w:val="single" w:color="CCCCCC" w:sz="2" w:space="2"/>
        </w:pBdr>
        <w:spacing w:after="120" w:before="120"/>
      </w:pPr>
    </w:p>
    <w:p>
      <w:pPr>
        <w:pBdr>
          <w:bottom w:val="single" w:color="C8A84B" w:sz="6" w:space="4"/>
        </w:pBdr>
        <w:spacing w:after="120" w:before="320"/>
      </w:pPr>
      <w:r>
        <w:rPr>
          <w:rFonts w:ascii="Arial" w:cs="Arial" w:eastAsia="Arial" w:hAnsi="Arial"/>
          <w:b/>
          <w:bCs/>
          <w:i w:val="false"/>
          <w:iCs w:val="false"/>
          <w:color w:val="0D1B2E"/>
          <w:sz w:val="28"/>
          <w:szCs w:val="28"/>
        </w:rPr>
        <w:t xml:space="preserve">III.  Technical Accessibility Audit — 20 Documented Failures</w:t>
      </w:r>
    </w:p>
    <w:p>
      <w:pPr>
        <w:spacing w:after="160" w:before="0"/>
        <w:jc w:val="left"/>
      </w:pPr>
      <w:r>
        <w:rPr>
          <w:rFonts w:ascii="Arial" w:cs="Arial" w:eastAsia="Arial" w:hAnsi="Arial"/>
          <w:b w:val="false"/>
          <w:bCs w:val="false"/>
          <w:i w:val="false"/>
          <w:iCs w:val="false"/>
          <w:color w:val="222222"/>
          <w:sz w:val="22"/>
          <w:szCs w:val="22"/>
        </w:rPr>
        <w:t xml:space="preserve">The following failures were identified through structural analysis of the page source, review of Konveio’s platform documentation, testing of observable HTML and JavaScript patterns, and application of WCAG 2.1 AA criteria. The audit is organized by layer because the accessibility failures in this system have four distinct sources, each with different remediation owners.</w:t>
      </w:r>
    </w:p>
    <w:p>
      <w:pPr>
        <w:spacing w:after="80" w:before="240"/>
      </w:pPr>
      <w:r>
        <w:rPr>
          <w:rFonts w:ascii="Arial" w:cs="Arial" w:eastAsia="Arial" w:hAnsi="Arial"/>
          <w:b/>
          <w:bCs/>
          <w:i w:val="false"/>
          <w:iCs w:val="false"/>
          <w:color w:val="0D1B2E"/>
          <w:sz w:val="24"/>
          <w:szCs w:val="24"/>
        </w:rPr>
        <w:t xml:space="preserve">Layer 1: Platform Shell (El Paso County / Konveio shared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Failure</w:t>
            </w:r>
          </w:p>
        </w:tc>
        <w:tc>
          <w:tcPr>
            <w:tcW w:type="dxa" w:w="16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WCAG / Law</w:t>
            </w:r>
          </w:p>
        </w:tc>
        <w:tc>
          <w:tcPr>
            <w:tcW w:type="dxa" w:w="436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Impact</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Entire page requires JavaScript — no fallback</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4.1.1 (A)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Blank page delivered to assistive technology, older devices, or restricted network environments. No content, no form, no comment system.</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Dozens of interactive controls use &lt;a href=“javascript:void(0);”&gt; instead of &lt;button&gt;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4.1.2 (A)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Screen readers announce meaningless “link” with no destination for Table of Contents, Comment, View All, Post Comment, and others. Should be buttons.</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Navigation toggle lacks aria-expanded and aria-controls</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4.1.2 (A)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Menu state invisible to assistive technology. Standard Konveio template failure.</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Honeypot anti-spam fields not hidden from AT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1.3.1 (A)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"Leave this field blank" instructions read aloud by screen readers. Confusing for users with cognitive disabilities who may attempt to follow the instruction.</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6 color contrast failures across platform UI</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1.4.3 (AA)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Comment timestamps (#888, 3.5:1), metadata (#777, 4.5:1 borderline), EPC orange brand (#e87722, 2.96:1), and PDF.js disabled buttons (#888 on #474747, 2.6:1) all fail minimum 4.5:1.</w:t>
            </w:r>
          </w:p>
        </w:tc>
      </w:tr>
    </w:tbl>
    <w:p>
      <w:pPr>
        <w:spacing w:after="120" w:before="0"/>
        <w:jc w:val="left"/>
      </w:pPr>
    </w:p>
    <w:p>
      <w:pPr>
        <w:spacing w:after="80" w:before="240"/>
      </w:pPr>
      <w:r>
        <w:rPr>
          <w:rFonts w:ascii="Arial" w:cs="Arial" w:eastAsia="Arial" w:hAnsi="Arial"/>
          <w:b/>
          <w:bCs/>
          <w:i w:val="false"/>
          <w:iCs w:val="false"/>
          <w:color w:val="0D1B2E"/>
          <w:sz w:val="24"/>
          <w:szCs w:val="24"/>
        </w:rPr>
        <w:t xml:space="preserve">Layer 2: PDF Viewer Controls (PDF.js / Konveio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Failure</w:t>
            </w:r>
          </w:p>
        </w:tc>
        <w:tc>
          <w:tcPr>
            <w:tcW w:type="dxa" w:w="16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WCAG / Law</w:t>
            </w:r>
          </w:p>
        </w:tc>
        <w:tc>
          <w:tcPr>
            <w:tcW w:type="dxa" w:w="436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Impact</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PDF toolbar has no role="toolbar" grouping or aria-labels on controls</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4.1.2 (A)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Rotate, zoom, scroll mode, annotation tools, and view controls are unlabeled or ambiguously labeled. Screen reader users cannot operate the document viewer.</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"Open" and "Print" each appear twice with identical names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2.4.6 (AA)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Screen reader link list exposes two identical "Open" entries with no distinguishing context. User cannot determine which is which.</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Password dialog lacks dialog role, aria-modal, and focus trapping</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4.1.2 (A)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Modal dialogs without proper roles do not announce to screen readers. Focus likely escapes the dialog, allowing interaction with background content.</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Zoom control has no associated label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1.3.1 (A)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"Automatic Zoom," "Actual Size," "50%"... are an unlabeled dropdown. Current zoom state is not announced on change.</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Loading states not announced via live region</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4.1.3 (AA)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"Document is loading" and "Loading Glossary" use static elements without role="status" or aria-live. Screen reader users receive no notification of load state.</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Page number input lacks aria-label and value context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1.3.1 (A)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The current page input does not announce "Page 5 of 24" contextually. Navigation state is opaque to assistive technology.</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Annotation tools (Color, Thickness, Opacity) use duplicate labels</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2.4.6 (AA)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"Color" appears twice without context (text vs. drawing). Users cannot distinguish annotation drawing tools from text tools.</w:t>
            </w:r>
          </w:p>
        </w:tc>
      </w:tr>
    </w:tbl>
    <w:p>
      <w:pPr>
        <w:spacing w:after="120" w:before="0"/>
        <w:jc w:val="left"/>
      </w:pPr>
    </w:p>
    <w:p>
      <w:pPr>
        <w:spacing w:after="80" w:before="240"/>
      </w:pPr>
      <w:r>
        <w:rPr>
          <w:rFonts w:ascii="Arial" w:cs="Arial" w:eastAsia="Arial" w:hAnsi="Arial"/>
          <w:b/>
          <w:bCs/>
          <w:i w:val="false"/>
          <w:iCs w:val="false"/>
          <w:color w:val="0D1B2E"/>
          <w:sz w:val="24"/>
          <w:szCs w:val="24"/>
        </w:rPr>
        <w:t xml:space="preserve">Layer 3: The PDF Document Itself (El Paso County responsibility)</w:t>
      </w:r>
    </w:p>
    <w:p>
      <w:pPr>
        <w:spacing w:after="80" w:before="0"/>
        <w:jc w:val="left"/>
      </w:pPr>
      <w:r>
        <w:rPr>
          <w:rFonts w:ascii="Arial" w:cs="Arial" w:eastAsia="Arial" w:hAnsi="Arial"/>
          <w:b w:val="false"/>
          <w:bCs w:val="false"/>
          <w:i w:val="false"/>
          <w:iCs w:val="false"/>
          <w:color w:val="222222"/>
          <w:sz w:val="22"/>
          <w:szCs w:val="22"/>
        </w:rPr>
        <w:t xml:space="preserve">This is the most consequential layer and the one where El Paso County bears sole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Failure</w:t>
            </w:r>
          </w:p>
        </w:tc>
        <w:tc>
          <w:tcPr>
            <w:tcW w:type="dxa" w:w="16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WCAG / Law</w:t>
            </w:r>
          </w:p>
        </w:tc>
        <w:tc>
          <w:tcPr>
            <w:tcW w:type="dxa" w:w="436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Impact</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PDF tagging status unconfirmed — high probability of untagged content</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1.3.1 (A) / Section 508</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Planning documents from InDesign or Word frequently export without proper accessibility tags. Untagged PDFs provide zero structure, heading, or reading order to screen readers.</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No HTML alternative version of document content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ADA Title II / 28 C.F.R. § 35.160</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The entire 24+ page public comment document exists only as a PDF in a JS-dependent viewer. No accessible HTML version, no accessible summary, no accessible download is provided on the page.</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Document outline (table of contents) behind javascript:void(0)</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2.1.1 (A)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Navigation through a 24-page planning document requires the TOC. Keyboard-only users who cannot execute JavaScript-dependent void links cannot access it.</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Maps and graphics confirmed as accessibility barriers by platform itself</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1.1.1 (A)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Konveio’s own Aira notice states: "Some elements, such as maps or graphics in documents, may be hard to navigate even when WCAG compliant." This is an admission, not a disclaimer.</w:t>
            </w:r>
          </w:p>
        </w:tc>
      </w:tr>
    </w:tbl>
    <w:p>
      <w:pPr>
        <w:spacing w:after="120" w:before="0"/>
        <w:jc w:val="left"/>
      </w:pPr>
    </w:p>
    <w:p>
      <w:pPr>
        <w:spacing w:after="80" w:before="240"/>
      </w:pPr>
      <w:r>
        <w:rPr>
          <w:rFonts w:ascii="Arial" w:cs="Arial" w:eastAsia="Arial" w:hAnsi="Arial"/>
          <w:b/>
          <w:bCs/>
          <w:i w:val="false"/>
          <w:iCs w:val="false"/>
          <w:color w:val="0D1B2E"/>
          <w:sz w:val="24"/>
          <w:szCs w:val="24"/>
        </w:rPr>
        <w:t xml:space="preserve">Layer 4: Comment System (Konveio / El Paso County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Failure</w:t>
            </w:r>
          </w:p>
        </w:tc>
        <w:tc>
          <w:tcPr>
            <w:tcW w:type="dxa" w:w="16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WCAG / Law</w:t>
            </w:r>
          </w:p>
        </w:tc>
        <w:tc>
          <w:tcPr>
            <w:tcW w:type="dxa" w:w="436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Impact</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Required fields use asterisk without programmatic labeling</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1.3.1 · 3.3.2 (A)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"Your name *", "E-mail *", "Add Comment *" do not use aria-required or accessible required field patterns. Screen reader users do not know fields are required until the form fails.</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Form submission status messages not announced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4.1.3 (AA)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Success, error, and loading states have no role="status" or aria-live region. Screen reader users receive no confirmation that a public comment was submitted — in a legal public participation process.</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Terms &amp; Conditions checkbox association unclear</w:t>
            </w:r>
          </w:p>
        </w:tc>
        <w:tc>
          <w:tcPr>
            <w:tcW w:type="dxa" w:w="16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1.3.1 (A)</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Required agreement checkbox likely lacks proper for/id label association. Improperly associated checkboxes are common in Drupal-based forms (which Konveio uses).</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Comment sort/filter controls lack group labels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1.3.1 (A)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"Most recent / Most replied / Most supported / By page" and type filter have no fieldset/legend grouping or aria-label. Users cannot determine the purpose of the dropdown cluster.</w:t>
            </w:r>
          </w:p>
        </w:tc>
      </w:tr>
    </w:tbl>
    <w:p>
      <w:pPr>
        <w:spacing w:after="160" w:before="0"/>
        <w:jc w:val="left"/>
      </w:pPr>
    </w:p>
    <w:p>
      <w:pPr>
        <w:pBdr>
          <w:bottom w:val="single" w:color="CCCCCC" w:sz="2" w:space="2"/>
        </w:pBdr>
        <w:spacing w:after="120" w:before="120"/>
      </w:pPr>
    </w:p>
    <w:p>
      <w:pPr>
        <w:pBdr>
          <w:bottom w:val="single" w:color="C8A84B" w:sz="6" w:space="4"/>
        </w:pBdr>
        <w:spacing w:after="120" w:before="320"/>
      </w:pPr>
      <w:r>
        <w:rPr>
          <w:rFonts w:ascii="Arial" w:cs="Arial" w:eastAsia="Arial" w:hAnsi="Arial"/>
          <w:b/>
          <w:bCs/>
          <w:i w:val="false"/>
          <w:iCs w:val="false"/>
          <w:color w:val="0D1B2E"/>
          <w:sz w:val="28"/>
          <w:szCs w:val="28"/>
        </w:rPr>
        <w:t xml:space="preserve">IV.  Legal Exposure Analysis</w:t>
      </w:r>
    </w:p>
    <w:p>
      <w:pPr>
        <w:spacing w:after="80" w:before="240"/>
      </w:pPr>
      <w:r>
        <w:rPr>
          <w:rFonts w:ascii="Arial" w:cs="Arial" w:eastAsia="Arial" w:hAnsi="Arial"/>
          <w:b/>
          <w:bCs/>
          <w:i w:val="false"/>
          <w:iCs w:val="false"/>
          <w:color w:val="0D1B2E"/>
          <w:sz w:val="24"/>
          <w:szCs w:val="24"/>
        </w:rPr>
        <w:t xml:space="preserve">A. Applicable Law — Three Overlapping Obligations</w:t>
      </w:r>
    </w:p>
    <w:p>
      <w:pPr>
        <w:spacing w:after="80" w:before="0"/>
        <w:jc w:val="left"/>
      </w:pPr>
      <w:r>
        <w:rPr>
          <w:rFonts w:ascii="Arial" w:cs="Arial" w:eastAsia="Arial" w:hAnsi="Arial"/>
          <w:b w:val="false"/>
          <w:bCs w:val="false"/>
          <w:i w:val="false"/>
          <w:iCs w:val="false"/>
          <w:color w:val="222222"/>
          <w:sz w:val="22"/>
          <w:szCs w:val="22"/>
        </w:rPr>
        <w:t xml:space="preserve">El Paso County faces compliance obligations under three distinct legal frameworks, all currently in force:</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ADA Title II (42 U.S.C. § 12132): Prohibits discrimination by any state or local government in the provision of services, programs, and activities. Applies to all digital public participation tools since at least the DOJ’s 1996 guidance. Complainants may file with DOJ within 180 days of the discriminatory act. The April 2024 DOJ rule codified WCAG 2.1 AA as the technical standard, with a compliance deadline of April 24, 2026 for counties with populations above 50,000.</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Colorado HB 21-1110 (as amended by SB 23-244, effective July 1, 2025): Requires WCAG 2.1 AA compliance for all digital resources of Colorado state agencies and public entities, including counties and special districts. Explicitly creates a private right of action: “An individual with a disability can sue in a Colorado court if they feel that they have experienced discrimination due to a lack of accessibility.” Makes non-compliance a civil rights violation under state law.</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Colorado OIT Technology Accessibility Standards (amended May 2025): Require public entities to publish annual accessibility plans, use the most accessible technology option available for their needs, and ensure vendor platforms meet accessibility requirements. El Paso County’s use of a platform with documented WCAG Level A failures raises questions about whether it conducted adequate due diligence before contracting.</w:t>
      </w:r>
    </w:p>
    <w:p>
      <w:pPr>
        <w:spacing w:after="80" w:before="0"/>
        <w:jc w:val="left"/>
      </w:pPr>
    </w:p>
    <w:p>
      <w:pPr>
        <w:spacing w:after="80" w:before="240"/>
      </w:pPr>
      <w:r>
        <w:rPr>
          <w:rFonts w:ascii="Arial" w:cs="Arial" w:eastAsia="Arial" w:hAnsi="Arial"/>
          <w:b/>
          <w:bCs/>
          <w:i w:val="false"/>
          <w:iCs w:val="false"/>
          <w:color w:val="0D1B2E"/>
          <w:sz w:val="24"/>
          <w:szCs w:val="24"/>
        </w:rPr>
        <w:t xml:space="preserve">B. The Retroactivity Question — Can Prior Decisions Be Challenged?</w:t>
      </w:r>
    </w:p>
    <w:p>
      <w:pPr>
        <w:spacing w:after="120" w:before="0"/>
        <w:jc w:val="left"/>
      </w:pPr>
      <w:r>
        <w:rPr>
          <w:rFonts w:ascii="Arial" w:cs="Arial" w:eastAsia="Arial" w:hAnsi="Arial"/>
          <w:b/>
          <w:bCs/>
          <w:i w:val="false"/>
          <w:iCs w:val="false"/>
          <w:color w:val="222222"/>
          <w:sz w:val="22"/>
          <w:szCs w:val="22"/>
        </w:rPr>
        <w:t xml:space="preserve">This is the most important and most nuanced legal question this audit raises. The answer depends on what "prior decisions" means and what legal theory is being advanced.</w:t>
      </w:r>
    </w:p>
    <w:p>
      <w:pPr>
        <w:spacing w:after="60" w:before="180"/>
      </w:pPr>
      <w:r>
        <w:rPr>
          <w:rFonts w:ascii="Arial" w:cs="Arial" w:eastAsia="Arial" w:hAnsi="Arial"/>
          <w:b/>
          <w:bCs/>
          <w:i w:val="false"/>
          <w:iCs w:val="false"/>
          <w:color w:val="1A3050"/>
          <w:sz w:val="22"/>
          <w:szCs w:val="22"/>
        </w:rPr>
        <w:t xml:space="preserve">1. The LDC Update Itself (Ongoing Process)</w:t>
      </w:r>
    </w:p>
    <w:p>
      <w:pPr>
        <w:spacing w:after="80" w:before="0"/>
        <w:jc w:val="left"/>
      </w:pPr>
      <w:r>
        <w:rPr>
          <w:rFonts w:ascii="Arial" w:cs="Arial" w:eastAsia="Arial" w:hAnsi="Arial"/>
          <w:b w:val="false"/>
          <w:bCs w:val="false"/>
          <w:i w:val="false"/>
          <w:iCs w:val="false"/>
          <w:color w:val="222222"/>
          <w:sz w:val="22"/>
          <w:szCs w:val="22"/>
        </w:rPr>
        <w:t xml:space="preserve">The Code Assessment is an active document. The public comment period appears to be ongoing, with comments dated through March 2026. The LDC update has not yet been adopted. This means the accessibility failures documented here affect a process that has not yet concluded.</w:t>
      </w:r>
    </w:p>
    <w:p>
      <w:pPr>
        <w:spacing w:after="80" w:before="0"/>
        <w:jc w:val="left"/>
      </w:pPr>
      <w:r>
        <w:rPr>
          <w:rFonts w:ascii="Arial" w:cs="Arial" w:eastAsia="Arial" w:hAnsi="Arial"/>
          <w:b w:val="false"/>
          <w:bCs w:val="false"/>
          <w:i w:val="false"/>
          <w:iCs w:val="false"/>
          <w:color w:val="222222"/>
          <w:sz w:val="22"/>
          <w:szCs w:val="22"/>
        </w:rPr>
        <w:t xml:space="preserve">If El Paso County proceeds to adopt the LDC through a public participation process that was conducted on an inaccessible platform, a party with standing could argue that the adoption process itself was procedurally deficient under ADA Title II. This would not automatically void the LDC, but could support:</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An injunction requiring the County to re-open the public comment period with an accessible platform before final adoption</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 due process challenge to adoption procedures under Colorado Administrative Procedure Act</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An ADA Title II complaint with DOJ requiring the County to provide equivalent alternative participation opportunities retroactively</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 Colorado HB 21-1110 civil suit in Colorado state court</w:t>
      </w:r>
    </w:p>
    <w:p>
      <w:pPr>
        <w:spacing w:after="80" w:before="0"/>
        <w:jc w:val="left"/>
      </w:pPr>
    </w:p>
    <w:p>
      <w:pPr>
        <w:spacing w:after="60" w:before="180"/>
      </w:pPr>
      <w:r>
        <w:rPr>
          <w:rFonts w:ascii="Arial" w:cs="Arial" w:eastAsia="Arial" w:hAnsi="Arial"/>
          <w:b/>
          <w:bCs/>
          <w:i w:val="false"/>
          <w:iCs w:val="false"/>
          <w:color w:val="1A3050"/>
          <w:sz w:val="22"/>
          <w:szCs w:val="22"/>
        </w:rPr>
        <w:t xml:space="preserve">2. Prior Projects Where Konveio Was the Public Comment Platform</w:t>
      </w:r>
    </w:p>
    <w:p>
      <w:pPr>
        <w:spacing w:after="80" w:before="0"/>
        <w:jc w:val="left"/>
      </w:pPr>
      <w:r>
        <w:rPr>
          <w:rFonts w:ascii="Arial" w:cs="Arial" w:eastAsia="Arial" w:hAnsi="Arial"/>
          <w:b w:val="false"/>
          <w:bCs w:val="false"/>
          <w:i w:val="false"/>
          <w:iCs w:val="false"/>
          <w:color w:val="222222"/>
          <w:sz w:val="22"/>
          <w:szCs w:val="22"/>
        </w:rPr>
        <w:t xml:space="preserve">If the LDC Code Assessment is not an isolated deployment — if El Paso County or the El Paso County LDC project has used Konveio for public comment on other planning decisions that have already been adopted — the exposure is more complex but follows the same legal logic.</w:t>
      </w:r>
    </w:p>
    <w:p>
      <w:pPr>
        <w:spacing w:after="80" w:before="0"/>
        <w:jc w:val="left"/>
      </w:pPr>
      <w:r>
        <w:rPr>
          <w:rFonts w:ascii="Arial" w:cs="Arial" w:eastAsia="Arial" w:hAnsi="Arial"/>
          <w:b w:val="false"/>
          <w:bCs w:val="false"/>
          <w:i w:val="false"/>
          <w:iCs w:val="false"/>
          <w:color w:val="222222"/>
          <w:sz w:val="22"/>
          <w:szCs w:val="22"/>
        </w:rPr>
        <w:t xml:space="preserve">ADA Title II does not grant retroactive authority to void completed government decisions solely because the public process was inaccessible. However, it does create several avenues worth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Legal Theory</w:t>
            </w:r>
          </w:p>
        </w:tc>
        <w:tc>
          <w:tcPr>
            <w:tcW w:type="dxa" w:w="22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Practical Path</w:t>
            </w:r>
          </w:p>
        </w:tc>
        <w:tc>
          <w:tcPr>
            <w:tcW w:type="dxa" w:w="436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Realistic Assessment</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ADA Title II complaint (DOJ)</w:t>
            </w:r>
          </w:p>
        </w:tc>
        <w:tc>
          <w:tcPr>
            <w:tcW w:type="dxa" w:w="22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File within 180 days of discriminatory act</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DOJ may require County to provide retrospective access, reopen comment periods, or modify plans. Does not automatically void decisions.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Colorado HB 21-1110 civil suit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Sue in Colorado district court</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Must show actual discrimination experienced. Court determines liability. Remedies are court-determined and can include injunctive relief requiring process correction.</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Procedural due process challenge</w:t>
            </w:r>
          </w:p>
        </w:tc>
        <w:tc>
          <w:tcPr>
            <w:tcW w:type="dxa" w:w="22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Colorado District Court or federal court</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High bar — must show that the inaccessible process caused specific exclusion that affected a specific outcome. Strong for ongoing (LDC), weaker for completed projects.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Quasi-judicial challenge to adopted plan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Colorado court review of agency decision</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If a specific planning decision (rezoning, subdivision, PUD) was adopted following a public comment process conducted through an inaccessible platform, a challenger could argue the notice and comment process was procedurally defective. Strength depends on whether accessibility failure resulted in actual exclusion.</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Procurement challenge / contractor compliance</w:t>
            </w:r>
          </w:p>
        </w:tc>
        <w:tc>
          <w:tcPr>
            <w:tcW w:type="dxa" w:w="22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Administrative review</w:t>
            </w:r>
          </w:p>
        </w:tc>
        <w:tc>
          <w:tcPr>
            <w:tcW w:type="dxa" w:w="436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Colorado HB 21-1110 and OIT rules require agencies to ensure platform accessibility before contracting. If no accessibility due diligence was documented, the contract itself may be challenged as non-compliant with state procurement rules.</w:t>
            </w:r>
          </w:p>
        </w:tc>
      </w:tr>
    </w:tbl>
    <w:p>
      <w:pPr>
        <w:spacing w:after="120" w:before="0"/>
        <w:jc w:val="left"/>
      </w:pPr>
    </w:p>
    <w:p>
      <w:pPr>
        <w:spacing w:after="60" w:before="180"/>
      </w:pPr>
      <w:r>
        <w:rPr>
          <w:rFonts w:ascii="Arial" w:cs="Arial" w:eastAsia="Arial" w:hAnsi="Arial"/>
          <w:b/>
          <w:bCs/>
          <w:i w:val="false"/>
          <w:iCs w:val="false"/>
          <w:color w:val="1A3050"/>
          <w:sz w:val="22"/>
          <w:szCs w:val="22"/>
        </w:rPr>
        <w:t xml:space="preserve">3. The Most Credible Legal Risk for El Paso County Right Now</w:t>
      </w:r>
    </w:p>
    <w:p>
      <w:pPr>
        <w:spacing w:after="80" w:before="0"/>
        <w:jc w:val="left"/>
      </w:pPr>
      <w:r>
        <w:rPr>
          <w:rFonts w:ascii="Arial" w:cs="Arial" w:eastAsia="Arial" w:hAnsi="Arial"/>
          <w:b w:val="false"/>
          <w:bCs w:val="false"/>
          <w:i w:val="false"/>
          <w:iCs w:val="false"/>
          <w:color w:val="222222"/>
          <w:sz w:val="22"/>
          <w:szCs w:val="22"/>
        </w:rPr>
        <w:t xml:space="preserve">Based on the current state of the law, the most credible immediate legal risk is not retroactive voiding of completed decisions. It is:</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Failure to achieve ADA Title II digital compliance by April 24, 2026 — which is now days away from this audit’s date. El Paso County, as a county with a population above 50,000, faces this deadline now.</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Colorado HB 21-1110 civil suit by a resident with a disability who attempted to participate in the LDC public comment process and was excluded by the platform’s accessibility failures.</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DOJ complaint triggering a compliance investigation that requires the County to re-open the LDC comment period with an accessible platform before adoption.</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Adoption of the LDC following a demonstrably inaccessible public participation process, which creates a persistent procedural vulnerability that any future challenger to a specific LDC provision could exploit.</w:t>
      </w:r>
    </w:p>
    <w:p>
      <w:pPr>
        <w:spacing w:after="80" w:before="0"/>
        <w:jc w:val="left"/>
      </w:pPr>
    </w:p>
    <w:p>
      <w:pPr>
        <w:spacing w:after="80" w:before="240"/>
      </w:pPr>
      <w:r>
        <w:rPr>
          <w:rFonts w:ascii="Arial" w:cs="Arial" w:eastAsia="Arial" w:hAnsi="Arial"/>
          <w:b/>
          <w:bCs/>
          <w:i w:val="false"/>
          <w:iCs w:val="false"/>
          <w:color w:val="0D1B2E"/>
          <w:sz w:val="24"/>
          <w:szCs w:val="24"/>
        </w:rPr>
        <w:t xml:space="preserve">C. Konveio’s Accessibility Claims and Contract Implications</w:t>
      </w:r>
    </w:p>
    <w:p>
      <w:pPr>
        <w:spacing w:after="80" w:before="0"/>
        <w:jc w:val="left"/>
      </w:pPr>
      <w:r>
        <w:rPr>
          <w:rFonts w:ascii="Arial" w:cs="Arial" w:eastAsia="Arial" w:hAnsi="Arial"/>
          <w:b w:val="false"/>
          <w:bCs w:val="false"/>
          <w:i w:val="false"/>
          <w:iCs w:val="false"/>
          <w:color w:val="222222"/>
          <w:sz w:val="22"/>
          <w:szCs w:val="22"/>
        </w:rPr>
        <w:t xml:space="preserve">Konveio markets its platform with specific accessibility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Konveio’s Stated Claim</w:t>
            </w:r>
          </w:p>
        </w:tc>
        <w:tc>
          <w:tcPr>
            <w:tcW w:type="dxa" w:w="468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z w:val="20"/>
                <w:szCs w:val="20"/>
              </w:rPr>
              <w:t xml:space="preserve">Audit Finding</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"Mobile-friendly, WCAG compliant, and screen-reader accessible"</w:t>
            </w:r>
          </w:p>
        </w:tc>
        <w:tc>
          <w:tcPr>
            <w:tcW w:type="dxa" w:w="468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C0392B"/>
                <w:sz w:val="19"/>
                <w:szCs w:val="19"/>
              </w:rPr>
              <w:t xml:space="preserve">20 failures documented. 7 are Level A (minimum floor). WCAG compliance claim is materially unsupported.</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"Visitors use Konveio to better navigate... screen reader support"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Arial" w:cs="Arial" w:eastAsia="Arial" w:hAnsi="Arial"/>
                <w:b w:val="false"/>
                <w:bCs w:val="false"/>
                <w:i w:val="false"/>
                <w:iCs w:val="false"/>
                <w:color w:val="7A5C00"/>
                <w:sz w:val="19"/>
                <w:szCs w:val="19"/>
              </w:rPr>
              <w:t xml:space="preserve">PDF viewer toolbar controls are unlabeled. Loading states unannounced. Form required fields not programmatically marked. Screen reader support is partial at best.</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333333"/>
                <w:sz w:val="19"/>
                <w:szCs w:val="19"/>
              </w:rPr>
              <w:t xml:space="preserve">Platform offers Aira live visual assistance</w:t>
            </w:r>
          </w:p>
        </w:tc>
        <w:tc>
          <w:tcPr>
            <w:tcW w:type="dxa" w:w="468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065F46"/>
                <w:sz w:val="19"/>
                <w:szCs w:val="19"/>
              </w:rPr>
              <w:t xml:space="preserve">Genuine and above-minimum accommodation. However, Aira is a compensatory measure — it does not resolve underlying WCAG failures and does not substitute for an accessible platform.</w:t>
            </w:r>
          </w:p>
        </w:tc>
      </w:tr>
    </w:tbl>
    <w:p>
      <w:pPr>
        <w:spacing w:after="160" w:before="120"/>
        <w:jc w:val="left"/>
      </w:pPr>
      <w:r>
        <w:rPr>
          <w:rFonts w:ascii="Arial" w:cs="Arial" w:eastAsia="Arial" w:hAnsi="Arial"/>
          <w:b w:val="false"/>
          <w:bCs w:val="false"/>
          <w:i w:val="false"/>
          <w:iCs w:val="false"/>
          <w:color w:val="222222"/>
          <w:sz w:val="22"/>
          <w:szCs w:val="22"/>
        </w:rPr>
        <w:t xml:space="preserve">If El Paso County contracted with Konveio partly on the basis of its WCAG compliance representations, and those representations are materially inaccurate, the County may have claims against Konveio for breach of warranty or misrepresentation. The County’s legal department should review the contract for accessibility warranties, indemnification provisions, and cure periods.</w:t>
      </w:r>
    </w:p>
    <w:p>
      <w:pPr>
        <w:pBdr>
          <w:bottom w:val="single" w:color="CCCCCC" w:sz="2" w:space="2"/>
        </w:pBdr>
        <w:spacing w:after="120" w:before="120"/>
      </w:pPr>
    </w:p>
    <w:p>
      <w:pPr>
        <w:pBdr>
          <w:bottom w:val="single" w:color="C8A84B" w:sz="6" w:space="4"/>
        </w:pBdr>
        <w:spacing w:after="120" w:before="320"/>
      </w:pPr>
      <w:r>
        <w:rPr>
          <w:rFonts w:ascii="Arial" w:cs="Arial" w:eastAsia="Arial" w:hAnsi="Arial"/>
          <w:b/>
          <w:bCs/>
          <w:i w:val="false"/>
          <w:iCs w:val="false"/>
          <w:color w:val="0D1B2E"/>
          <w:sz w:val="28"/>
          <w:szCs w:val="28"/>
        </w:rPr>
        <w:t xml:space="preserve">V.  Recommendations by Priority</w:t>
      </w:r>
    </w:p>
    <w:p>
      <w:pPr>
        <w:spacing w:after="80" w:before="240"/>
      </w:pPr>
      <w:r>
        <w:rPr>
          <w:rFonts w:ascii="Arial" w:cs="Arial" w:eastAsia="Arial" w:hAnsi="Arial"/>
          <w:b/>
          <w:bCs/>
          <w:i w:val="false"/>
          <w:iCs w:val="false"/>
          <w:color w:val="0D1B2E"/>
          <w:sz w:val="24"/>
          <w:szCs w:val="24"/>
        </w:rPr>
        <w:t xml:space="preserve">Immediate — Before LDC Adoption</w:t>
      </w:r>
    </w:p>
    <w:p>
      <w:pPr>
        <w:spacing w:after="80" w:before="0"/>
        <w:jc w:val="left"/>
      </w:pPr>
      <w:r>
        <w:rPr>
          <w:rFonts w:ascii="Arial" w:cs="Arial" w:eastAsia="Arial" w:hAnsi="Arial"/>
          <w:b w:val="false"/>
          <w:bCs w:val="false"/>
          <w:i w:val="false"/>
          <w:iCs w:val="false"/>
          <w:color w:val="222222"/>
          <w:sz w:val="22"/>
          <w:szCs w:val="22"/>
        </w:rPr>
        <w:t xml:space="preserve">These actions should be taken before the LDC moves to adoption, regardless of platform:</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Run the PDF through Adobe Acrobat Pro’s Accessibility Checker. Fix all tag, reading order, heading, and alt text failures before re-uploading. This is the most critical single action.</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Publish an HTML-equivalent accessible summary of the Code Assessment on a page the County controls at elpasoco.com.</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File a formal accessibility support ticket with Konveio citing the specific WCAG failures in this report and requesting a remediation timeline in writing.</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Document in writing that the County has attempted to ensure platform accessibility — this creates a good-faith compliance record under Colorado HB 21-1110.</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Ensure the email accommodation (plnweb@elpasoco.com) and phone number (719-520-6300) are prominent on every project page — not just in italic text.</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Before the April 24, 2026 Title II deadline, publish an accessibility plan on the County’s main website per Colorado OIT requirements.</w:t>
      </w:r>
    </w:p>
    <w:p>
      <w:pPr>
        <w:spacing w:after="80" w:before="0"/>
        <w:jc w:val="left"/>
      </w:pPr>
    </w:p>
    <w:p>
      <w:pPr>
        <w:spacing w:after="80" w:before="240"/>
      </w:pPr>
      <w:r>
        <w:rPr>
          <w:rFonts w:ascii="Arial" w:cs="Arial" w:eastAsia="Arial" w:hAnsi="Arial"/>
          <w:b/>
          <w:bCs/>
          <w:i w:val="false"/>
          <w:iCs w:val="false"/>
          <w:color w:val="0D1B2E"/>
          <w:sz w:val="24"/>
          <w:szCs w:val="24"/>
        </w:rPr>
        <w:t xml:space="preserve">Short-Term — Platform Contract Review</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Pull the County’s contract with Konveio and review for accessibility warranty language, SLA provisions, and indemnification clauses.</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Send Konveio formal written notice of the documented failures with a request for a remediation plan within 30 days. Preserve this correspondence.</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For future platform procurement, require a VPAT (Voluntary Product Accessibility Template) and accessibility conformance report as conditions of award.</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Require that future public comment platforms host an accessible HTML version alongside any PDF viewer.</w:t>
      </w:r>
    </w:p>
    <w:p>
      <w:pPr>
        <w:spacing w:after="80" w:before="0"/>
        <w:jc w:val="left"/>
      </w:pPr>
    </w:p>
    <w:p>
      <w:pPr>
        <w:spacing w:after="80" w:before="240"/>
      </w:pPr>
      <w:r>
        <w:rPr>
          <w:rFonts w:ascii="Arial" w:cs="Arial" w:eastAsia="Arial" w:hAnsi="Arial"/>
          <w:b/>
          <w:bCs/>
          <w:i w:val="false"/>
          <w:iCs w:val="false"/>
          <w:color w:val="0D1B2E"/>
          <w:sz w:val="24"/>
          <w:szCs w:val="24"/>
        </w:rPr>
        <w:t xml:space="preserve">Longer-Term — Systemic</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Audit all other active Konveio deployments by El Paso County for the same failure patterns documented here.</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For prior planning decisions made through Konveio or similar platforms, document the accommodation alternatives that were available (email, phone) and whether they were made sufficiently prominent — this establishes good-faith compliance defense for completed decisions.</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Evaluate whether critical public participation documents should reside on County-controlled infrastructure with County-controlled accessibility remediation.</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Establish a standing accessibility review process for all new digital public participation tools before deployment, not after complaints.</w:t>
      </w:r>
    </w:p>
    <w:p>
      <w:pPr>
        <w:pBdr>
          <w:bottom w:val="single" w:color="CCCCCC" w:sz="2" w:space="2"/>
        </w:pBdr>
        <w:spacing w:after="120" w:before="120"/>
      </w:pPr>
    </w:p>
    <w:p>
      <w:pPr>
        <w:pBdr>
          <w:bottom w:val="single" w:color="C8A84B" w:sz="6" w:space="4"/>
        </w:pBdr>
        <w:spacing w:after="120" w:before="320"/>
      </w:pPr>
      <w:r>
        <w:rPr>
          <w:rFonts w:ascii="Arial" w:cs="Arial" w:eastAsia="Arial" w:hAnsi="Arial"/>
          <w:b/>
          <w:bCs/>
          <w:i w:val="false"/>
          <w:iCs w:val="false"/>
          <w:color w:val="0D1B2E"/>
          <w:sz w:val="28"/>
          <w:szCs w:val="28"/>
        </w:rPr>
        <w:t xml:space="preserve">VI.  Sources and References</w:t>
      </w:r>
    </w:p>
    <w:p>
      <w:pPr>
        <w:spacing w:after="60" w:before="0"/>
        <w:jc w:val="left"/>
      </w:pPr>
      <w:r>
        <w:rPr>
          <w:rFonts w:ascii="Arial" w:cs="Arial" w:eastAsia="Arial" w:hAnsi="Arial"/>
          <w:b/>
          <w:bCs/>
          <w:i w:val="false"/>
          <w:iCs w:val="false"/>
          <w:color w:val="222222"/>
          <w:sz w:val="22"/>
          <w:szCs w:val="22"/>
        </w:rPr>
        <w:t xml:space="preserve">Legal and regulatory:</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ADA Title II, 42 U.S.C. § 12132</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DOJ Final Rule on Title II Digital Accessibility, 28 C.F.R. Part 35 (April 24, 2024)</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Colorado HB 21-1110 (2021), as amended by SB 23-244 (2023)</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Colorado OIT Technology Accessibility Standards (amended May 2025) — oit.colorado.gov/accessibility-law</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WCAG 2.1 AA, W3C (June 2018)</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DOJ Title II Action Guide — adaactionguide.org</w:t>
      </w:r>
    </w:p>
    <w:p>
      <w:pPr>
        <w:spacing w:after="80" w:before="0"/>
        <w:jc w:val="left"/>
      </w:pPr>
    </w:p>
    <w:p>
      <w:pPr>
        <w:spacing w:after="60" w:before="0"/>
        <w:jc w:val="left"/>
      </w:pPr>
      <w:r>
        <w:rPr>
          <w:rFonts w:ascii="Arial" w:cs="Arial" w:eastAsia="Arial" w:hAnsi="Arial"/>
          <w:b/>
          <w:bCs/>
          <w:i w:val="false"/>
          <w:iCs w:val="false"/>
          <w:color w:val="222222"/>
          <w:sz w:val="22"/>
          <w:szCs w:val="22"/>
        </w:rPr>
        <w:t xml:space="preserve">Platform and company information:</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Konveio company profile — konveio.com/about-us</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Konveio GovTech100 announcement — linkedin.com/company/konveio</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Konveio headquarters: 1660 S Albion St Ste 325, Denver, CO 80222 (ZoomInfo / Tracxn)</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PitchBook company profile — Konveio, private company, $150K raised (CivStart)</w:t>
      </w:r>
    </w:p>
    <w:p>
      <w:pPr>
        <w:spacing w:after="80" w:before="0"/>
        <w:jc w:val="left"/>
      </w:pPr>
    </w:p>
    <w:p>
      <w:pPr>
        <w:spacing w:after="60" w:before="0"/>
        <w:jc w:val="left"/>
      </w:pPr>
      <w:r>
        <w:rPr>
          <w:rFonts w:ascii="Arial" w:cs="Arial" w:eastAsia="Arial" w:hAnsi="Arial"/>
          <w:b/>
          <w:bCs/>
          <w:i w:val="false"/>
          <w:iCs w:val="false"/>
          <w:color w:val="222222"/>
          <w:sz w:val="22"/>
          <w:szCs w:val="22"/>
        </w:rPr>
        <w:t xml:space="preserve">Technical audit sources:</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Page source: elpasocountyldc.konveio.com/code-assessment (fetched April 2026)</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Accessibility statement: elpasocountyldc.konveio.com (Aira notice on page)</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Konveio platform documentation: konveio.com/blog</w:t>
      </w:r>
    </w:p>
    <w:p>
      <w:pPr>
        <w:pStyle w:val="ListParagraph"/>
        <w:numPr>
          <w:ilvl w:val="0"/>
          <w:numId w:val="2"/>
        </w:numPr>
        <w:spacing w:after="80" w:before="0"/>
      </w:pPr>
      <w:r>
        <w:rPr>
          <w:rFonts w:ascii="Arial" w:cs="Arial" w:eastAsia="Arial" w:hAnsi="Arial"/>
          <w:b w:val="false"/>
          <w:bCs w:val="false"/>
          <w:i w:val="false"/>
          <w:iCs w:val="false"/>
          <w:color w:val="333333"/>
          <w:sz w:val="21"/>
          <w:szCs w:val="21"/>
        </w:rPr>
        <w:t xml:space="preserve">Contrast ratios: calculated per WCAG 2.1 § 1.4.3 formula</w:t>
      </w:r>
    </w:p>
    <w:p>
      <w:pPr>
        <w:spacing w:after="200" w:before="0"/>
        <w:jc w:val="left"/>
      </w:pPr>
    </w:p>
    <w:p>
      <w:pPr>
        <w:pBdr>
          <w:bottom w:val="single" w:color="CCCCCC" w:sz="2" w:space="2"/>
        </w:pBdr>
        <w:spacing w:after="120" w:before="120"/>
      </w:pPr>
    </w:p>
    <w:p>
      <w:pPr>
        <w:spacing w:after="80" w:before="0"/>
        <w:jc w:val="left"/>
      </w:pPr>
      <w:r>
        <w:rPr>
          <w:rFonts w:ascii="Arial" w:cs="Arial" w:eastAsia="Arial" w:hAnsi="Arial"/>
          <w:b w:val="false"/>
          <w:bCs w:val="false"/>
          <w:i/>
          <w:iCs/>
          <w:color w:val="555555"/>
          <w:sz w:val="19"/>
          <w:szCs w:val="19"/>
        </w:rPr>
        <w:t xml:space="preserve">Prepared by StorySeed Studios · The Dais · El Paso County, Colorado · April 2026</w:t>
      </w:r>
    </w:p>
    <w:p>
      <w:pPr>
        <w:spacing w:after="120" w:before="0"/>
        <w:jc w:val="left"/>
      </w:pPr>
      <w:r>
        <w:rPr>
          <w:rFonts w:ascii="Arial" w:cs="Arial" w:eastAsia="Arial" w:hAnsi="Arial"/>
          <w:b w:val="false"/>
          <w:bCs w:val="false"/>
          <w:i/>
          <w:iCs/>
          <w:color w:val="555555"/>
          <w:sz w:val="18"/>
          <w:szCs w:val="18"/>
        </w:rPr>
        <w:t xml:space="preserve">This document is provided for informational and civic accountability purposes only. It does not constitute legal advice. Consult a licensed Colorado attorney before taking legal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pPr>
    <w:r>
      <w:rPr>
        <w:rFonts w:ascii="Arial" w:cs="Arial" w:eastAsia="Arial" w:hAnsi="Arial"/>
        <w:b w:val="false"/>
        <w:bCs w:val="false"/>
        <w:i w:val="false"/>
        <w:iCs w:val="false"/>
        <w:color w:val="555555"/>
        <w:sz w:val="16"/>
        <w:szCs w:val="16"/>
      </w:rPr>
      <w:t xml:space="preserve">elpasocountyldc.konveio.com/code-assessment  ·  Accessibility Audit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4"/>
      </w:pBdr>
      <w:tabs>
        <w:tab w:val="right" w:pos="9026"/>
      </w:tabs>
      <w:spacing w:after="80" w:before="0"/>
    </w:pPr>
    <w:r>
      <w:rPr>
        <w:rFonts w:ascii="Arial" w:cs="Arial" w:eastAsia="Arial" w:hAnsi="Arial"/>
        <w:b w:val="false"/>
        <w:bCs w:val="false"/>
        <w:i w:val="false"/>
        <w:iCs w:val="false"/>
        <w:color w:val="555555"/>
        <w:sz w:val="16"/>
        <w:szCs w:val="16"/>
      </w:rPr>
      <w:t xml:space="preserve">StorySeed Studios  ·  The Dais  ·  Accessibility &amp; Legal Audit</w:t>
    </w:r>
    <w:r>
      <w:rPr>
        <w:rFonts w:ascii="Arial" w:cs="Arial" w:eastAsia="Arial" w:hAnsi="Arial"/>
        <w:b w:val="false"/>
        <w:bCs w:val="false"/>
        <w:i w:val="false"/>
        <w:iCs w:val="false"/>
        <w:color w:val="222222"/>
        <w:sz w:val="16"/>
        <w:szCs w:val="16"/>
      </w:rPr>
      <w:t xml:space="preserve">	</w:t>
    </w:r>
    <w:r>
      <w:rPr>
        <w:rFonts w:ascii="Arial" w:cs="Arial" w:eastAsia="Arial" w:hAnsi="Arial"/>
        <w:b/>
        <w:bCs/>
        <w:i w:val="false"/>
        <w:iCs w:val="false"/>
        <w:color w:val="C0392B"/>
        <w:sz w:val="16"/>
        <w:szCs w:val="16"/>
      </w:rPr>
      <w:t xml:space="preserve">DRAFT FOR REVIEW —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2026-04-02T04:23:30.073Z</dcterms:created>
  <dcterms:modified xsi:type="dcterms:W3CDTF">2026-04-02T04:23:30.074Z</dcterms:modified>
</cp:coreProperties>
</file>

<file path=docProps/custom.xml><?xml version="1.0" encoding="utf-8"?>
<Properties xmlns="http://schemas.openxmlformats.org/officeDocument/2006/custom-properties" xmlns:vt="http://schemas.openxmlformats.org/officeDocument/2006/docPropsVTypes"/>
</file>