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color w:val="7A1515"/>
          <w:sz w:val="20"/>
          <w:szCs w:val="20"/>
        </w:rPr>
        <w:t xml:space="preserve">ADA Title II Complaint</w:t>
      </w:r>
    </w:p>
    <w:p>
      <w:pPr>
        <w:jc w:val="right"/>
      </w:pPr>
      <w:r>
        <w:rPr>
          <w:color w:val="6B4000"/>
          <w:sz w:val="18"/>
          <w:szCs w:val="18"/>
        </w:rPr>
        <w:t xml:space="preserve">Third-Party Content — Web Accessibility</w:t>
      </w:r>
    </w:p>
    <w:p>
      <w:pPr>
        <w:pBdr>
          <w:bottom w:val="single" w:color="2E75B6" w:sz="6" w:space="8"/>
        </w:pBdr>
      </w:pPr>
      <w:r>
        <w:t xml:space="preserve"/>
      </w:r>
    </w:p>
    <w:p>
      <w:pPr>
        <w:pStyle w:val="Heading1"/>
        <w:jc w:val="center"/>
      </w:pPr>
      <w:r>
        <w:rPr>
          <w:b/>
          <w:bCs/>
          <w:color w:val="1B2A4A"/>
          <w:sz w:val="30"/>
          <w:szCs w:val="30"/>
        </w:rPr>
        <w:t xml:space="preserve">Complaint Under Title II of the Americans with Disabilities Act</w:t>
      </w:r>
    </w:p>
    <w:p>
      <w:pPr>
        <w:jc w:val="center"/>
      </w:pPr>
      <w:r>
        <w:rPr>
          <w:i/>
          <w:iCs/>
          <w:sz w:val="22"/>
          <w:szCs w:val="22"/>
        </w:rPr>
        <w:t xml:space="preserve">Respondent: City of Colorado Springs — Colorado Springs Police Department</w:t>
      </w:r>
    </w:p>
    <w:p>
      <w:pPr>
        <w:jc w:val="center"/>
      </w:pPr>
      <w:r>
        <w:rPr>
          <w:i/>
          <w:iCs/>
          <w:sz w:val="22"/>
          <w:szCs w:val="22"/>
        </w:rPr>
        <w:t xml:space="preserve">Subject: Inaccessible third-party crime-reporting tool linked from coloradosprings.gov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Filed by</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[COMPLAINANT NAME]  —  [EMAIL]  —  [PHONE]</w:t>
            </w:r>
          </w:p>
        </w:tc>
      </w:tr>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Mailing address</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[STREET], [CITY], CO [ZIP]</w:t>
            </w:r>
          </w:p>
        </w:tc>
      </w:tr>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Date of filing</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April 17, 2026</w:t>
            </w:r>
          </w:p>
        </w:tc>
      </w:tr>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Public entity</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City of Colorado Springs — Colorado Springs Police Department</w:t>
            </w:r>
          </w:p>
        </w:tc>
      </w:tr>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Statutory basis</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42 U.S.C. § 12132  •  28 C.F.R. Part 35 Subpart H  •  DOJ Final Rule, April 2024</w:t>
            </w:r>
          </w:p>
        </w:tc>
      </w:tr>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Technical standard</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WCAG 2.1 Level AA (compliance deadline: April 24, 2026 — passed)</w:t>
            </w:r>
          </w:p>
        </w:tc>
      </w:tr>
      <w:tr>
        <w:tc>
          <w:tcPr>
            <w:tcW w:type="dxa" w:w="2880"/>
            <w:tcBorders>
              <w:top w:val="single" w:color="CCCCCC" w:sz="4"/>
              <w:left w:val="single" w:color="CCCCCC" w:sz="4"/>
              <w:bottom w:val="single" w:color="CCCCCC" w:sz="4"/>
              <w:right w:val="single" w:color="CCCCCC" w:sz="4"/>
            </w:tcBorders>
            <w:shd w:fill="F3F0EA" w:val="clear"/>
            <w:tcMar>
              <w:top w:type="dxa" w:w="80"/>
              <w:left w:type="dxa" w:w="120"/>
              <w:bottom w:type="dxa" w:w="80"/>
              <w:right w:type="dxa" w:w="120"/>
            </w:tcMar>
          </w:tcPr>
          <w:p>
            <w:r>
              <w:rPr>
                <w:b/>
                <w:bCs/>
              </w:rPr>
              <w:t xml:space="preserve">Filing venue</w:t>
            </w:r>
          </w:p>
        </w:tc>
        <w:tc>
          <w:tcPr>
            <w:tcW w:type="dxa" w:w="6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civilrights.justice.gov  •  Colorado Civil Rights Division (DORA_CCRDintake@state.co.us)</w:t>
            </w:r>
          </w:p>
        </w:tc>
      </w:tr>
    </w:tbl>
    <w:p>
      <w:r>
        <w:t xml:space="preserve"/>
      </w:r>
    </w:p>
    <w:p>
      <w:pPr>
        <w:pStyle w:val="Heading2"/>
      </w:pPr>
      <w:r>
        <w:t xml:space="preserve">I.  Summary of complaint</w:t>
      </w:r>
    </w:p>
    <w:p>
      <w:r>
        <w:t xml:space="preserve">The Colorado Springs Police Department (CSPD) operates a public-facing page titled “Crimes and Calls for Service in Your Neighborhood” at coloradosprings.gov/police-department/page/crimes-and-calls-service-your-neighborhood. The primary functional element of that page is an outbound link that directs residents to a third-party tool — myneighborhoodupdate.net — operated by Corona Solutions (Denver, Colorado). That third-party tool is the city’s only neighborhood-level public interface for calls-for-service data.</w:t>
      </w:r>
    </w:p>
    <w:p>
      <w:r>
        <w:t xml:space="preserve"/>
      </w:r>
    </w:p>
    <w:p>
      <w:r>
        <w:t xml:space="preserve">The third-party tool fails multiple WCAG 2.1 Level A success criteria, has no published accessibility conformance statement (VPAT), and is served over unencrypted HTTP rather than HTTPS. The DOJ’s April 2024 final rule under Title II of the Americans with Disabilities Act, codified at 28 C.F.R. Part 35 Subpart H, explicitly covers third-party web content that a public entity uses, offers, or provides through its web content. Colorado Springs is a public entity in the earlier compliance cohort (population ≥ 50,000). Its compliance deadline was April 24, 2026 — which has passed.</w:t>
      </w:r>
    </w:p>
    <w:p>
      <w:r>
        <w:t xml:space="preserve"/>
      </w:r>
    </w:p>
    <w:p>
      <w:r>
        <w:t xml:space="preserve">The city cannot disclaim responsibility for this accessibility exposure by pointing at the vendor. The city’s obligation is to provide the service accessibly, including by replacing the tool, front-ending the vendor with an accessible interface, or removing the link until the vendor’s product conforms.</w:t>
      </w:r>
    </w:p>
    <w:p>
      <w:pPr>
        <w:pStyle w:val="Heading2"/>
      </w:pPr>
      <w:r>
        <w:t xml:space="preserve">II.  Factual basis</w:t>
      </w:r>
    </w:p>
    <w:p>
      <w:pPr>
        <w:pStyle w:val="Heading3"/>
      </w:pPr>
      <w:r>
        <w:t xml:space="preserve">A.  The linked tool</w:t>
      </w:r>
    </w:p>
    <w:p>
      <w:r>
        <w:t xml:space="preserve">Destination URL: http://myneighborhoodupdate.net</w:t>
      </w:r>
    </w:p>
    <w:p>
      <w:r>
        <w:t xml:space="preserve">Operator: Corona Solutions, 4610 S Ulster St Suite 150, Denver, CO 80237</w:t>
      </w:r>
    </w:p>
    <w:p>
      <w:r>
        <w:t xml:space="preserve">Product description (from vendor): “A community portal… facilitating the flow of information from local law-enforcement agencies into the community.” Data source (from vendor FAQ): “Computer-Aided-Dispatch (CAD) systems in 911 call centers.”</w:t>
      </w:r>
    </w:p>
    <w:p>
      <w:r>
        <w:t xml:space="preserve">The tool is the city’s only published neighborhood-level interface for CSPD call-for-service data.</w:t>
      </w:r>
    </w:p>
    <w:p>
      <w:r>
        <w:t xml:space="preserve"/>
      </w:r>
    </w:p>
    <w:p>
      <w:pPr>
        <w:pStyle w:val="Heading3"/>
      </w:pPr>
      <w:r>
        <w:t xml:space="preserve">B.  WCAG 2.1 failures identified on the linked tool</w:t>
      </w:r>
    </w:p>
    <w:p>
      <w:r>
        <w:t xml:space="preserve">The following failures were observed by manual inspection of the tool’s rendered output and HTML source on April 17, 2026. Each item cites the specific WCAG 2.1 success criterion violated.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rPr>
              <w:t xml:space="preserve">Issue</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rPr>
              <w:t xml:space="preserve">WCAG</w:t>
            </w:r>
          </w:p>
        </w:tc>
        <w:tc>
          <w:tcPr>
            <w:tcW w:type="dxa" w:w="6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b/>
                <w:bCs/>
              </w:rPr>
              <w:t xml:space="preserve">Description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HTTP not HTTPS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Security cue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Tool served over unencrypted HTTP. In 2026, major browsers mark HTTP destinations “Not Secure.” Assistive-technology users and users with low digital literacy rely on security chrome as a trust cue; unencrypted delivery undermines that cue and transmits addresses entered by residents in cleartext.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javascript: pseudo-links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2.1.1 (A), 4.1.2 (A)</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Primary actions — “Get e-mail alerts,” “Share,” “Print Report” — implemented as javascript:function() or href="#" pseudo-links. These do not expose proper accessible name/role to assistive technology, cannot be keyboard-activated consistently, and cannot be right-clicked, bookmarked, or opened in a new tab.</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Map without alternative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1.1.1 (A), 1.3.1 (A), 2.1.1 (A)</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Primary UI is an interactive map encoding events as points with point-size encoding (“point size reflects time spent at event”). No text alternative, no accessible data table, and no keyboard-navigable list view are provided. A screen-reader user has no path to the tool’s core content.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Unlabeled form input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3.3.2 (A), 4.1.2 (A)</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The address search input has no programmatic &lt;label&gt;. The prompt “Enter a City, Address, Zip” is adjacent text with a decorative red arrow image pointing at it. Assistive technology announces the field without a name.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Charts without text equivalent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1.1.1 (A)</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“Line graph of number of events” and “Pie chart of call type categories” are rendered without accessible tabular equivalents or meaningful text alternatives.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Icon-only controls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1.1.1 (A), 2.4.4 (A)</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Calendar pickers, notification toggles, and progress indicators are small icon graphics (red_arrow.gif, calendar_icon_small.gif, progress.gif) with inconsistent or missing alt text.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No VPAT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Best practice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The vendor’s “About” page is two sentences. No VPAT or accessibility conformance statement is published. Under the DOJ 2024 rule, absence of a published conformance posture is itself a red flag during agency review.</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Maintenance posture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Contextual</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Copyright footer reads “© 2009 – 2024, Corona Solutions.” Product styling, markup patterns, and image-based UI are consistent with a product in maintenance rather than active development — reducing likelihood of vendor-led remediation before or shortly after the DOJ deadline.</w:t>
            </w:r>
          </w:p>
        </w:tc>
      </w:tr>
    </w:tbl>
    <w:p>
      <w:r>
        <w:t xml:space="preserve"/>
      </w:r>
    </w:p>
    <w:p>
      <w:pPr>
        <w:pStyle w:val="Heading3"/>
      </w:pPr>
      <w:r>
        <w:t xml:space="preserve">C.  The data context that makes this worse</w:t>
      </w:r>
    </w:p>
    <w:p>
      <w:r>
        <w:t xml:space="preserve">The linked tool is not merely decorative — it is the city’s only published neighborhood-level interface for CSPD CAD (calls-for-service) data. CSPD publishes a separate Records Management System (RMS) dataset at policedata.coloradosprings.gov (dataset bc88-hemr) via the Tyler Data &amp; Insights platform. The two feeds measure different things:</w:t>
      </w:r>
    </w:p>
    <w:p>
      <w:pPr>
        <w:pStyle w:val="ListParagraph"/>
        <w:numPr>
          <w:ilvl w:val="0"/>
          <w:numId w:val="2"/>
        </w:numPr>
      </w:pPr>
      <w:r>
        <w:t xml:space="preserve">CAD data includes dispatched calls that did not result in a crime report, but explicitly excludes sexual assaults from CSPD’s upload (per CSPD’s own disclosure on coloradosprings.gov).</w:t>
      </w:r>
    </w:p>
    <w:p>
      <w:pPr>
        <w:pStyle w:val="ListParagraph"/>
        <w:numPr>
          <w:ilvl w:val="0"/>
          <w:numId w:val="2"/>
        </w:numPr>
      </w:pPr>
      <w:r>
        <w:t xml:space="preserve">RMS data includes all reportable NIBRS offenses, but does not include dispatched calls that closed on scene without a report.</w:t>
      </w:r>
    </w:p>
    <w:p>
      <w:pPr>
        <w:pStyle w:val="ListParagraph"/>
        <w:numPr>
          <w:ilvl w:val="0"/>
          <w:numId w:val="2"/>
        </w:numPr>
      </w:pPr>
      <w:r>
        <w:t xml:space="preserve">CAD categories are defined by the vendor (Corona Solutions), not by a public standard such as NIBRS.</w:t>
      </w:r>
    </w:p>
    <w:p>
      <w:pPr>
        <w:pStyle w:val="ListParagraph"/>
        <w:numPr>
          <w:ilvl w:val="0"/>
          <w:numId w:val="2"/>
        </w:numPr>
      </w:pPr>
      <w:r>
        <w:t xml:space="preserve">CAD addresses are “approximate” by vendor policy and do not reflect actual incident locations.</w:t>
      </w:r>
    </w:p>
    <w:p>
      <w:r>
        <w:t xml:space="preserve"/>
      </w:r>
    </w:p>
    <w:p>
      <w:r>
        <w:t xml:space="preserve">The practical effect: a resident with a disability has no accessible path to the city’s neighborhood-level calls-for-service data. The RMS dataset is reachable through a semi-accessible Tyler portal, but does not contain CAD events. The CAD tool is the only public surface for CAD events, and it is not accessible.</w:t>
      </w:r>
    </w:p>
    <w:p>
      <w:pPr>
        <w:pStyle w:val="Heading2"/>
      </w:pPr>
      <w:r>
        <w:t xml:space="preserve">III.  Legal basis</w:t>
      </w:r>
    </w:p>
    <w:p>
      <w:pPr>
        <w:pStyle w:val="ListParagraph"/>
        <w:numPr>
          <w:ilvl w:val="0"/>
          <w:numId w:val="3"/>
        </w:numPr>
      </w:pPr>
      <w:r>
        <w:t xml:space="preserve">42 U.S.C. § 12132 — Title II prohibits discrimination on the basis of disability by public entities.</w:t>
      </w:r>
    </w:p>
    <w:p>
      <w:pPr>
        <w:pStyle w:val="ListParagraph"/>
        <w:numPr>
          <w:ilvl w:val="0"/>
          <w:numId w:val="3"/>
        </w:numPr>
      </w:pPr>
      <w:r>
        <w:t xml:space="preserve">28 C.F.R. Part 35 Subpart H (DOJ Final Rule, April 2024) — Adopts WCAG 2.1 Level AA as the technical standard for state and local government web content and mobile apps. Explicitly applies to third-party web content used by a public entity to offer services to the public.</w:t>
      </w:r>
    </w:p>
    <w:p>
      <w:pPr>
        <w:pStyle w:val="ListParagraph"/>
        <w:numPr>
          <w:ilvl w:val="0"/>
          <w:numId w:val="3"/>
        </w:numPr>
      </w:pPr>
      <w:r>
        <w:t xml:space="preserve">28 C.F.R. § 35.107 — Requires a designated ADA coordinator and accessible grievance procedure.</w:t>
      </w:r>
    </w:p>
    <w:p>
      <w:pPr>
        <w:pStyle w:val="ListParagraph"/>
        <w:numPr>
          <w:ilvl w:val="0"/>
          <w:numId w:val="3"/>
        </w:numPr>
      </w:pPr>
      <w:r>
        <w:t xml:space="preserve">Compliance deadline for public entities with population ≥ 50,000: April 24, 2026. Colorado Springs (population approximately 490,000–500,000) falls in the earlier cohort. That deadline has passed.</w:t>
      </w:r>
    </w:p>
    <w:p>
      <w:r>
        <w:t xml:space="preserve"/>
      </w:r>
    </w:p>
    <w:p>
      <w:r>
        <w:t xml:space="preserve">The rule is explicit that a public entity cannot avoid responsibility by procuring inaccessible third-party content. See 28 C.F.R. Part 35 Subpart H, preamble and response-to-comments. The obligation attaches to the city, not the vendor.</w:t>
      </w:r>
    </w:p>
    <w:p>
      <w:pPr>
        <w:pStyle w:val="Heading2"/>
      </w:pPr>
      <w:r>
        <w:t xml:space="preserve">IV.  Harm to the public</w:t>
      </w:r>
    </w:p>
    <w:p>
      <w:r>
        <w:t xml:space="preserve">Residents who rely on assistive technology — screen readers, screen magnification, keyboard-only navigation, voice control — have no accessible path to neighborhood-level calls-for-service data in Colorado Springs. This is not a theoretical harm; the tool is linked from the CSPD Records &amp; Transparency section as the official public interface for this data. A resident in a neighborhood experiencing a surge in dispatched calls cannot, using the accommodations required by federal law, read that surge.</w:t>
      </w:r>
    </w:p>
    <w:p>
      <w:r>
        <w:t xml:space="preserve"/>
      </w:r>
    </w:p>
    <w:p>
      <w:r>
        <w:t xml:space="preserve">The harm is compounded by the data gap described in Section II.C: even the accessible RMS dataset does not cover the majority (approximately 87%) of police response activity. Residents with disabilities are therefore excluded from both the inaccessible complete picture and from public awareness of the gap.</w:t>
      </w:r>
    </w:p>
    <w:p>
      <w:pPr>
        <w:pStyle w:val="Heading2"/>
      </w:pPr>
      <w:r>
        <w:t xml:space="preserve">V.  Requested remedies</w:t>
      </w:r>
    </w:p>
    <w:p>
      <w:r>
        <w:t xml:space="preserve">The complainant requests that the Department of Justice direct, and/or that the Colorado Civil Rights Division investigate and require, the following remedies by the City of Colorado Springs:</w:t>
      </w:r>
    </w:p>
    <w:p>
      <w:r>
        <w:t xml:space="preserve"/>
      </w:r>
    </w:p>
    <w:p>
      <w:pPr>
        <w:pStyle w:val="ListParagraph"/>
        <w:numPr>
          <w:ilvl w:val="0"/>
          <w:numId w:val="3"/>
        </w:numPr>
      </w:pPr>
      <w:r>
        <w:t xml:space="preserve">Within 30 days: remove the outbound link to myneighborhoodupdate.net from coloradosprings.gov until the destination tool meets WCAG 2.1 Level AA. Replace the link with a plain-language notice describing the data currently unavailable in accessible form and the city’s remediation timeline.</w:t>
      </w:r>
    </w:p>
    <w:p>
      <w:pPr>
        <w:pStyle w:val="ListParagraph"/>
        <w:numPr>
          <w:ilvl w:val="0"/>
          <w:numId w:val="3"/>
        </w:numPr>
      </w:pPr>
      <w:r>
        <w:t xml:space="preserve">Within 90 days: publish a remediation plan that either (a) requires Corona Solutions to deliver a conformant version with a signed VPAT, (b) front-ends the CSPD CAD feed with an accessible city-built or city-operated interface using the Tyler Data &amp; Insights platform already in use for RMS data, or (c) replaces the tool with an accessible alternative.</w:t>
      </w:r>
    </w:p>
    <w:p>
      <w:pPr>
        <w:pStyle w:val="ListParagraph"/>
        <w:numPr>
          <w:ilvl w:val="0"/>
          <w:numId w:val="3"/>
        </w:numPr>
      </w:pPr>
      <w:r>
        <w:t xml:space="preserve">Within 180 days: publish a public CAD dataset on policedata.coloradosprings.gov, with vendor-neutral categories, plain-language documentation, and the same accessibility posture as the existing RMS dataset.</w:t>
      </w:r>
    </w:p>
    <w:p>
      <w:pPr>
        <w:pStyle w:val="ListParagraph"/>
        <w:numPr>
          <w:ilvl w:val="0"/>
          <w:numId w:val="3"/>
        </w:numPr>
      </w:pPr>
      <w:r>
        <w:t xml:space="preserve">Immediately: migrate the destination link from HTTP to HTTPS, or remove it if the vendor cannot provide an HTTPS endpoint.</w:t>
      </w:r>
    </w:p>
    <w:p>
      <w:pPr>
        <w:pStyle w:val="ListParagraph"/>
        <w:numPr>
          <w:ilvl w:val="0"/>
          <w:numId w:val="3"/>
        </w:numPr>
      </w:pPr>
      <w:r>
        <w:t xml:space="preserve">Publish the city’s current contract, annual spend, and data-transfer agreement with Corona Solutions. The public is entitled to know the cost of a service from which disabled residents are excluded.</w:t>
      </w:r>
    </w:p>
    <w:p>
      <w:pPr>
        <w:pStyle w:val="ListParagraph"/>
        <w:numPr>
          <w:ilvl w:val="0"/>
          <w:numId w:val="3"/>
        </w:numPr>
      </w:pPr>
      <w:r>
        <w:t xml:space="preserve">Designate the Office of Accessibility as the coordinating entity for third-party web content review, and publish the review process.</w:t>
      </w:r>
    </w:p>
    <w:p>
      <w:pPr>
        <w:pStyle w:val="Heading2"/>
      </w:pPr>
      <w:r>
        <w:t xml:space="preserve">VI.  Attachments / supporting evidence</w:t>
      </w:r>
    </w:p>
    <w:p>
      <w:pPr>
        <w:pStyle w:val="ListParagraph"/>
        <w:numPr>
          <w:ilvl w:val="0"/>
          <w:numId w:val="2"/>
        </w:numPr>
      </w:pPr>
      <w:r>
        <w:t xml:space="preserve">Screenshots of coloradosprings.gov/police-department/page/crimes-and-calls-service-your-neighborhood (April 17, 2026)</w:t>
      </w:r>
    </w:p>
    <w:p>
      <w:pPr>
        <w:pStyle w:val="ListParagraph"/>
        <w:numPr>
          <w:ilvl w:val="0"/>
          <w:numId w:val="2"/>
        </w:numPr>
      </w:pPr>
      <w:r>
        <w:t xml:space="preserve">Screenshots of myneighborhoodupdate.net home page, About page, FAQ, and Terms of Use (April 17, 2026)</w:t>
      </w:r>
    </w:p>
    <w:p>
      <w:pPr>
        <w:pStyle w:val="ListParagraph"/>
        <w:numPr>
          <w:ilvl w:val="0"/>
          <w:numId w:val="2"/>
        </w:numPr>
      </w:pPr>
      <w:r>
        <w:t xml:space="preserve">HTML source excerpts documenting the WCAG failures listed in Section II.B</w:t>
      </w:r>
    </w:p>
    <w:p>
      <w:pPr>
        <w:pStyle w:val="ListParagraph"/>
        <w:numPr>
          <w:ilvl w:val="0"/>
          <w:numId w:val="2"/>
        </w:numPr>
      </w:pPr>
      <w:r>
        <w:t xml:space="preserve">CSPD open data portal (policedata.coloradosprings.gov) dataset bc88-hemr metadata and disclaimer text</w:t>
      </w:r>
    </w:p>
    <w:p>
      <w:pPr>
        <w:pStyle w:val="ListParagraph"/>
        <w:numPr>
          <w:ilvl w:val="0"/>
          <w:numId w:val="2"/>
        </w:numPr>
      </w:pPr>
      <w:r>
        <w:t xml:space="preserve">Corona Solutions Terms of Use (prohibits automated access, reproduction, or re-presentation of the data)</w:t>
      </w:r>
    </w:p>
    <w:p>
      <w:pPr>
        <w:pStyle w:val="ListParagraph"/>
        <w:numPr>
          <w:ilvl w:val="0"/>
          <w:numId w:val="2"/>
        </w:numPr>
      </w:pPr>
      <w:r>
        <w:t xml:space="preserve">Public Safety Dashboard, published at [URL] — includes the completeness gauge, the Visible / Actual visualization, and Findings 9 and 10 referenced in this complaint</w:t>
      </w:r>
    </w:p>
    <w:p>
      <w:pPr>
        <w:pStyle w:val="Heading2"/>
      </w:pPr>
      <w:r>
        <w:t xml:space="preserve">VII.  Related filings and context</w:t>
      </w:r>
    </w:p>
    <w:p>
      <w:r>
        <w:t xml:space="preserve">This complaint is filed in parallel with a Colorado Open Records Act (CORA) request seeking the City of Colorado Springs’ contract with Corona Solutions, annual spend, and data-transfer agreement. The complainant has previously submitted Title II complaints and audits to the Department of Justice and the Colorado Civil Rights Division concerning related Colorado Springs and El Paso County digital accessibility issues, including the Accela Citizen Access portal and the El Paso County Sheriff’s Office crime data page. This complaint is distinct from those filings and addresses a different surface.</w:t>
      </w:r>
    </w:p>
    <w:p>
      <w:r>
        <w:t xml:space="preserve"/>
      </w:r>
    </w:p>
    <w:p>
      <w:pPr>
        <w:pBdr>
          <w:bottom w:val="single" w:color="2E75B6" w:sz="6" w:space="8"/>
        </w:pBdr>
      </w:pPr>
      <w:r>
        <w:t xml:space="preserve"/>
      </w:r>
    </w:p>
    <w:p>
      <w:r>
        <w:t xml:space="preserve">Respectfully submitted,</w:t>
      </w:r>
    </w:p>
    <w:p>
      <w:r>
        <w:t xml:space="preserve"/>
      </w:r>
    </w:p>
    <w:p>
      <w:r>
        <w:rPr>
          <w:b/>
          <w:bCs/>
        </w:rPr>
        <w:t xml:space="preserve">[COMPLAINANT NAME]</w:t>
      </w:r>
    </w:p>
    <w:p>
      <w:r>
        <w:t xml:space="preserve">[TITLE OR AFFILIATION, IF ANY]</w:t>
      </w:r>
    </w:p>
    <w:p>
      <w:r>
        <w:t xml:space="preserve">[EMAIL]  •  [PHONE]</w:t>
      </w:r>
    </w:p>
    <w:p>
      <w:r>
        <w:t xml:space="preserve">[STREET ADDRESS], [CITY], CO [ZIP]</w:t>
      </w:r>
    </w:p>
    <w:p>
      <w:r>
        <w:t xml:space="preserve"/>
      </w:r>
    </w:p>
    <w:p>
      <w:r>
        <w:rPr>
          <w:i/>
          <w:iCs/>
        </w:rPr>
        <w:t xml:space="preserve">Date: April 17, 2026</w:t>
      </w:r>
    </w:p>
    <w:p>
      <w:r>
        <w:t xml:space="preserve"/>
      </w:r>
    </w:p>
    <w:p>
      <w:r>
        <w:rPr>
          <w:i/>
          <w:iCs/>
          <w:color w:val="7A7770"/>
          <w:sz w:val="18"/>
          <w:szCs w:val="18"/>
        </w:rPr>
        <w:t xml:space="preserve">Prepared with assistance from accessibility-focused research published at cheetochopsticks.com.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B2A4A"/>
      <w:sz w:val="24"/>
      <w:szCs w:val="24"/>
    </w:rPr>
  </w:style>
  <w:style w:type="paragraph" w:styleId="Heading3">
    <w:name w:val="Heading 3"/>
    <w:basedOn w:val="Normal"/>
    <w:next w:val="Normal"/>
    <w:qFormat/>
    <w:pPr>
      <w:spacing w:after="80" w:before="240"/>
      <w:outlineLvl w:val="2"/>
    </w:pPr>
    <w:rPr>
      <w:rFonts w:ascii="Arial" w:cs="Arial" w:eastAsia="Arial" w:hAnsi="Arial"/>
      <w:b/>
      <w:bCs/>
      <w:color w:val="2A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2026-04-17T23:25:46.985Z</dcterms:created>
  <dcterms:modified xsi:type="dcterms:W3CDTF">2026-04-17T23:25:46.986Z</dcterms:modified>
</cp:coreProperties>
</file>

<file path=docProps/custom.xml><?xml version="1.0" encoding="utf-8"?>
<Properties xmlns="http://schemas.openxmlformats.org/officeDocument/2006/custom-properties" xmlns:vt="http://schemas.openxmlformats.org/officeDocument/2006/docPropsVTypes"/>
</file>