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B8410C"/>
          <w:spacing w:val="40"/>
          <w:sz w:val="18"/>
          <w:szCs w:val="18"/>
        </w:rPr>
        <w:t xml:space="preserve">WEB ACCESSIBILITY COMPLIANCE AUDIT</w:t>
      </w:r>
    </w:p>
    <w:p>
      <w:pPr>
        <w:spacing w:after="80" w:before="0"/>
      </w:pPr>
      <w:r>
        <w:rPr>
          <w:rFonts w:ascii="Calibri" w:cs="Calibri" w:eastAsia="Calibri" w:hAnsi="Calibri"/>
          <w:color w:val="595959"/>
          <w:sz w:val="22"/>
          <w:szCs w:val="22"/>
        </w:rPr>
        <w:t xml:space="preserve">Title II of the Americans with Disabilities Act</w:t>
      </w:r>
    </w:p>
    <w:p>
      <w:pPr>
        <w:spacing w:after="200" w:before="0"/>
      </w:pPr>
      <w:r>
        <w:rPr>
          <w:rFonts w:ascii="Calibri" w:cs="Calibri" w:eastAsia="Calibri" w:hAnsi="Calibri"/>
          <w:b/>
          <w:bCs/>
          <w:color w:val="1E3A5F"/>
          <w:sz w:val="40"/>
          <w:szCs w:val="40"/>
        </w:rPr>
        <w:t xml:space="preserve">Current Alerts Page — pproem.com/alerts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Audited Entity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Pikes Peak Regional Office of Emergency Management (PPROEM)</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URL Audited</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https://pproem.com/alerts</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Page Function</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Public emergency alerts and evacuation information for El Paso County and Colorado Springs</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Audit Date</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May 7, 2026</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Standard Applied</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WCAG 2.1, Levels A and AA (the technical standard adopted by the DOJ)</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Regulatory Basis</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28 CFR Part 35 (DOJ Title II Final Rule, 89 Fed. Reg. 31320, April 24, 2024)</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Compliance Deadline</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April 26, 2027 (extended from April 24, 2026 by Interim Final Rule, 91 Fed. Reg. 16793, eff. April 20, 2026)</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Days to Compliance</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354 days from the date of this report</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Prepared By</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595959"/>
                <w:sz w:val="20"/>
                <w:szCs w:val="20"/>
              </w:rPr>
              <w:t xml:space="preserve">[Auditor Name / Firm]</w:t>
            </w:r>
          </w:p>
        </w:tc>
      </w:tr>
      <w:tr>
        <w:tc>
          <w:tcPr>
            <w:tcW w:type="dxa" w:w="240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20"/>
                <w:szCs w:val="20"/>
              </w:rPr>
              <w:t xml:space="preserve">Report Version</w:t>
            </w:r>
          </w:p>
        </w:tc>
        <w:tc>
          <w:tcPr>
            <w:tcW w:type="dxa" w:w="69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1.0 — Initial Audit</w:t>
            </w:r>
          </w:p>
        </w:tc>
      </w:tr>
    </w:tbl>
    <w:p>
      <w:pPr>
        <w:spacing w:after="280" w:before="0"/>
      </w:pPr>
      <w:r>
        <w:t xml:space="preserve"/>
      </w:r>
    </w:p>
    <w:p>
      <w:pPr>
        <w:pStyle w:val="Heading1"/>
        <w:spacing w:after="180" w:before="360"/>
      </w:pPr>
      <w:r>
        <w:rPr>
          <w:rFonts w:ascii="Calibri" w:cs="Calibri" w:eastAsia="Calibri" w:hAnsi="Calibri"/>
          <w:b/>
          <w:bCs/>
          <w:color w:val="1E3A5F"/>
          <w:sz w:val="32"/>
          <w:szCs w:val="32"/>
        </w:rPr>
        <w:t xml:space="preserve">1. Executive Summary</w:t>
      </w:r>
    </w:p>
    <w:p>
      <w:pPr>
        <w:spacing w:after="60" w:before="60" w:line="300"/>
        <w:jc w:val="left"/>
      </w:pPr>
      <w:r>
        <w:rPr>
          <w:rFonts w:ascii="Calibri" w:cs="Calibri" w:eastAsia="Calibri" w:hAnsi="Calibri"/>
          <w:b w:val="false"/>
          <w:bCs w:val="false"/>
          <w:i w:val="false"/>
          <w:iCs w:val="false"/>
          <w:color w:val="1A1A1A"/>
          <w:sz w:val="22"/>
          <w:szCs w:val="22"/>
        </w:rPr>
        <w:t xml:space="preserve">This report documents the results of an accessibility audit of the Current Alerts page operated by the Pikes Peak Regional Office of Emergency Management (PPROEM) at https://pproem.com/alerts. The audit was conducted against the Web Content Accessibility Guidelines version 2.1, Levels A and AA, the technical standard adopted by the U.S. Department of Justice in its April 24, 2024 final rule implementing Title II of the Americans with Disabilities Act.</w:t>
      </w:r>
    </w:p>
    <w:p>
      <w:pPr>
        <w:spacing w:after="60" w:before="60" w:line="300"/>
        <w:jc w:val="left"/>
      </w:pPr>
      <w:r>
        <w:rPr>
          <w:rFonts w:ascii="Calibri" w:cs="Calibri" w:eastAsia="Calibri" w:hAnsi="Calibri"/>
          <w:b w:val="false"/>
          <w:bCs w:val="false"/>
          <w:i w:val="false"/>
          <w:iCs w:val="false"/>
          <w:color w:val="1A1A1A"/>
          <w:sz w:val="22"/>
          <w:szCs w:val="22"/>
        </w:rPr>
        <w:t xml:space="preserve">The audit identified fifteen accessibility issues, of which five are critical Level A failures, four are significant Level A or AA failures, and six are lower-priority advisory items. The page demonstrates several baseline accessibility strengths, including a functioning skip link, a properly declared page language, descriptive page title, and body text contrast ratios that exceed AAA thresholds. However, the page also contains structural barriers that prevent users of assistive technology from accessing emergency information — most notably, two iframe elements without accessible names and an embedded interactive map without any text-based alternative.</w:t>
      </w:r>
    </w:p>
    <w:p>
      <w:pPr>
        <w:spacing w:after="60" w:before="60" w:line="300"/>
        <w:jc w:val="left"/>
      </w:pPr>
      <w:r>
        <w:rPr>
          <w:rFonts w:ascii="Calibri" w:cs="Calibri" w:eastAsia="Calibri" w:hAnsi="Calibri"/>
          <w:b w:val="false"/>
          <w:bCs w:val="false"/>
          <w:i w:val="false"/>
          <w:iCs w:val="false"/>
          <w:color w:val="1A1A1A"/>
          <w:sz w:val="22"/>
          <w:szCs w:val="22"/>
        </w:rPr>
        <w:t xml:space="preserve">Because the Current Alerts page exists to convey life-safety information, accessibility failures on this surface carry a higher risk profile than on a typical municipal page. A blind, low-vision, or motor-impaired resident attempting to determine whether an evacuation order applies to their address cannot do so reliably with the page in its current state.</w:t>
      </w:r>
    </w:p>
    <w:p>
      <w:pPr>
        <w:pStyle w:val="Heading3"/>
        <w:spacing w:after="100" w:before="200"/>
      </w:pPr>
      <w:r>
        <w:rPr>
          <w:rFonts w:ascii="Calibri" w:cs="Calibri" w:eastAsia="Calibri" w:hAnsi="Calibri"/>
          <w:b/>
          <w:bCs/>
          <w:color w:val="1A1A1A"/>
          <w:sz w:val="22"/>
          <w:szCs w:val="22"/>
        </w:rPr>
        <w:t xml:space="preserve">Bottom Line</w:t>
      </w:r>
    </w:p>
    <w:p>
      <w:pPr>
        <w:spacing w:after="60" w:before="60" w:line="300"/>
        <w:jc w:val="left"/>
      </w:pPr>
      <w:r>
        <w:rPr>
          <w:rFonts w:ascii="Calibri" w:cs="Calibri" w:eastAsia="Calibri" w:hAnsi="Calibri"/>
          <w:b/>
          <w:bCs/>
          <w:i w:val="false"/>
          <w:iCs w:val="false"/>
          <w:color w:val="1A1A1A"/>
          <w:sz w:val="22"/>
          <w:szCs w:val="22"/>
        </w:rPr>
        <w:t xml:space="preserve">PPROEM is currently not in conformance with WCAG 2.1 Level AA. </w:t>
      </w:r>
      <w:r>
        <w:rPr>
          <w:rFonts w:ascii="Calibri" w:cs="Calibri" w:eastAsia="Calibri" w:hAnsi="Calibri"/>
          <w:color w:val="1A1A1A"/>
          <w:sz w:val="22"/>
          <w:szCs w:val="22"/>
        </w:rPr>
        <w:t xml:space="preserve">The compliance deadline applicable to this entity, as extended by the DOJ's Interim Final Rule of April 20, 2026, is </w:t>
      </w:r>
      <w:r>
        <w:rPr>
          <w:rFonts w:ascii="Calibri" w:cs="Calibri" w:eastAsia="Calibri" w:hAnsi="Calibri"/>
          <w:b/>
          <w:bCs/>
          <w:i w:val="false"/>
          <w:iCs w:val="false"/>
          <w:color w:val="1A1A1A"/>
          <w:sz w:val="22"/>
          <w:szCs w:val="22"/>
        </w:rPr>
        <w:t xml:space="preserve">April 26, 2027</w:t>
      </w:r>
      <w:r>
        <w:rPr>
          <w:rFonts w:ascii="Calibri" w:cs="Calibri" w:eastAsia="Calibri" w:hAnsi="Calibri"/>
          <w:color w:val="1A1A1A"/>
          <w:sz w:val="22"/>
          <w:szCs w:val="22"/>
        </w:rPr>
        <w:t xml:space="preserve"> — approximately 354 days from the date of this report. The findings below are remediable within that window if work begins promptly. The five critical Level A failures should be prioritized for remediation within 30 days, as several are trivial markup fixes that nonetheless block screen reader users from core page functionality.</w:t>
      </w:r>
    </w:p>
    <w:p>
      <w:pPr>
        <w:spacing w:after="100" w:before="0"/>
      </w:pPr>
      <w:r>
        <w:t xml:space="preserve"/>
      </w:r>
    </w:p>
    <w:p>
      <w:pPr>
        <w:pStyle w:val="Heading1"/>
        <w:spacing w:after="180" w:before="360"/>
      </w:pPr>
      <w:r>
        <w:rPr>
          <w:rFonts w:ascii="Calibri" w:cs="Calibri" w:eastAsia="Calibri" w:hAnsi="Calibri"/>
          <w:b/>
          <w:bCs/>
          <w:color w:val="1E3A5F"/>
          <w:sz w:val="32"/>
          <w:szCs w:val="32"/>
        </w:rPr>
        <w:t xml:space="preserve">2. Regulatory Framework</w:t>
      </w:r>
    </w:p>
    <w:p>
      <w:pPr>
        <w:pStyle w:val="Heading2"/>
        <w:spacing w:after="140" w:before="280"/>
      </w:pPr>
      <w:r>
        <w:rPr>
          <w:rFonts w:ascii="Calibri" w:cs="Calibri" w:eastAsia="Calibri" w:hAnsi="Calibri"/>
          <w:b/>
          <w:bCs/>
          <w:color w:val="1E3A5F"/>
          <w:sz w:val="26"/>
          <w:szCs w:val="26"/>
        </w:rPr>
        <w:t xml:space="preserve">2.1  Title II of the ADA</w:t>
      </w:r>
    </w:p>
    <w:p>
      <w:pPr>
        <w:spacing w:after="60" w:before="60" w:line="300"/>
        <w:jc w:val="left"/>
      </w:pPr>
      <w:r>
        <w:rPr>
          <w:rFonts w:ascii="Calibri" w:cs="Calibri" w:eastAsia="Calibri" w:hAnsi="Calibri"/>
          <w:b w:val="false"/>
          <w:bCs w:val="false"/>
          <w:i w:val="false"/>
          <w:iCs w:val="false"/>
          <w:color w:val="1A1A1A"/>
          <w:sz w:val="22"/>
          <w:szCs w:val="22"/>
        </w:rPr>
        <w:t xml:space="preserve">Title II of the Americans with Disabilities Act (42 U.S.C. § 12131 et seq.) prohibits state and local governments from discriminating against qualified individuals with disabilities in their services, programs, and activities. Federal courts and the Department of Justice have long interpreted this requirement to include accessible web content and mobile applications.</w:t>
      </w:r>
    </w:p>
    <w:p>
      <w:pPr>
        <w:pStyle w:val="Heading2"/>
        <w:spacing w:after="140" w:before="280"/>
      </w:pPr>
      <w:r>
        <w:rPr>
          <w:rFonts w:ascii="Calibri" w:cs="Calibri" w:eastAsia="Calibri" w:hAnsi="Calibri"/>
          <w:b/>
          <w:bCs/>
          <w:color w:val="1E3A5F"/>
          <w:sz w:val="26"/>
          <w:szCs w:val="26"/>
        </w:rPr>
        <w:t xml:space="preserve">2.2  The 2024 Final Rule</w:t>
      </w:r>
    </w:p>
    <w:p>
      <w:pPr>
        <w:spacing w:after="60" w:before="60" w:line="300"/>
        <w:jc w:val="left"/>
      </w:pPr>
      <w:r>
        <w:rPr>
          <w:rFonts w:ascii="Calibri" w:cs="Calibri" w:eastAsia="Calibri" w:hAnsi="Calibri"/>
          <w:b w:val="false"/>
          <w:bCs w:val="false"/>
          <w:i w:val="false"/>
          <w:iCs w:val="false"/>
          <w:color w:val="1A1A1A"/>
          <w:sz w:val="22"/>
          <w:szCs w:val="22"/>
        </w:rPr>
        <w:t xml:space="preserve">On April 24, 2024, the Department of Justice published its final rule (89 Fed. Reg. 31320) revising 28 CFR Part 35 to set explicit technical requirements for the accessibility of web content and mobile applications provided, made available, or offered by public entities. The rule adopts WCAG 2.1, Level AA as the binding technical standard. The rule applies to all web content the public entity makes available, including content provided through third parties under contract or licensing arrangement.</w:t>
      </w:r>
    </w:p>
    <w:p>
      <w:pPr>
        <w:pStyle w:val="Heading2"/>
        <w:spacing w:after="140" w:before="280"/>
      </w:pPr>
      <w:r>
        <w:rPr>
          <w:rFonts w:ascii="Calibri" w:cs="Calibri" w:eastAsia="Calibri" w:hAnsi="Calibri"/>
          <w:b/>
          <w:bCs/>
          <w:color w:val="1E3A5F"/>
          <w:sz w:val="26"/>
          <w:szCs w:val="26"/>
        </w:rPr>
        <w:t xml:space="preserve">2.3  The April 2026 Interim Final Rule (Extension of Compliance Dates)</w:t>
      </w:r>
    </w:p>
    <w:p>
      <w:pPr>
        <w:spacing w:after="60" w:before="60" w:line="300"/>
        <w:jc w:val="left"/>
      </w:pPr>
      <w:r>
        <w:rPr>
          <w:rFonts w:ascii="Calibri" w:cs="Calibri" w:eastAsia="Calibri" w:hAnsi="Calibri"/>
          <w:b w:val="false"/>
          <w:bCs w:val="false"/>
          <w:i w:val="false"/>
          <w:iCs w:val="false"/>
          <w:color w:val="1A1A1A"/>
          <w:sz w:val="22"/>
          <w:szCs w:val="22"/>
        </w:rPr>
        <w:t xml:space="preserve">On April 20, 2026 — four days before the original compliance deadline for large public entities — the Department of Justice issued an Interim Final Rule (91 Fed. Reg. 16793) extending the compliance dates by one year. The revised compliance schedule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Entity Type</w:t>
            </w:r>
          </w:p>
        </w:tc>
        <w:tc>
          <w:tcPr>
            <w:tcW w:type="dxa" w:w="234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Original Deadline</w:t>
            </w:r>
          </w:p>
        </w:tc>
        <w:tc>
          <w:tcPr>
            <w:tcW w:type="dxa" w:w="234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Revised Deadline</w:t>
            </w:r>
          </w:p>
        </w:tc>
      </w:tr>
      <w:tr>
        <w:tc>
          <w:tcPr>
            <w:tcW w:type="dxa" w:w="468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Public entities with total population of 50,000 or more</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595959"/>
                <w:sz w:val="20"/>
                <w:szCs w:val="20"/>
              </w:rPr>
              <w:t xml:space="preserve">April 24, 2026</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B8410C"/>
                <w:sz w:val="20"/>
                <w:szCs w:val="20"/>
              </w:rPr>
              <w:t xml:space="preserve">April 26, 2027</w:t>
            </w:r>
          </w:p>
        </w:tc>
      </w:tr>
      <w:tr>
        <w:tc>
          <w:tcPr>
            <w:tcW w:type="dxa" w:w="468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Public entities with total population under 50,000, and special district governments</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595959"/>
                <w:sz w:val="20"/>
                <w:szCs w:val="20"/>
              </w:rPr>
              <w:t xml:space="preserve">April 26, 2027</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B8410C"/>
                <w:sz w:val="20"/>
                <w:szCs w:val="20"/>
              </w:rPr>
              <w:t xml:space="preserve">April 26, 2028</w:t>
            </w:r>
          </w:p>
        </w:tc>
      </w:tr>
    </w:tbl>
    <w:p>
      <w:pPr>
        <w:spacing w:after="80" w:before="0"/>
      </w:pPr>
      <w:r>
        <w:t xml:space="preserve"/>
      </w:r>
    </w:p>
    <w:p>
      <w:pPr>
        <w:pStyle w:val="Heading2"/>
        <w:spacing w:after="140" w:before="280"/>
      </w:pPr>
      <w:r>
        <w:rPr>
          <w:rFonts w:ascii="Calibri" w:cs="Calibri" w:eastAsia="Calibri" w:hAnsi="Calibri"/>
          <w:b/>
          <w:bCs/>
          <w:color w:val="1E3A5F"/>
          <w:sz w:val="26"/>
          <w:szCs w:val="26"/>
        </w:rPr>
        <w:t xml:space="preserve">2.4  Application to PPROEM</w:t>
      </w:r>
    </w:p>
    <w:p>
      <w:pPr>
        <w:spacing w:after="60" w:before="60" w:line="300"/>
        <w:jc w:val="left"/>
      </w:pPr>
      <w:r>
        <w:rPr>
          <w:rFonts w:ascii="Calibri" w:cs="Calibri" w:eastAsia="Calibri" w:hAnsi="Calibri"/>
          <w:b w:val="false"/>
          <w:bCs w:val="false"/>
          <w:i w:val="false"/>
          <w:iCs w:val="false"/>
          <w:color w:val="1A1A1A"/>
          <w:sz w:val="22"/>
          <w:szCs w:val="22"/>
        </w:rPr>
        <w:t xml:space="preserve">The Pikes Peak Regional Office of Emergency Management is a public entity that serves El Paso County, Colorado, which has a 2020 decennial Census population of approximately 730,000. Because this population substantially exceeds the 50,000 threshold, PPROEM is subject to the compliance deadline applicable to large public entities.</w:t>
      </w:r>
    </w:p>
    <w:p>
      <w:pPr>
        <w:spacing w:after="60" w:before="60" w:line="300"/>
        <w:jc w:val="left"/>
      </w:pPr>
      <w:r>
        <w:rPr>
          <w:rFonts w:ascii="Calibri" w:cs="Calibri" w:eastAsia="Calibri" w:hAnsi="Calibri"/>
          <w:b/>
          <w:bCs/>
          <w:i w:val="false"/>
          <w:iCs w:val="false"/>
          <w:color w:val="1A1A1A"/>
          <w:sz w:val="22"/>
          <w:szCs w:val="22"/>
        </w:rPr>
        <w:t xml:space="preserve">Applicable compliance deadline: </w:t>
      </w:r>
      <w:r>
        <w:rPr>
          <w:rFonts w:ascii="Calibri" w:cs="Calibri" w:eastAsia="Calibri" w:hAnsi="Calibri"/>
          <w:b/>
          <w:bCs/>
          <w:i w:val="false"/>
          <w:iCs w:val="false"/>
          <w:color w:val="B8410C"/>
          <w:sz w:val="22"/>
          <w:szCs w:val="22"/>
        </w:rPr>
        <w:t xml:space="preserve">April 26, 2027.</w:t>
      </w:r>
    </w:p>
    <w:p>
      <w:pPr>
        <w:spacing w:after="60" w:before="60" w:line="300"/>
        <w:jc w:val="left"/>
      </w:pPr>
      <w:r>
        <w:rPr>
          <w:rFonts w:ascii="Calibri" w:cs="Calibri" w:eastAsia="Calibri" w:hAnsi="Calibri"/>
          <w:b w:val="false"/>
          <w:bCs w:val="false"/>
          <w:i w:val="false"/>
          <w:iCs w:val="false"/>
          <w:color w:val="1A1A1A"/>
          <w:sz w:val="22"/>
          <w:szCs w:val="22"/>
        </w:rPr>
        <w:t xml:space="preserve">This deadline applies to all web content PPROEM makes available, whether hosted directly on pproem.com, on subdomains, or embedded from third parties (including the ArcGIS Experience map and the Everbridge alert form). The DOJ has been explicit that responsibility for third-party content used to deliver public services remains with the public entity.</w:t>
      </w:r>
    </w:p>
    <w:p>
      <w:pPr>
        <w:spacing w:after="60" w:before="60" w:line="300"/>
        <w:jc w:val="left"/>
      </w:pPr>
      <w:r>
        <w:rPr>
          <w:rFonts w:ascii="Calibri" w:cs="Calibri" w:eastAsia="Calibri" w:hAnsi="Calibri"/>
          <w:b w:val="false"/>
          <w:bCs w:val="false"/>
          <w:i w:val="false"/>
          <w:iCs w:val="false"/>
          <w:color w:val="1A1A1A"/>
          <w:sz w:val="22"/>
          <w:szCs w:val="22"/>
        </w:rPr>
        <w:t xml:space="preserve">It should be noted that the original deadline of April 24, 2026 has already passed, and the Interim Final Rule's extension was issued only four days before that original deadline. PPROEM is fortunate that the IFR was issued; however, the extension does not reset the underlying expectation. The DOJ has stated explicitly that public entities should not pause accessibility work and should treat the extension as time for "efficient preparation for full compliance" rather than a delay of the obligation itself.</w:t>
      </w:r>
    </w:p>
    <w:p>
      <w:pPr>
        <w:spacing w:after="120" w:before="0"/>
      </w:pPr>
      <w:r>
        <w:t xml:space="preserve"/>
      </w:r>
    </w:p>
    <w:p>
      <w:pPr>
        <w:pStyle w:val="Heading1"/>
        <w:spacing w:after="180" w:before="360"/>
      </w:pPr>
      <w:r>
        <w:rPr>
          <w:rFonts w:ascii="Calibri" w:cs="Calibri" w:eastAsia="Calibri" w:hAnsi="Calibri"/>
          <w:b/>
          <w:bCs/>
          <w:color w:val="1E3A5F"/>
          <w:sz w:val="32"/>
          <w:szCs w:val="32"/>
        </w:rPr>
        <w:t xml:space="preserve">3. Scope and Methodology</w:t>
      </w:r>
    </w:p>
    <w:p>
      <w:pPr>
        <w:pStyle w:val="Heading2"/>
        <w:spacing w:after="140" w:before="280"/>
      </w:pPr>
      <w:r>
        <w:rPr>
          <w:rFonts w:ascii="Calibri" w:cs="Calibri" w:eastAsia="Calibri" w:hAnsi="Calibri"/>
          <w:b/>
          <w:bCs/>
          <w:color w:val="1E3A5F"/>
          <w:sz w:val="26"/>
          <w:szCs w:val="26"/>
        </w:rPr>
        <w:t xml:space="preserve">3.1  Scope</w:t>
      </w:r>
    </w:p>
    <w:p>
      <w:pPr>
        <w:spacing w:after="60" w:before="60" w:line="300"/>
        <w:jc w:val="left"/>
      </w:pPr>
      <w:r>
        <w:rPr>
          <w:rFonts w:ascii="Calibri" w:cs="Calibri" w:eastAsia="Calibri" w:hAnsi="Calibri"/>
          <w:b w:val="false"/>
          <w:bCs w:val="false"/>
          <w:i w:val="false"/>
          <w:iCs w:val="false"/>
          <w:color w:val="1A1A1A"/>
          <w:sz w:val="22"/>
          <w:szCs w:val="22"/>
        </w:rPr>
        <w:t xml:space="preserve">This audit examines the publicly accessible Current Alerts page at https://pproem.com/alerts as rendered to an unauthenticated user. The audit covers:</w:t>
      </w:r>
    </w:p>
    <w:p>
      <w:pPr>
        <w:pStyle w:val="ListParagraph"/>
        <w:numPr>
          <w:ilvl w:val="0"/>
          <w:numId w:val="2"/>
        </w:numPr>
        <w:spacing w:after="30" w:before="30" w:line="290"/>
      </w:pPr>
      <w:r>
        <w:rPr>
          <w:rFonts w:ascii="Calibri" w:cs="Calibri" w:eastAsia="Calibri" w:hAnsi="Calibri"/>
          <w:color w:val="1A1A1A"/>
          <w:sz w:val="22"/>
          <w:szCs w:val="22"/>
        </w:rPr>
        <w:t xml:space="preserve">Page structure, semantic markup, and ARIA usage</w:t>
      </w:r>
    </w:p>
    <w:p>
      <w:pPr>
        <w:pStyle w:val="ListParagraph"/>
        <w:numPr>
          <w:ilvl w:val="0"/>
          <w:numId w:val="2"/>
        </w:numPr>
        <w:spacing w:after="30" w:before="30" w:line="290"/>
      </w:pPr>
      <w:r>
        <w:rPr>
          <w:rFonts w:ascii="Calibri" w:cs="Calibri" w:eastAsia="Calibri" w:hAnsi="Calibri"/>
          <w:color w:val="1A1A1A"/>
          <w:sz w:val="22"/>
          <w:szCs w:val="22"/>
        </w:rPr>
        <w:t xml:space="preserve">Keyboard navigability of all interactive controls visible in the page markup</w:t>
      </w:r>
    </w:p>
    <w:p>
      <w:pPr>
        <w:pStyle w:val="ListParagraph"/>
        <w:numPr>
          <w:ilvl w:val="0"/>
          <w:numId w:val="2"/>
        </w:numPr>
        <w:spacing w:after="30" w:before="30" w:line="290"/>
      </w:pPr>
      <w:r>
        <w:rPr>
          <w:rFonts w:ascii="Calibri" w:cs="Calibri" w:eastAsia="Calibri" w:hAnsi="Calibri"/>
          <w:color w:val="1A1A1A"/>
          <w:sz w:val="22"/>
          <w:szCs w:val="22"/>
        </w:rPr>
        <w:t xml:space="preserve">Color contrast ratios for foreground text against page backgrounds</w:t>
      </w:r>
    </w:p>
    <w:p>
      <w:pPr>
        <w:pStyle w:val="ListParagraph"/>
        <w:numPr>
          <w:ilvl w:val="0"/>
          <w:numId w:val="2"/>
        </w:numPr>
        <w:spacing w:after="30" w:before="30" w:line="290"/>
      </w:pPr>
      <w:r>
        <w:rPr>
          <w:rFonts w:ascii="Calibri" w:cs="Calibri" w:eastAsia="Calibri" w:hAnsi="Calibri"/>
          <w:color w:val="1A1A1A"/>
          <w:sz w:val="22"/>
          <w:szCs w:val="22"/>
        </w:rPr>
        <w:t xml:space="preserve">Image alt text and decorative image marking</w:t>
      </w:r>
    </w:p>
    <w:p>
      <w:pPr>
        <w:pStyle w:val="ListParagraph"/>
        <w:numPr>
          <w:ilvl w:val="0"/>
          <w:numId w:val="2"/>
        </w:numPr>
        <w:spacing w:after="30" w:before="30" w:line="290"/>
      </w:pPr>
      <w:r>
        <w:rPr>
          <w:rFonts w:ascii="Calibri" w:cs="Calibri" w:eastAsia="Calibri" w:hAnsi="Calibri"/>
          <w:color w:val="1A1A1A"/>
          <w:sz w:val="22"/>
          <w:szCs w:val="22"/>
        </w:rPr>
        <w:t xml:space="preserve">Form labeling and input/control accessibility</w:t>
      </w:r>
    </w:p>
    <w:p>
      <w:pPr>
        <w:pStyle w:val="ListParagraph"/>
        <w:numPr>
          <w:ilvl w:val="0"/>
          <w:numId w:val="2"/>
        </w:numPr>
        <w:spacing w:after="30" w:before="30" w:line="290"/>
      </w:pPr>
      <w:r>
        <w:rPr>
          <w:rFonts w:ascii="Calibri" w:cs="Calibri" w:eastAsia="Calibri" w:hAnsi="Calibri"/>
          <w:color w:val="1A1A1A"/>
          <w:sz w:val="22"/>
          <w:szCs w:val="22"/>
        </w:rPr>
        <w:t xml:space="preserve">Embedded third-party content (ArcGIS Experience map iframe, Everbridge notification iframe)</w:t>
      </w:r>
    </w:p>
    <w:p>
      <w:pPr>
        <w:pStyle w:val="ListParagraph"/>
        <w:numPr>
          <w:ilvl w:val="0"/>
          <w:numId w:val="2"/>
        </w:numPr>
        <w:spacing w:after="30" w:before="30" w:line="290"/>
      </w:pPr>
      <w:r>
        <w:rPr>
          <w:rFonts w:ascii="Calibri" w:cs="Calibri" w:eastAsia="Calibri" w:hAnsi="Calibri"/>
          <w:color w:val="1A1A1A"/>
          <w:sz w:val="22"/>
          <w:szCs w:val="22"/>
        </w:rPr>
        <w:t xml:space="preserve">Skip-link function and landmark structure</w:t>
      </w:r>
    </w:p>
    <w:p>
      <w:pPr>
        <w:spacing w:after="60" w:before="60" w:line="300"/>
        <w:jc w:val="left"/>
      </w:pPr>
      <w:r>
        <w:rPr>
          <w:rFonts w:ascii="Calibri" w:cs="Calibri" w:eastAsia="Calibri" w:hAnsi="Calibri"/>
          <w:b w:val="false"/>
          <w:bCs w:val="false"/>
          <w:i w:val="false"/>
          <w:iCs w:val="false"/>
          <w:color w:val="1A1A1A"/>
          <w:sz w:val="22"/>
          <w:szCs w:val="22"/>
        </w:rPr>
        <w:t xml:space="preserve">The audit does not cover the internal accessibility of the embedded ArcGIS or Everbridge applications themselves beyond what can be assessed from the embed configuration. It also does not cover other pages of the pproem.com site, mobile applications, or PDF documents linked from the page.</w:t>
      </w:r>
    </w:p>
    <w:p>
      <w:pPr>
        <w:pStyle w:val="Heading2"/>
        <w:spacing w:after="140" w:before="280"/>
      </w:pPr>
      <w:r>
        <w:rPr>
          <w:rFonts w:ascii="Calibri" w:cs="Calibri" w:eastAsia="Calibri" w:hAnsi="Calibri"/>
          <w:b/>
          <w:bCs/>
          <w:color w:val="1E3A5F"/>
          <w:sz w:val="26"/>
          <w:szCs w:val="26"/>
        </w:rPr>
        <w:t xml:space="preserve">3.2  Standard Applied</w:t>
      </w:r>
    </w:p>
    <w:p>
      <w:pPr>
        <w:spacing w:after="60" w:before="60" w:line="300"/>
        <w:jc w:val="left"/>
      </w:pPr>
      <w:r>
        <w:rPr>
          <w:rFonts w:ascii="Calibri" w:cs="Calibri" w:eastAsia="Calibri" w:hAnsi="Calibri"/>
          <w:b w:val="false"/>
          <w:bCs w:val="false"/>
          <w:i w:val="false"/>
          <w:iCs w:val="false"/>
          <w:color w:val="1A1A1A"/>
          <w:sz w:val="22"/>
          <w:szCs w:val="22"/>
        </w:rPr>
        <w:t xml:space="preserve">All findings are evaluated against the Web Content Accessibility Guidelines (WCAG) version 2.1, Levels A and AA, as adopted by the DOJ at 28 CFR § 35.200. WCAG 2.1 success criteria are organized under four principles: Perceivable, Operable, Understandable, and Robust.</w:t>
      </w:r>
    </w:p>
    <w:p>
      <w:pPr>
        <w:pStyle w:val="Heading2"/>
        <w:spacing w:after="140" w:before="280"/>
      </w:pPr>
      <w:r>
        <w:rPr>
          <w:rFonts w:ascii="Calibri" w:cs="Calibri" w:eastAsia="Calibri" w:hAnsi="Calibri"/>
          <w:b/>
          <w:bCs/>
          <w:color w:val="1E3A5F"/>
          <w:sz w:val="26"/>
          <w:szCs w:val="26"/>
        </w:rPr>
        <w:t xml:space="preserve">3.3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Severity</w:t>
            </w:r>
          </w:p>
        </w:tc>
        <w:tc>
          <w:tcPr>
            <w:tcW w:type="dxa" w:w="756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Definition</w:t>
            </w:r>
          </w:p>
        </w:tc>
      </w:tr>
      <w:tr>
        <w:tc>
          <w:tcPr>
            <w:tcW w:type="dxa" w:w="1800"/>
            <w:tcBorders>
              <w:top w:val="single" w:color="D9D9D9" w:sz="4"/>
              <w:left w:val="single" w:color="D9D9D9" w:sz="4"/>
              <w:bottom w:val="single" w:color="D9D9D9" w:sz="4"/>
              <w:right w:val="single" w:color="D9D9D9" w:sz="4"/>
            </w:tcBorders>
            <w:shd w:fill="F8DCDD" w:val="clear"/>
            <w:tcMar>
              <w:top w:type="dxa" w:w="100"/>
              <w:left w:type="dxa" w:w="140"/>
              <w:bottom w:type="dxa" w:w="100"/>
              <w:right w:type="dxa" w:w="140"/>
            </w:tcMar>
            <w:vAlign w:val="center"/>
          </w:tcPr>
          <w:p>
            <w:pPr>
              <w:spacing w:after="0" w:before="0"/>
              <w:jc w:val="left"/>
            </w:pPr>
            <w:r>
              <w:rPr>
                <w:rFonts w:ascii="Calibri" w:cs="Calibri" w:eastAsia="Calibri" w:hAnsi="Calibri"/>
                <w:b/>
                <w:bCs/>
                <w:color w:val="A4161A"/>
                <w:sz w:val="20"/>
                <w:szCs w:val="20"/>
              </w:rPr>
              <w:t xml:space="preserve">Critical</w:t>
            </w:r>
          </w:p>
        </w:tc>
        <w:tc>
          <w:tcPr>
            <w:tcW w:type="dxa" w:w="75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WCAG Level A failure that prevents a class of users (typically screen reader, keyboard-only, or low-vision users) from accessing core page content or function. Likely actionable under DOJ enforcement or private litigation. Must be remediated.</w:t>
            </w:r>
          </w:p>
        </w:tc>
      </w:tr>
      <w:tr>
        <w:tc>
          <w:tcPr>
            <w:tcW w:type="dxa" w:w="1800"/>
            <w:tcBorders>
              <w:top w:val="single" w:color="D9D9D9" w:sz="4"/>
              <w:left w:val="single" w:color="D9D9D9" w:sz="4"/>
              <w:bottom w:val="single" w:color="D9D9D9" w:sz="4"/>
              <w:right w:val="single" w:color="D9D9D9" w:sz="4"/>
            </w:tcBorders>
            <w:shd w:fill="FCEAD9" w:val="clear"/>
            <w:tcMar>
              <w:top w:type="dxa" w:w="100"/>
              <w:left w:type="dxa" w:w="140"/>
              <w:bottom w:type="dxa" w:w="100"/>
              <w:right w:type="dxa" w:w="140"/>
            </w:tcMar>
            <w:vAlign w:val="center"/>
          </w:tcPr>
          <w:p>
            <w:pPr>
              <w:spacing w:after="0" w:before="0"/>
              <w:jc w:val="left"/>
            </w:pPr>
            <w:r>
              <w:rPr>
                <w:rFonts w:ascii="Calibri" w:cs="Calibri" w:eastAsia="Calibri" w:hAnsi="Calibri"/>
                <w:b/>
                <w:bCs/>
                <w:color w:val="C2410C"/>
                <w:sz w:val="20"/>
                <w:szCs w:val="20"/>
              </w:rPr>
              <w:t xml:space="preserve">Significant</w:t>
            </w:r>
          </w:p>
        </w:tc>
        <w:tc>
          <w:tcPr>
            <w:tcW w:type="dxa" w:w="75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WCAG Level AA failure or Level A failure that meaningfully degrades the user experience for assistive-technology users without fully blocking access. Required for conformance and must be remediated to meet the DOJ rule.</w:t>
            </w:r>
          </w:p>
        </w:tc>
      </w:tr>
      <w:tr>
        <w:tc>
          <w:tcPr>
            <w:tcW w:type="dxa" w:w="1800"/>
            <w:tcBorders>
              <w:top w:val="single" w:color="D9D9D9" w:sz="4"/>
              <w:left w:val="single" w:color="D9D9D9" w:sz="4"/>
              <w:bottom w:val="single" w:color="D9D9D9" w:sz="4"/>
              <w:right w:val="single" w:color="D9D9D9" w:sz="4"/>
            </w:tcBorders>
            <w:shd w:fill="FAF1DA" w:val="clear"/>
            <w:tcMar>
              <w:top w:type="dxa" w:w="100"/>
              <w:left w:type="dxa" w:w="140"/>
              <w:bottom w:type="dxa" w:w="100"/>
              <w:right w:type="dxa" w:w="140"/>
            </w:tcMar>
            <w:vAlign w:val="center"/>
          </w:tcPr>
          <w:p>
            <w:pPr>
              <w:spacing w:after="0" w:before="0"/>
              <w:jc w:val="left"/>
            </w:pPr>
            <w:r>
              <w:rPr>
                <w:rFonts w:ascii="Calibri" w:cs="Calibri" w:eastAsia="Calibri" w:hAnsi="Calibri"/>
                <w:b/>
                <w:bCs/>
                <w:color w:val="A37000"/>
                <w:sz w:val="20"/>
                <w:szCs w:val="20"/>
              </w:rPr>
              <w:t xml:space="preserve">Advisory</w:t>
            </w:r>
          </w:p>
        </w:tc>
        <w:tc>
          <w:tcPr>
            <w:tcW w:type="dxa" w:w="75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20"/>
                <w:szCs w:val="20"/>
              </w:rPr>
              <w:t xml:space="preserve">Best-practice item or minor defect that is not strictly required for WCAG 2.1 AA conformance but reflects accessibility hygiene and reduces enforcement risk.</w:t>
            </w:r>
          </w:p>
        </w:tc>
      </w:tr>
    </w:tbl>
    <w:p>
      <w:pPr>
        <w:spacing w:after="120" w:before="0"/>
      </w:pPr>
      <w:r>
        <w:t xml:space="preserve"/>
      </w:r>
    </w:p>
    <w:p>
      <w:pPr>
        <w:pStyle w:val="Heading1"/>
        <w:spacing w:after="180" w:before="360"/>
      </w:pPr>
      <w:r>
        <w:rPr>
          <w:rFonts w:ascii="Calibri" w:cs="Calibri" w:eastAsia="Calibri" w:hAnsi="Calibri"/>
          <w:b/>
          <w:bCs/>
          <w:color w:val="1E3A5F"/>
          <w:sz w:val="32"/>
          <w:szCs w:val="32"/>
        </w:rPr>
        <w:t xml:space="preserve">4. Conformance Strengths</w:t>
      </w:r>
    </w:p>
    <w:p>
      <w:pPr>
        <w:spacing w:after="60" w:before="60" w:line="300"/>
        <w:jc w:val="left"/>
      </w:pPr>
      <w:r>
        <w:rPr>
          <w:rFonts w:ascii="Calibri" w:cs="Calibri" w:eastAsia="Calibri" w:hAnsi="Calibri"/>
          <w:b w:val="false"/>
          <w:bCs w:val="false"/>
          <w:i w:val="false"/>
          <w:iCs w:val="false"/>
          <w:color w:val="1A1A1A"/>
          <w:sz w:val="22"/>
          <w:szCs w:val="22"/>
        </w:rPr>
        <w:t xml:space="preserve">Before detailing the failures, this audit recognizes the following accessibility features that the page implements correctly. These should be preserved in any remediation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1460"/>
      </w:tblGrid>
      <w:tr>
        <w:trPr>
          <w:tblHeader/>
        </w:trPr>
        <w:tc>
          <w:tcPr>
            <w:tcW w:type="dxa" w:w="260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Strength</w:t>
            </w:r>
          </w:p>
        </w:tc>
        <w:tc>
          <w:tcPr>
            <w:tcW w:type="dxa" w:w="530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Description</w:t>
            </w:r>
          </w:p>
        </w:tc>
        <w:tc>
          <w:tcPr>
            <w:tcW w:type="dxa" w:w="146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Criterion</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Page language declared</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&lt;html lang="en"&gt; is set, allowing screen readers to apply correct pronunciation rules.</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3.1.1</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Descriptive page title</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"Current Alerts | Pikes Peak Regional Emergency Management" identifies both page and site.</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2.4.2</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Skip link present</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A "Skip to main content" link targets #main-content, allowing keyboard users to bypass navigation.</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2.4.1</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Main landmark present</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A &lt;main&gt; element is used, providing a programmatic landmark.</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1.3.6</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Breadcrumb labeled</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The breadcrumb &lt;nav&gt; carries aria-label="breadcrumb".</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2.4.8</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Body text contrast</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Body text (#212529 on #FFFFFF) measures 15.43:1 — exceeds AAA (7:1).</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1.4.6</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Brand color contrast</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Brand blue (#044D86) on white measures 8.71:1 — exceeds AAA (7:1).</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1.4.6</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Viewport allows scaling</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&lt;meta name="viewport" initial-scale=1.0&gt; permits user zoom.</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1.4.4</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No autoplay media</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No video or audio plays automatically on load.</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1.4.2</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All images have alt</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Every &lt;img&gt; element has an alt attribute (though some require review for accuracy).</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1.1.1</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No positive tabindex</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No tabindex values greater than 0 are used, preserving natural tab order.</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2.4.3</w:t>
            </w:r>
          </w:p>
        </w:tc>
      </w:tr>
      <w:tr>
        <w:tc>
          <w:tcPr>
            <w:tcW w:type="dxa" w:w="2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9"/>
                <w:szCs w:val="19"/>
              </w:rPr>
              <w:t xml:space="preserve">Live region present</w:t>
            </w:r>
          </w:p>
        </w:tc>
        <w:tc>
          <w:tcPr>
            <w:tcW w:type="dxa" w:w="53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An aria-live region exists for dynamic content updates.</w:t>
            </w:r>
          </w:p>
        </w:tc>
        <w:tc>
          <w:tcPr>
            <w:tcW w:type="dxa" w:w="146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2D7A4E"/>
                <w:sz w:val="18"/>
                <w:szCs w:val="18"/>
              </w:rPr>
              <w:t xml:space="preserve">WCAG 4.1.3</w:t>
            </w:r>
          </w:p>
        </w:tc>
      </w:tr>
    </w:tbl>
    <w:p>
      <w:pPr>
        <w:spacing w:after="120" w:before="0"/>
      </w:pPr>
      <w:r>
        <w:t xml:space="preserve"/>
      </w:r>
    </w:p>
    <w:p>
      <w:r>
        <w:br w:type="page"/>
      </w:r>
    </w:p>
    <w:p>
      <w:pPr>
        <w:pStyle w:val="Heading1"/>
        <w:spacing w:after="180" w:before="360"/>
      </w:pPr>
      <w:r>
        <w:rPr>
          <w:rFonts w:ascii="Calibri" w:cs="Calibri" w:eastAsia="Calibri" w:hAnsi="Calibri"/>
          <w:b/>
          <w:bCs/>
          <w:color w:val="1E3A5F"/>
          <w:sz w:val="32"/>
          <w:szCs w:val="32"/>
        </w:rPr>
        <w:t xml:space="preserve">5. Findings Summary</w:t>
      </w:r>
    </w:p>
    <w:p>
      <w:pPr>
        <w:spacing w:after="60" w:before="60" w:line="300"/>
        <w:jc w:val="left"/>
      </w:pPr>
      <w:r>
        <w:rPr>
          <w:rFonts w:ascii="Calibri" w:cs="Calibri" w:eastAsia="Calibri" w:hAnsi="Calibri"/>
          <w:b w:val="false"/>
          <w:bCs w:val="false"/>
          <w:i w:val="false"/>
          <w:iCs w:val="false"/>
          <w:color w:val="1A1A1A"/>
          <w:sz w:val="22"/>
          <w:szCs w:val="22"/>
        </w:rPr>
        <w:t xml:space="preserve">Fifteen findings are identified in this audit. The table below summarizes them in priority order. Detailed descriptions, WCAG citations, and remediation guidance for each finding follow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700"/>
        <w:gridCol w:w="800"/>
        <w:gridCol w:w="1760"/>
      </w:tblGrid>
      <w:tr>
        <w:trPr>
          <w:tblHeader/>
        </w:trPr>
        <w:tc>
          <w:tcPr>
            <w:tcW w:type="dxa" w:w="60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w:t>
            </w:r>
          </w:p>
        </w:tc>
        <w:tc>
          <w:tcPr>
            <w:tcW w:type="dxa" w:w="450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0"/>
                <w:szCs w:val="20"/>
              </w:rPr>
              <w:t xml:space="preserve">Finding</w:t>
            </w:r>
          </w:p>
        </w:tc>
        <w:tc>
          <w:tcPr>
            <w:tcW w:type="dxa" w:w="170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WCAG SC</w:t>
            </w:r>
          </w:p>
        </w:tc>
        <w:tc>
          <w:tcPr>
            <w:tcW w:type="dxa" w:w="80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Level</w:t>
            </w:r>
          </w:p>
        </w:tc>
        <w:tc>
          <w:tcPr>
            <w:tcW w:type="dxa" w:w="1760"/>
            <w:tcBorders>
              <w:top w:val="single" w:color="D9D9D9" w:sz="4"/>
              <w:left w:val="single" w:color="D9D9D9" w:sz="4"/>
              <w:bottom w:val="single" w:color="D9D9D9" w:sz="4"/>
              <w:right w:val="single" w:color="D9D9D9" w:sz="4"/>
            </w:tcBorders>
            <w:shd w:fill="1E3A5F"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Severity</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1</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Two iframes lack title attributes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4.1.2</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8DCDD"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4161A"/>
                <w:sz w:val="19"/>
                <w:szCs w:val="19"/>
              </w:rPr>
              <w:t xml:space="preserve">Critical</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2</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Logo home links lack clear accessible name</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2.4.4, 4.1.2</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8DCDD"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4161A"/>
                <w:sz w:val="19"/>
                <w:szCs w:val="19"/>
              </w:rPr>
              <w:t xml:space="preserve">Critical</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3</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Menu button missing aria-expanded and aria-controls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4.1.2</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8DCDD"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4161A"/>
                <w:sz w:val="19"/>
                <w:szCs w:val="19"/>
              </w:rPr>
              <w:t xml:space="preserve">Critical</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4</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Multiple unlabeled &lt;nav&gt; landmarks</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1.3.6, 2.4.6</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AA</w:t>
            </w:r>
          </w:p>
        </w:tc>
        <w:tc>
          <w:tcPr>
            <w:tcW w:type="dxa" w:w="1760"/>
            <w:tcBorders>
              <w:top w:val="single" w:color="D9D9D9" w:sz="4"/>
              <w:left w:val="single" w:color="D9D9D9" w:sz="4"/>
              <w:bottom w:val="single" w:color="D9D9D9" w:sz="4"/>
              <w:right w:val="single" w:color="D9D9D9" w:sz="4"/>
            </w:tcBorders>
            <w:shd w:fill="F8DCDD"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4161A"/>
                <w:sz w:val="19"/>
                <w:szCs w:val="19"/>
              </w:rPr>
              <w:t xml:space="preserve">Critical</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5</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Empty visually-hidden navigation label span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4.1.2</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8DCDD"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4161A"/>
                <w:sz w:val="19"/>
                <w:szCs w:val="19"/>
              </w:rPr>
              <w:t xml:space="preserve">Critical</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6</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Translate toggle uses &lt;a&gt; styled as button</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4.1.2</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CEAD9"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C2410C"/>
                <w:sz w:val="19"/>
                <w:szCs w:val="19"/>
              </w:rPr>
              <w:t xml:space="preserve">Significant</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7</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Language selector lacks visible label</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1.3.1, 3.3.2</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CEAD9"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C2410C"/>
                <w:sz w:val="19"/>
                <w:szCs w:val="19"/>
              </w:rPr>
              <w:t xml:space="preserve">Significant</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11</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Map has no accessible text alternative</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1.1.1, 2.1.1</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CEAD9"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C2410C"/>
                <w:sz w:val="19"/>
                <w:szCs w:val="19"/>
              </w:rPr>
              <w:t xml:space="preserve">Significant</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12</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Third-party iframe accessibility unknown + no title</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4.1.2</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CEAD9"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C2410C"/>
                <w:sz w:val="19"/>
                <w:szCs w:val="19"/>
              </w:rPr>
              <w:t xml:space="preserve">Significant</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8</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No &lt;meta name="description"&gt; tag</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w:t>
            </w:r>
          </w:p>
        </w:tc>
        <w:tc>
          <w:tcPr>
            <w:tcW w:type="dxa" w:w="1760"/>
            <w:tcBorders>
              <w:top w:val="single" w:color="D9D9D9" w:sz="4"/>
              <w:left w:val="single" w:color="D9D9D9" w:sz="4"/>
              <w:bottom w:val="single" w:color="D9D9D9" w:sz="4"/>
              <w:right w:val="single" w:color="D9D9D9" w:sz="4"/>
            </w:tcBorders>
            <w:shd w:fill="FAF1D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37000"/>
                <w:sz w:val="19"/>
                <w:szCs w:val="19"/>
              </w:rPr>
              <w:t xml:space="preserve">Advisory</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9</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Redundant role="navigation" on &lt;nav&gt;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w:t>
            </w:r>
          </w:p>
        </w:tc>
        <w:tc>
          <w:tcPr>
            <w:tcW w:type="dxa" w:w="1760"/>
            <w:tcBorders>
              <w:top w:val="single" w:color="D9D9D9" w:sz="4"/>
              <w:left w:val="single" w:color="D9D9D9" w:sz="4"/>
              <w:bottom w:val="single" w:color="D9D9D9" w:sz="4"/>
              <w:right w:val="single" w:color="D9D9D9" w:sz="4"/>
            </w:tcBorders>
            <w:shd w:fill="FAF1D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37000"/>
                <w:sz w:val="19"/>
                <w:szCs w:val="19"/>
              </w:rPr>
              <w:t xml:space="preserve">Advisory</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10</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Skip target uses clipped &lt;a&gt; instead of &lt;div&gt;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w:t>
            </w:r>
          </w:p>
        </w:tc>
        <w:tc>
          <w:tcPr>
            <w:tcW w:type="dxa" w:w="1760"/>
            <w:tcBorders>
              <w:top w:val="single" w:color="D9D9D9" w:sz="4"/>
              <w:left w:val="single" w:color="D9D9D9" w:sz="4"/>
              <w:bottom w:val="single" w:color="D9D9D9" w:sz="4"/>
              <w:right w:val="single" w:color="D9D9D9" w:sz="4"/>
            </w:tcBorders>
            <w:shd w:fill="FAF1D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37000"/>
                <w:sz w:val="19"/>
                <w:szCs w:val="19"/>
              </w:rPr>
              <w:t xml:space="preserve">Advisory</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13</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Decorative images may have redundant alt text</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1.1.1</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w:t>
            </w:r>
          </w:p>
        </w:tc>
        <w:tc>
          <w:tcPr>
            <w:tcW w:type="dxa" w:w="1760"/>
            <w:tcBorders>
              <w:top w:val="single" w:color="D9D9D9" w:sz="4"/>
              <w:left w:val="single" w:color="D9D9D9" w:sz="4"/>
              <w:bottom w:val="single" w:color="D9D9D9" w:sz="4"/>
              <w:right w:val="single" w:color="D9D9D9" w:sz="4"/>
            </w:tcBorders>
            <w:shd w:fill="FAF1D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37000"/>
                <w:sz w:val="19"/>
                <w:szCs w:val="19"/>
              </w:rPr>
              <w:t xml:space="preserve">Advisory</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14</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"Open in New Window" link gives no warning</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3.2.5</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AAA</w:t>
            </w:r>
          </w:p>
        </w:tc>
        <w:tc>
          <w:tcPr>
            <w:tcW w:type="dxa" w:w="1760"/>
            <w:tcBorders>
              <w:top w:val="single" w:color="D9D9D9" w:sz="4"/>
              <w:left w:val="single" w:color="D9D9D9" w:sz="4"/>
              <w:bottom w:val="single" w:color="D9D9D9" w:sz="4"/>
              <w:right w:val="single" w:color="D9D9D9" w:sz="4"/>
            </w:tcBorders>
            <w:shd w:fill="FAF1D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37000"/>
                <w:sz w:val="19"/>
                <w:szCs w:val="19"/>
              </w:rPr>
              <w:t xml:space="preserve">Advisory</w:t>
            </w:r>
          </w:p>
        </w:tc>
      </w:tr>
      <w:tr>
        <w:tc>
          <w:tcPr>
            <w:tcW w:type="dxa" w:w="6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15</w:t>
            </w:r>
          </w:p>
        </w:tc>
        <w:tc>
          <w:tcPr>
            <w:tcW w:type="dxa" w:w="45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9"/>
                <w:szCs w:val="19"/>
              </w:rPr>
              <w:t xml:space="preserve">&lt;article&gt; element unlabeled</w:t>
            </w:r>
          </w:p>
        </w:tc>
        <w:tc>
          <w:tcPr>
            <w:tcW w:type="dxa" w:w="17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val="false"/>
                <w:bCs w:val="false"/>
                <w:color w:val="1A1A1A"/>
                <w:sz w:val="19"/>
                <w:szCs w:val="19"/>
              </w:rPr>
              <w:t xml:space="preserve">—</w:t>
            </w:r>
          </w:p>
        </w:tc>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A1A1A"/>
                <w:sz w:val="19"/>
                <w:szCs w:val="19"/>
              </w:rPr>
              <w:t xml:space="preserve">—</w:t>
            </w:r>
          </w:p>
        </w:tc>
        <w:tc>
          <w:tcPr>
            <w:tcW w:type="dxa" w:w="1760"/>
            <w:tcBorders>
              <w:top w:val="single" w:color="D9D9D9" w:sz="4"/>
              <w:left w:val="single" w:color="D9D9D9" w:sz="4"/>
              <w:bottom w:val="single" w:color="D9D9D9" w:sz="4"/>
              <w:right w:val="single" w:color="D9D9D9" w:sz="4"/>
            </w:tcBorders>
            <w:shd w:fill="FAF1D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A37000"/>
                <w:sz w:val="19"/>
                <w:szCs w:val="19"/>
              </w:rPr>
              <w:t xml:space="preserve">Advisory</w:t>
            </w:r>
          </w:p>
        </w:tc>
      </w:tr>
    </w:tbl>
    <w:p>
      <w:pPr>
        <w:spacing w:after="120" w:before="0"/>
      </w:pPr>
      <w:r>
        <w:t xml:space="preserve"/>
      </w:r>
    </w:p>
    <w:p>
      <w:r>
        <w:br w:type="page"/>
      </w:r>
    </w:p>
    <w:p>
      <w:pPr>
        <w:pStyle w:val="Heading1"/>
        <w:spacing w:after="180" w:before="360"/>
      </w:pPr>
      <w:r>
        <w:rPr>
          <w:rFonts w:ascii="Calibri" w:cs="Calibri" w:eastAsia="Calibri" w:hAnsi="Calibri"/>
          <w:b/>
          <w:bCs/>
          <w:color w:val="1E3A5F"/>
          <w:sz w:val="32"/>
          <w:szCs w:val="32"/>
        </w:rPr>
        <w:t xml:space="preserve">6. Detailed Findings</w:t>
      </w:r>
    </w:p>
    <w:p>
      <w:pPr>
        <w:pStyle w:val="Heading2"/>
        <w:spacing w:after="140" w:before="280"/>
      </w:pPr>
      <w:r>
        <w:rPr>
          <w:rFonts w:ascii="Calibri" w:cs="Calibri" w:eastAsia="Calibri" w:hAnsi="Calibri"/>
          <w:b/>
          <w:bCs/>
          <w:color w:val="1E3A5F"/>
          <w:sz w:val="26"/>
          <w:szCs w:val="26"/>
        </w:rPr>
        <w:t xml:space="preserve">6.1  Critical Findings (Level A Failures)</w:t>
      </w:r>
    </w:p>
    <w:p>
      <w:pPr>
        <w:spacing w:after="60" w:before="60" w:line="300"/>
        <w:jc w:val="left"/>
      </w:pPr>
      <w:r>
        <w:rPr>
          <w:rFonts w:ascii="Calibri" w:cs="Calibri" w:eastAsia="Calibri" w:hAnsi="Calibri"/>
          <w:b w:val="false"/>
          <w:bCs w:val="false"/>
          <w:i w:val="false"/>
          <w:iCs w:val="false"/>
          <w:color w:val="1A1A1A"/>
          <w:sz w:val="22"/>
          <w:szCs w:val="22"/>
        </w:rPr>
        <w:t xml:space="preserve">These findings represent failures against WCAG 2.1 Level A success criteria. Each blocks or substantially impedes a class of users from accessing the page. All must be remediated to achieve conformance with the DOJ rule, and all should be prioritized for the first remediation sprint.</w:t>
      </w:r>
    </w:p>
    <w:p>
      <w:pPr>
        <w:spacing w:after="100" w:before="320"/>
      </w:pPr>
      <w:r>
        <w:rPr>
          <w:rFonts w:ascii="Calibri" w:cs="Calibri" w:eastAsia="Calibri" w:hAnsi="Calibri"/>
          <w:b/>
          <w:bCs/>
          <w:color w:val="595959"/>
          <w:sz w:val="24"/>
          <w:szCs w:val="24"/>
        </w:rPr>
        <w:t xml:space="preserve">Finding 1  ·  </w:t>
      </w:r>
      <w:r>
        <w:rPr>
          <w:rFonts w:ascii="Calibri" w:cs="Calibri" w:eastAsia="Calibri" w:hAnsi="Calibri"/>
          <w:b/>
          <w:bCs/>
          <w:color w:val="1E3A5F"/>
          <w:sz w:val="24"/>
          <w:szCs w:val="24"/>
        </w:rPr>
        <w:t xml:space="preserve">Two iframe elements lack title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4161A"/>
                <w:sz w:val="18"/>
                <w:szCs w:val="18"/>
              </w:rPr>
              <w:t xml:space="preserve">Critical</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4.1.2 (Name, Role, Value)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page contains two &lt;iframe&gt; elements that lack the required title attribute: the embedded ArcGIS Experience alerts map (sourced from experience.arcgis.com) and the embedded Everbridge alert notifications form (sourced from member.everbridge.net). The title attribute is the only mechanism by which screen readers can identify the purpose of an iframe to the user.</w:t>
      </w:r>
    </w:p>
    <w:p>
      <w:pPr>
        <w:spacing w:after="60" w:before="60" w:line="300"/>
        <w:jc w:val="left"/>
      </w:pPr>
      <w:r>
        <w:rPr>
          <w:rFonts w:ascii="Calibri" w:cs="Calibri" w:eastAsia="Calibri" w:hAnsi="Calibri"/>
          <w:b w:val="false"/>
          <w:bCs w:val="false"/>
          <w:i w:val="false"/>
          <w:iCs w:val="false"/>
          <w:color w:val="1A1A1A"/>
          <w:sz w:val="22"/>
          <w:szCs w:val="22"/>
        </w:rPr>
        <w:t xml:space="preserve">Without a title, a screen reader announces the iframe simply as "frame" or by its src URL, leaving the user with no information about what the iframe contains. On an emergency-information page, this means the user cannot tell that the embedded content is the active alerts map or the alert subscription form.</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Add a descriptive title attribute to each iframe element. Recommended values:</w:t>
      </w:r>
    </w:p>
    <w:p>
      <w:pPr>
        <w:spacing w:after="60" w:before="60" w:line="300"/>
        <w:jc w:val="left"/>
      </w:pPr>
      <w:r>
        <w:rPr>
          <w:rFonts w:ascii="Calibri" w:cs="Calibri" w:eastAsia="Calibri" w:hAnsi="Calibri"/>
          <w:b w:val="false"/>
          <w:bCs w:val="false"/>
          <w:i w:val="false"/>
          <w:iCs w:val="false"/>
          <w:color w:val="1A1A1A"/>
          <w:sz w:val="22"/>
          <w:szCs w:val="22"/>
        </w:rPr>
        <w:t xml:space="preserve">    • ArcGIS map iframe: title="Current emergency alerts map for El Paso County"</w:t>
      </w:r>
    </w:p>
    <w:p>
      <w:pPr>
        <w:spacing w:after="60" w:before="60" w:line="300"/>
        <w:jc w:val="left"/>
      </w:pPr>
      <w:r>
        <w:rPr>
          <w:rFonts w:ascii="Calibri" w:cs="Calibri" w:eastAsia="Calibri" w:hAnsi="Calibri"/>
          <w:b w:val="false"/>
          <w:bCs w:val="false"/>
          <w:i w:val="false"/>
          <w:iCs w:val="false"/>
          <w:color w:val="1A1A1A"/>
          <w:sz w:val="22"/>
          <w:szCs w:val="22"/>
        </w:rPr>
        <w:t xml:space="preserve">    • Everbridge form iframe: title="Subscribe to emergency alert notifications"</w:t>
      </w:r>
    </w:p>
    <w:p>
      <w:pPr>
        <w:spacing w:after="60" w:before="60" w:line="300"/>
        <w:jc w:val="left"/>
      </w:pPr>
      <w:r>
        <w:rPr>
          <w:rFonts w:ascii="Calibri" w:cs="Calibri" w:eastAsia="Calibri" w:hAnsi="Calibri"/>
          <w:b w:val="false"/>
          <w:bCs w:val="false"/>
          <w:i w:val="false"/>
          <w:iCs w:val="false"/>
          <w:color w:val="1A1A1A"/>
          <w:sz w:val="22"/>
          <w:szCs w:val="22"/>
        </w:rPr>
        <w:t xml:space="preserve">Titles should describe the iframe's purpose, not its source. Avoid generic values such as "map" or "form".</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2  ·  </w:t>
      </w:r>
      <w:r>
        <w:rPr>
          <w:rFonts w:ascii="Calibri" w:cs="Calibri" w:eastAsia="Calibri" w:hAnsi="Calibri"/>
          <w:b/>
          <w:bCs/>
          <w:color w:val="1E3A5F"/>
          <w:sz w:val="24"/>
          <w:szCs w:val="24"/>
        </w:rPr>
        <w:t xml:space="preserve">Logo home links lack a clear accessible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4161A"/>
                <w:sz w:val="18"/>
                <w:szCs w:val="18"/>
              </w:rPr>
              <w:t xml:space="preserve">Critical</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2.4.4 (Link Purpose), 4.1.2 (Name, Role, Value)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page contains two image-only links to the homepage. The first uses alt="Home" on its image, which produces a usable accessible name. The second uses alt="Pikes Peak Regional Emergency Management" — which describes the organization but does not communicate that the link's purpose is to navigate to the homepage. A third link with the visible text "Home" exists separately, creating three home-navigation paths that screen reader users encounter sequentially with inconsistent labeling.</w:t>
      </w:r>
    </w:p>
    <w:p>
      <w:pPr>
        <w:spacing w:after="60" w:before="60" w:line="300"/>
        <w:jc w:val="left"/>
      </w:pPr>
      <w:r>
        <w:rPr>
          <w:rFonts w:ascii="Calibri" w:cs="Calibri" w:eastAsia="Calibri" w:hAnsi="Calibri"/>
          <w:b w:val="false"/>
          <w:bCs w:val="false"/>
          <w:i w:val="false"/>
          <w:iCs w:val="false"/>
          <w:color w:val="1A1A1A"/>
          <w:sz w:val="22"/>
          <w:szCs w:val="22"/>
        </w:rPr>
        <w:t xml:space="preserve">This duplication causes cognitive load and confusion for assistive-technology users, who hear three different links that all do the same thing but appear to be unrelated.</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Consolidate to a single home logo link, or at minimum apply an explicit aria-label to each instance so the link's purpose is unambiguous: aria-label="Pikes Peak Regional Emergency Management — homepage".</w:t>
      </w:r>
    </w:p>
    <w:p>
      <w:pPr>
        <w:spacing w:after="60" w:before="60" w:line="300"/>
        <w:jc w:val="left"/>
      </w:pPr>
      <w:r>
        <w:rPr>
          <w:rFonts w:ascii="Calibri" w:cs="Calibri" w:eastAsia="Calibri" w:hAnsi="Calibri"/>
          <w:b w:val="false"/>
          <w:bCs w:val="false"/>
          <w:i w:val="false"/>
          <w:iCs w:val="false"/>
          <w:color w:val="1A1A1A"/>
          <w:sz w:val="22"/>
          <w:szCs w:val="22"/>
        </w:rPr>
        <w:t xml:space="preserve">Where possible, remove the redundant home links so only one path to the homepage exists in the document order.</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3  ·  </w:t>
      </w:r>
      <w:r>
        <w:rPr>
          <w:rFonts w:ascii="Calibri" w:cs="Calibri" w:eastAsia="Calibri" w:hAnsi="Calibri"/>
          <w:b/>
          <w:bCs/>
          <w:color w:val="1E3A5F"/>
          <w:sz w:val="24"/>
          <w:szCs w:val="24"/>
        </w:rPr>
        <w:t xml:space="preserve">Menu button missing aria-expanded and aria-controls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4161A"/>
                <w:sz w:val="18"/>
                <w:szCs w:val="18"/>
              </w:rPr>
              <w:t xml:space="preserve">Critical</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4.1.2 (Name, Role, Value)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hamburger menu button (aria-label="Open Main Menu") is a disclosure control that toggles a navigation menu, but it does not expose its expanded/collapsed state through aria-expanded, and it does not identify the menu it controls through aria-controls.</w:t>
      </w:r>
    </w:p>
    <w:p>
      <w:pPr>
        <w:spacing w:after="60" w:before="60" w:line="300"/>
        <w:jc w:val="left"/>
      </w:pPr>
      <w:r>
        <w:rPr>
          <w:rFonts w:ascii="Calibri" w:cs="Calibri" w:eastAsia="Calibri" w:hAnsi="Calibri"/>
          <w:b w:val="false"/>
          <w:bCs w:val="false"/>
          <w:i w:val="false"/>
          <w:iCs w:val="false"/>
          <w:color w:val="1A1A1A"/>
          <w:sz w:val="22"/>
          <w:szCs w:val="22"/>
        </w:rPr>
        <w:t xml:space="preserve">Screen reader users cannot determine whether activating the button will open or close the menu, nor can they programmatically locate the menu element being controlled. This is a baseline expectation for any disclosure widget.</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Add the following attributes to the menu button:</w:t>
      </w:r>
    </w:p>
    <w:p>
      <w:pPr>
        <w:spacing w:after="60" w:before="60" w:line="300"/>
        <w:jc w:val="left"/>
      </w:pPr>
      <w:r>
        <w:rPr>
          <w:rFonts w:ascii="Calibri" w:cs="Calibri" w:eastAsia="Calibri" w:hAnsi="Calibri"/>
          <w:b w:val="false"/>
          <w:bCs w:val="false"/>
          <w:i w:val="false"/>
          <w:iCs w:val="false"/>
          <w:color w:val="1A1A1A"/>
          <w:sz w:val="22"/>
          <w:szCs w:val="22"/>
        </w:rPr>
        <w:t xml:space="preserve">    • aria-expanded="false" by default, toggled to "true" when the menu is open. JavaScript controlling the menu must update this attribute on each state change.</w:t>
      </w:r>
    </w:p>
    <w:p>
      <w:pPr>
        <w:spacing w:after="60" w:before="60" w:line="300"/>
        <w:jc w:val="left"/>
      </w:pPr>
      <w:r>
        <w:rPr>
          <w:rFonts w:ascii="Calibri" w:cs="Calibri" w:eastAsia="Calibri" w:hAnsi="Calibri"/>
          <w:b w:val="false"/>
          <w:bCs w:val="false"/>
          <w:i w:val="false"/>
          <w:iCs w:val="false"/>
          <w:color w:val="1A1A1A"/>
          <w:sz w:val="22"/>
          <w:szCs w:val="22"/>
        </w:rPr>
        <w:t xml:space="preserve">    • aria-controls="[id-of-menu-element]" pointing to the id of the menu container that is shown and hidden.</w:t>
      </w:r>
    </w:p>
    <w:p>
      <w:pPr>
        <w:spacing w:after="60" w:before="60" w:line="300"/>
        <w:jc w:val="left"/>
      </w:pPr>
      <w:r>
        <w:rPr>
          <w:rFonts w:ascii="Calibri" w:cs="Calibri" w:eastAsia="Calibri" w:hAnsi="Calibri"/>
          <w:b w:val="false"/>
          <w:bCs w:val="false"/>
          <w:i w:val="false"/>
          <w:iCs w:val="false"/>
          <w:color w:val="1A1A1A"/>
          <w:sz w:val="22"/>
          <w:szCs w:val="22"/>
        </w:rPr>
        <w:t xml:space="preserve">Ensure the menu container itself uses appropriate semantics (e.g., role="navigation" or a &lt;nav&gt; element) and is hidden from assistive technology when collapsed (using the hidden attribute or aria-hidden="true").</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4  ·  </w:t>
      </w:r>
      <w:r>
        <w:rPr>
          <w:rFonts w:ascii="Calibri" w:cs="Calibri" w:eastAsia="Calibri" w:hAnsi="Calibri"/>
          <w:b/>
          <w:bCs/>
          <w:color w:val="1E3A5F"/>
          <w:sz w:val="24"/>
          <w:szCs w:val="24"/>
        </w:rPr>
        <w:t xml:space="preserve">Multiple &lt;nav&gt; landmarks have no accessible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4161A"/>
                <w:sz w:val="18"/>
                <w:szCs w:val="18"/>
              </w:rPr>
              <w:t xml:space="preserve">Critical</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1.3.6 (Identify Purpose), 2.4.6 (Headings and Labels)  (Level AA)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page contains four &lt;nav&gt; landmark elements. Three of them — the main flyout menu, the quick links bar, and the footer navigation — carry no aria-label or aria-labelledby attribute and therefore have no accessible name.</w:t>
      </w:r>
    </w:p>
    <w:p>
      <w:pPr>
        <w:spacing w:after="60" w:before="60" w:line="300"/>
        <w:jc w:val="left"/>
      </w:pPr>
      <w:r>
        <w:rPr>
          <w:rFonts w:ascii="Calibri" w:cs="Calibri" w:eastAsia="Calibri" w:hAnsi="Calibri"/>
          <w:b w:val="false"/>
          <w:bCs w:val="false"/>
          <w:i w:val="false"/>
          <w:iCs w:val="false"/>
          <w:color w:val="1A1A1A"/>
          <w:sz w:val="22"/>
          <w:szCs w:val="22"/>
        </w:rPr>
        <w:t xml:space="preserve">When a screen reader user invokes the landmarks list (a primary navigation pattern), they will hear three or four entries called simply "navigation" with no indication of which is which. This makes the landmark structure useless as a navigation aid and forces users to linearly traverse each landmark to determine its contents.</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Add a distinct aria-label to each &lt;nav&gt; element that clearly identifies its purpose:</w:t>
      </w:r>
    </w:p>
    <w:p>
      <w:pPr>
        <w:spacing w:after="60" w:before="60" w:line="300"/>
        <w:jc w:val="left"/>
      </w:pPr>
      <w:r>
        <w:rPr>
          <w:rFonts w:ascii="Calibri" w:cs="Calibri" w:eastAsia="Calibri" w:hAnsi="Calibri"/>
          <w:b w:val="false"/>
          <w:bCs w:val="false"/>
          <w:i w:val="false"/>
          <w:iCs w:val="false"/>
          <w:color w:val="1A1A1A"/>
          <w:sz w:val="22"/>
          <w:szCs w:val="22"/>
        </w:rPr>
        <w:t xml:space="preserve">    • Main navigation: aria-label="Main"</w:t>
      </w:r>
    </w:p>
    <w:p>
      <w:pPr>
        <w:spacing w:after="60" w:before="60" w:line="300"/>
        <w:jc w:val="left"/>
      </w:pPr>
      <w:r>
        <w:rPr>
          <w:rFonts w:ascii="Calibri" w:cs="Calibri" w:eastAsia="Calibri" w:hAnsi="Calibri"/>
          <w:b w:val="false"/>
          <w:bCs w:val="false"/>
          <w:i w:val="false"/>
          <w:iCs w:val="false"/>
          <w:color w:val="1A1A1A"/>
          <w:sz w:val="22"/>
          <w:szCs w:val="22"/>
        </w:rPr>
        <w:t xml:space="preserve">    • Quick links bar: aria-label="Quick links"</w:t>
      </w:r>
    </w:p>
    <w:p>
      <w:pPr>
        <w:spacing w:after="60" w:before="60" w:line="300"/>
        <w:jc w:val="left"/>
      </w:pPr>
      <w:r>
        <w:rPr>
          <w:rFonts w:ascii="Calibri" w:cs="Calibri" w:eastAsia="Calibri" w:hAnsi="Calibri"/>
          <w:b w:val="false"/>
          <w:bCs w:val="false"/>
          <w:i w:val="false"/>
          <w:iCs w:val="false"/>
          <w:color w:val="1A1A1A"/>
          <w:sz w:val="22"/>
          <w:szCs w:val="22"/>
        </w:rPr>
        <w:t xml:space="preserve">    • Footer navigation: aria-label="Footer"</w:t>
      </w:r>
    </w:p>
    <w:p>
      <w:pPr>
        <w:spacing w:after="60" w:before="60" w:line="300"/>
        <w:jc w:val="left"/>
      </w:pPr>
      <w:r>
        <w:rPr>
          <w:rFonts w:ascii="Calibri" w:cs="Calibri" w:eastAsia="Calibri" w:hAnsi="Calibri"/>
          <w:b w:val="false"/>
          <w:bCs w:val="false"/>
          <w:i w:val="false"/>
          <w:iCs w:val="false"/>
          <w:color w:val="1A1A1A"/>
          <w:sz w:val="22"/>
          <w:szCs w:val="22"/>
        </w:rPr>
        <w:t xml:space="preserve">    • Breadcrumb: already labeled — leave as is.</w:t>
      </w:r>
    </w:p>
    <w:p>
      <w:pPr>
        <w:spacing w:after="60" w:before="60" w:line="300"/>
        <w:jc w:val="left"/>
      </w:pPr>
      <w:r>
        <w:rPr>
          <w:rFonts w:ascii="Calibri" w:cs="Calibri" w:eastAsia="Calibri" w:hAnsi="Calibri"/>
          <w:b w:val="false"/>
          <w:bCs w:val="false"/>
          <w:i w:val="false"/>
          <w:iCs w:val="false"/>
          <w:color w:val="1A1A1A"/>
          <w:sz w:val="22"/>
          <w:szCs w:val="22"/>
        </w:rPr>
        <w:t xml:space="preserve">Labels should be unique within the page and concise (the screen reader will announce "navigation" automatically; do not repeat the word in the label).</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5  ·  </w:t>
      </w:r>
      <w:r>
        <w:rPr>
          <w:rFonts w:ascii="Calibri" w:cs="Calibri" w:eastAsia="Calibri" w:hAnsi="Calibri"/>
          <w:b/>
          <w:bCs/>
          <w:color w:val="1E3A5F"/>
          <w:sz w:val="24"/>
          <w:szCs w:val="24"/>
        </w:rPr>
        <w:t xml:space="preserve">Empty visually-hidden label span on quick links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4161A"/>
                <w:sz w:val="18"/>
                <w:szCs w:val="18"/>
              </w:rPr>
              <w:t xml:space="preserve">Critical</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4.1.2 (Name, Role, Value)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element &lt;span id="menu-quick-links-oem-title" class="visually-hidden"&gt; exists in the markup, evidently intended to provide an accessible name for the quick links navigation, but it contains no text content. The element is therefore inert: it provides nothing to assistive technology and cannot satisfy any labeling requirement.</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Populate the span with a meaningful label such as "Quick Links" and apply aria-labelledby="menu-quick-links-oem-title" to the corresponding &lt;nav&gt; element. Alternatively, remove the empty span entirely and use aria-label="Quick links" directly on the &lt;nav&gt;, which is simpler and equally effective.</w:t>
      </w:r>
    </w:p>
    <w:p>
      <w:pPr>
        <w:pBdr>
          <w:bottom w:val="single" w:color="1E3A5F" w:sz="6" w:space="4"/>
        </w:pBdr>
        <w:spacing w:after="120" w:before="120"/>
      </w:pPr>
      <w:r>
        <w:t xml:space="preserve"/>
      </w:r>
    </w:p>
    <w:p>
      <w:r>
        <w:br w:type="page"/>
      </w:r>
    </w:p>
    <w:p>
      <w:pPr>
        <w:pStyle w:val="Heading2"/>
        <w:spacing w:after="140" w:before="280"/>
      </w:pPr>
      <w:r>
        <w:rPr>
          <w:rFonts w:ascii="Calibri" w:cs="Calibri" w:eastAsia="Calibri" w:hAnsi="Calibri"/>
          <w:b/>
          <w:bCs/>
          <w:color w:val="1E3A5F"/>
          <w:sz w:val="26"/>
          <w:szCs w:val="26"/>
        </w:rPr>
        <w:t xml:space="preserve">6.2  Significant Findings</w:t>
      </w:r>
    </w:p>
    <w:p>
      <w:pPr>
        <w:spacing w:after="60" w:before="60" w:line="300"/>
        <w:jc w:val="left"/>
      </w:pPr>
      <w:r>
        <w:rPr>
          <w:rFonts w:ascii="Calibri" w:cs="Calibri" w:eastAsia="Calibri" w:hAnsi="Calibri"/>
          <w:b w:val="false"/>
          <w:bCs w:val="false"/>
          <w:i w:val="false"/>
          <w:iCs w:val="false"/>
          <w:color w:val="1A1A1A"/>
          <w:sz w:val="22"/>
          <w:szCs w:val="22"/>
        </w:rPr>
        <w:t xml:space="preserve">These findings either fail Level AA criteria or fail Level A criteria with somewhat lower user-impact severity than the critical findings above. All are required for WCAG 2.1 AA conformance.</w:t>
      </w:r>
    </w:p>
    <w:p>
      <w:pPr>
        <w:spacing w:after="100" w:before="320"/>
      </w:pPr>
      <w:r>
        <w:rPr>
          <w:rFonts w:ascii="Calibri" w:cs="Calibri" w:eastAsia="Calibri" w:hAnsi="Calibri"/>
          <w:b/>
          <w:bCs/>
          <w:color w:val="595959"/>
          <w:sz w:val="24"/>
          <w:szCs w:val="24"/>
        </w:rPr>
        <w:t xml:space="preserve">Finding 6  ·  </w:t>
      </w:r>
      <w:r>
        <w:rPr>
          <w:rFonts w:ascii="Calibri" w:cs="Calibri" w:eastAsia="Calibri" w:hAnsi="Calibri"/>
          <w:b/>
          <w:bCs/>
          <w:color w:val="1E3A5F"/>
          <w:sz w:val="24"/>
          <w:szCs w:val="24"/>
        </w:rPr>
        <w:t xml:space="preserve">Translate toggle is an &lt;a&gt; tag styled as a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C2410C"/>
                <w:sz w:val="18"/>
                <w:szCs w:val="18"/>
              </w:rPr>
              <w:t xml:space="preserve">Significant</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4.1.2 (Name, Role, Value)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Translate disclosure control is implemented as &lt;a href="#collapseTranslate" role="button"&gt;. While role="button" reassigns the semantic role for screen readers, the underlying anchor element retains anchor keyboard behavior — Enter activates it, but Space does not. Native &lt;button&gt; elements are activated by both Enter and Space; users with motor impairments or assistive technology preferences may rely on the Space key.</w:t>
      </w:r>
    </w:p>
    <w:p>
      <w:pPr>
        <w:spacing w:after="60" w:before="60" w:line="300"/>
        <w:jc w:val="left"/>
      </w:pPr>
      <w:r>
        <w:rPr>
          <w:rFonts w:ascii="Calibri" w:cs="Calibri" w:eastAsia="Calibri" w:hAnsi="Calibri"/>
          <w:b w:val="false"/>
          <w:bCs w:val="false"/>
          <w:i w:val="false"/>
          <w:iCs w:val="false"/>
          <w:color w:val="1A1A1A"/>
          <w:sz w:val="22"/>
          <w:szCs w:val="22"/>
        </w:rPr>
        <w:t xml:space="preserve">Additionally, the controlled container #collapseTranslate does not update its aria-hidden state when collapsed/expanded, so its visibility to assistive technology does not match its visibility to sighted users.</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Replace the &lt;a&gt; element with a native &lt;button type="button"&gt; element. Native buttons inherit correct keyboard semantics and do not require role="button".</w:t>
      </w:r>
    </w:p>
    <w:p>
      <w:pPr>
        <w:spacing w:after="60" w:before="60" w:line="300"/>
        <w:jc w:val="left"/>
      </w:pPr>
      <w:r>
        <w:rPr>
          <w:rFonts w:ascii="Calibri" w:cs="Calibri" w:eastAsia="Calibri" w:hAnsi="Calibri"/>
          <w:b w:val="false"/>
          <w:bCs w:val="false"/>
          <w:i w:val="false"/>
          <w:iCs w:val="false"/>
          <w:color w:val="1A1A1A"/>
          <w:sz w:val="22"/>
          <w:szCs w:val="22"/>
        </w:rPr>
        <w:t xml:space="preserve">Update the controlled container to set aria-hidden="true" when collapsed and aria-hidden="false" (or remove the attribute) when expanded. Add aria-expanded to the button and aria-controls pointing to the container's id, mirroring the pattern recommended in Finding 3.</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7  ·  </w:t>
      </w:r>
      <w:r>
        <w:rPr>
          <w:rFonts w:ascii="Calibri" w:cs="Calibri" w:eastAsia="Calibri" w:hAnsi="Calibri"/>
          <w:b/>
          <w:bCs/>
          <w:color w:val="1E3A5F"/>
          <w:sz w:val="24"/>
          <w:szCs w:val="24"/>
        </w:rPr>
        <w:t xml:space="preserve">Language selector lacks a visible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C2410C"/>
                <w:sz w:val="18"/>
                <w:szCs w:val="18"/>
              </w:rPr>
              <w:t xml:space="preserve">Significant</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1.3.1 (Info and Relationships), 3.3.2 (Labels or Instructions)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translate language &lt;select&gt; control has aria-label="Select Language", which provides an accessible name. However, no visible label appears beside the control. WCAG 3.3.2 requires labels or instructions to be provided for user input. While aria-label satisfies the programmatic requirement, the absence of a visible label disadvantages users with cognitive disabilities, low-vision users using screen magnifiers, and users who do not use screen readers but benefit from clear visible affordances.</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Add a visible &lt;label&gt; element associated with the select via the for attribute (matching the select's id), or render the visible text "Language:" immediately preceding the control. Retain the aria-label or remove it once the visible label is in place; the visible label will then provide the accessible name.</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11  ·  </w:t>
      </w:r>
      <w:r>
        <w:rPr>
          <w:rFonts w:ascii="Calibri" w:cs="Calibri" w:eastAsia="Calibri" w:hAnsi="Calibri"/>
          <w:b/>
          <w:bCs/>
          <w:color w:val="1E3A5F"/>
          <w:sz w:val="24"/>
          <w:szCs w:val="24"/>
        </w:rPr>
        <w:t xml:space="preserve">Embedded map provides no accessible text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C2410C"/>
                <w:sz w:val="18"/>
                <w:szCs w:val="18"/>
              </w:rPr>
              <w:t xml:space="preserve">Significant</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1.1.1 (Non-text Content), 2.1.1 (Keyboard)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embedded ArcGIS Experience map is the page's primary mechanism for showing where active emergency alerts are in effect. Embedded mapping applications of this type are notoriously inaccessible: the map canvas is not keyboard-navigable, marker content is not exposed to screen readers, and there is no text-based summary of the spatial information.</w:t>
      </w:r>
    </w:p>
    <w:p>
      <w:pPr>
        <w:spacing w:after="60" w:before="60" w:line="300"/>
        <w:jc w:val="left"/>
      </w:pPr>
      <w:r>
        <w:rPr>
          <w:rFonts w:ascii="Calibri" w:cs="Calibri" w:eastAsia="Calibri" w:hAnsi="Calibri"/>
          <w:b w:val="false"/>
          <w:bCs w:val="false"/>
          <w:i w:val="false"/>
          <w:iCs w:val="false"/>
          <w:color w:val="1A1A1A"/>
          <w:sz w:val="22"/>
          <w:szCs w:val="22"/>
        </w:rPr>
        <w:t xml:space="preserve">There is no &lt;noscript&gt; fallback, no parallel list of active alerts and their locations, and no link to a text-based version of the same information.</w:t>
      </w:r>
    </w:p>
    <w:p>
      <w:pPr>
        <w:spacing w:after="60" w:before="60" w:line="300"/>
        <w:jc w:val="left"/>
      </w:pPr>
      <w:r>
        <w:rPr>
          <w:rFonts w:ascii="Calibri" w:cs="Calibri" w:eastAsia="Calibri" w:hAnsi="Calibri"/>
          <w:b w:val="false"/>
          <w:bCs w:val="false"/>
          <w:i w:val="false"/>
          <w:iCs w:val="false"/>
          <w:color w:val="1A1A1A"/>
          <w:sz w:val="22"/>
          <w:szCs w:val="22"/>
        </w:rPr>
        <w:t xml:space="preserve">Because this page exists to communicate emergency conditions, this gap means that residents who use screen readers, residents who navigate exclusively by keyboard, and residents on devices where the iframe fails to render cannot determine which areas are under alert. The DOJ has explicitly identified emergency information as a high-priority area for accessibility.</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Provide a text-based alternative beneath the map that conveys the same information. Recommended structure:</w:t>
      </w:r>
    </w:p>
    <w:p>
      <w:pPr>
        <w:spacing w:after="60" w:before="60" w:line="300"/>
        <w:jc w:val="left"/>
      </w:pPr>
      <w:r>
        <w:rPr>
          <w:rFonts w:ascii="Calibri" w:cs="Calibri" w:eastAsia="Calibri" w:hAnsi="Calibri"/>
          <w:b w:val="false"/>
          <w:bCs w:val="false"/>
          <w:i w:val="false"/>
          <w:iCs w:val="false"/>
          <w:color w:val="1A1A1A"/>
          <w:sz w:val="22"/>
          <w:szCs w:val="22"/>
        </w:rPr>
        <w:t xml:space="preserve">    • A heading "Active Alerts" followed by a list of currently active zones.</w:t>
      </w:r>
    </w:p>
    <w:p>
      <w:pPr>
        <w:spacing w:after="60" w:before="60" w:line="300"/>
        <w:jc w:val="left"/>
      </w:pPr>
      <w:r>
        <w:rPr>
          <w:rFonts w:ascii="Calibri" w:cs="Calibri" w:eastAsia="Calibri" w:hAnsi="Calibri"/>
          <w:b w:val="false"/>
          <w:bCs w:val="false"/>
          <w:i w:val="false"/>
          <w:iCs w:val="false"/>
          <w:color w:val="1A1A1A"/>
          <w:sz w:val="22"/>
          <w:szCs w:val="22"/>
        </w:rPr>
        <w:t xml:space="preserve">    • For each zone: zone name, alert type (evacuation order / warning / advisory), affected area in plain language (e.g., "Lorson Ranch and Bradley Heights neighborhoods south of Mesa Ridge Parkway"), time issued, and a link to the underlying order document.</w:t>
      </w:r>
    </w:p>
    <w:p>
      <w:pPr>
        <w:spacing w:after="60" w:before="60" w:line="300"/>
        <w:jc w:val="left"/>
      </w:pPr>
      <w:r>
        <w:rPr>
          <w:rFonts w:ascii="Calibri" w:cs="Calibri" w:eastAsia="Calibri" w:hAnsi="Calibri"/>
          <w:b w:val="false"/>
          <w:bCs w:val="false"/>
          <w:i w:val="false"/>
          <w:iCs w:val="false"/>
          <w:color w:val="1A1A1A"/>
          <w:sz w:val="22"/>
          <w:szCs w:val="22"/>
        </w:rPr>
        <w:t xml:space="preserve">    • An empty-state message when no alerts are active ("No active emergency alerts in El Paso County at this time. Last verified [timestamp].").</w:t>
      </w:r>
    </w:p>
    <w:p>
      <w:pPr>
        <w:spacing w:after="60" w:before="60" w:line="300"/>
        <w:jc w:val="left"/>
      </w:pPr>
      <w:r>
        <w:rPr>
          <w:rFonts w:ascii="Calibri" w:cs="Calibri" w:eastAsia="Calibri" w:hAnsi="Calibri"/>
          <w:b w:val="false"/>
          <w:bCs w:val="false"/>
          <w:i w:val="false"/>
          <w:iCs w:val="false"/>
          <w:color w:val="1A1A1A"/>
          <w:sz w:val="22"/>
          <w:szCs w:val="22"/>
        </w:rPr>
        <w:t xml:space="preserve">This list should be the primary mechanism for conveying alert information; the map should be treated as a supplementary visual aid, not the source of truth.</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12  ·  </w:t>
      </w:r>
      <w:r>
        <w:rPr>
          <w:rFonts w:ascii="Calibri" w:cs="Calibri" w:eastAsia="Calibri" w:hAnsi="Calibri"/>
          <w:b/>
          <w:bCs/>
          <w:color w:val="1E3A5F"/>
          <w:sz w:val="24"/>
          <w:szCs w:val="24"/>
        </w:rPr>
        <w:t xml:space="preserve">Third-party Everbridge iframe accessibility unverified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C2410C"/>
                <w:sz w:val="18"/>
                <w:szCs w:val="18"/>
              </w:rPr>
              <w:t xml:space="preserve">Significant</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4.1.2 (Name, Role, Value), and downstream WCAG 2.1 AA criteria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page embeds a 1250×1250-pixel iframe sourced from member.everbridge.net containing a third-party form for emergency alert subscriptions. The iframe lacks a title attribute (also covered under Finding 1), and the internal accessibility of the embedded form is not verified. Third-party widgets embedded by a public entity remain the entity's responsibility under 28 CFR § 35.200, and the DOJ does not exempt content provided through contractual or licensing arrangements.</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Add the title attribute as specified in Finding 1.</w:t>
      </w:r>
    </w:p>
    <w:p>
      <w:pPr>
        <w:spacing w:after="60" w:before="60" w:line="300"/>
        <w:jc w:val="left"/>
      </w:pPr>
      <w:r>
        <w:rPr>
          <w:rFonts w:ascii="Calibri" w:cs="Calibri" w:eastAsia="Calibri" w:hAnsi="Calibri"/>
          <w:b w:val="false"/>
          <w:bCs w:val="false"/>
          <w:i w:val="false"/>
          <w:iCs w:val="false"/>
          <w:color w:val="1A1A1A"/>
          <w:sz w:val="22"/>
          <w:szCs w:val="22"/>
        </w:rPr>
        <w:t xml:space="preserve">Request a current accessibility conformance report (ACR / VPAT) from Everbridge for the embedded subscription form. If Everbridge cannot demonstrate WCAG 2.1 AA conformance, work with the vendor to remediate or implement an in-house alert subscription form (as proposed in the planned PPROEM platform redesign).</w:t>
      </w:r>
    </w:p>
    <w:p>
      <w:pPr>
        <w:spacing w:after="60" w:before="60" w:line="300"/>
        <w:jc w:val="left"/>
      </w:pPr>
      <w:r>
        <w:rPr>
          <w:rFonts w:ascii="Calibri" w:cs="Calibri" w:eastAsia="Calibri" w:hAnsi="Calibri"/>
          <w:b w:val="false"/>
          <w:bCs w:val="false"/>
          <w:i w:val="false"/>
          <w:iCs w:val="false"/>
          <w:color w:val="1A1A1A"/>
          <w:sz w:val="22"/>
          <w:szCs w:val="22"/>
        </w:rPr>
        <w:t xml:space="preserve">Document the vendor's accessibility status in the agency's accessibility plan as required by remediation best practice.</w:t>
      </w:r>
    </w:p>
    <w:p>
      <w:pPr>
        <w:pBdr>
          <w:bottom w:val="single" w:color="1E3A5F" w:sz="6" w:space="4"/>
        </w:pBdr>
        <w:spacing w:after="120" w:before="120"/>
      </w:pPr>
      <w:r>
        <w:t xml:space="preserve"/>
      </w:r>
    </w:p>
    <w:p>
      <w:r>
        <w:br w:type="page"/>
      </w:r>
    </w:p>
    <w:p>
      <w:pPr>
        <w:pStyle w:val="Heading2"/>
        <w:spacing w:after="140" w:before="280"/>
      </w:pPr>
      <w:r>
        <w:rPr>
          <w:rFonts w:ascii="Calibri" w:cs="Calibri" w:eastAsia="Calibri" w:hAnsi="Calibri"/>
          <w:b/>
          <w:bCs/>
          <w:color w:val="1E3A5F"/>
          <w:sz w:val="26"/>
          <w:szCs w:val="26"/>
        </w:rPr>
        <w:t xml:space="preserve">6.3  Advisory Findings</w:t>
      </w:r>
    </w:p>
    <w:p>
      <w:pPr>
        <w:spacing w:after="60" w:before="60" w:line="300"/>
        <w:jc w:val="left"/>
      </w:pPr>
      <w:r>
        <w:rPr>
          <w:rFonts w:ascii="Calibri" w:cs="Calibri" w:eastAsia="Calibri" w:hAnsi="Calibri"/>
          <w:b w:val="false"/>
          <w:bCs w:val="false"/>
          <w:i w:val="false"/>
          <w:iCs w:val="false"/>
          <w:color w:val="1A1A1A"/>
          <w:sz w:val="22"/>
          <w:szCs w:val="22"/>
        </w:rPr>
        <w:t xml:space="preserve">These findings are not strict WCAG 2.1 AA failures but reflect best-practice gaps. Addressing them strengthens the agency's accessibility posture and reduces enforcement risk. They should be queued for remediation after the critical and significant items.</w:t>
      </w:r>
    </w:p>
    <w:p>
      <w:pPr>
        <w:spacing w:after="100" w:before="320"/>
      </w:pPr>
      <w:r>
        <w:rPr>
          <w:rFonts w:ascii="Calibri" w:cs="Calibri" w:eastAsia="Calibri" w:hAnsi="Calibri"/>
          <w:b/>
          <w:bCs/>
          <w:color w:val="595959"/>
          <w:sz w:val="24"/>
          <w:szCs w:val="24"/>
        </w:rPr>
        <w:t xml:space="preserve">Finding 8  ·  </w:t>
      </w:r>
      <w:r>
        <w:rPr>
          <w:rFonts w:ascii="Calibri" w:cs="Calibri" w:eastAsia="Calibri" w:hAnsi="Calibri"/>
          <w:b/>
          <w:bCs/>
          <w:color w:val="1E3A5F"/>
          <w:sz w:val="24"/>
          <w:szCs w:val="24"/>
        </w:rPr>
        <w:t xml:space="preserve">No meta description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37000"/>
                <w:sz w:val="18"/>
                <w:szCs w:val="18"/>
              </w:rPr>
              <w:t xml:space="preserve">Advisory</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Best practice  (Level —)</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page does not include a &lt;meta name="description"&gt; tag. While not a direct WCAG criterion, meta descriptions improve the experience of users who rely on search results, link previews, and assistive browser tools to pre-screen page content.</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Add: &lt;meta name="description" content="Current emergency alerts, evacuation information, and notification signup for El Paso County and Colorado Springs."&gt;</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9  ·  </w:t>
      </w:r>
      <w:r>
        <w:rPr>
          <w:rFonts w:ascii="Calibri" w:cs="Calibri" w:eastAsia="Calibri" w:hAnsi="Calibri"/>
          <w:b/>
          <w:bCs/>
          <w:color w:val="1E3A5F"/>
          <w:sz w:val="24"/>
          <w:szCs w:val="24"/>
        </w:rPr>
        <w:t xml:space="preserve">Redundant role="navigation" on &lt;nav&gt;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37000"/>
                <w:sz w:val="18"/>
                <w:szCs w:val="18"/>
              </w:rPr>
              <w:t xml:space="preserve">Advisory</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Best practice / code quality  (Level —)</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Two &lt;nav&gt; elements carry an explicit role="navigation" attribute. The &lt;nav&gt; element already carries this implicit ARIA role; the redundancy is harmless but signals markup written without confidence in semantic HTML.</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Remove the explicit role="navigation" from &lt;nav&gt; elements. Retain ARIA role attributes only where the element's semantic role differs from its implicit role.</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10  ·  </w:t>
      </w:r>
      <w:r>
        <w:rPr>
          <w:rFonts w:ascii="Calibri" w:cs="Calibri" w:eastAsia="Calibri" w:hAnsi="Calibri"/>
          <w:b/>
          <w:bCs/>
          <w:color w:val="1E3A5F"/>
          <w:sz w:val="24"/>
          <w:szCs w:val="24"/>
        </w:rPr>
        <w:t xml:space="preserve">Skip target uses clipped &lt;a&gt; instead of &lt;div&gt;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37000"/>
                <w:sz w:val="18"/>
                <w:szCs w:val="18"/>
              </w:rPr>
              <w:t xml:space="preserve">Advisory</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Best practice  (Level —)</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skip-link target is an &lt;a id="main-content"&gt; element with tabindex="-1" and visible text "Main content" clipped via CSS. This pattern works but is unnecessarily complex and uses a link element where a non-interactive container would be cleaner.</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Replace with &lt;div id="main-content" tabindex="-1"&gt; or, preferably, place id="main-content" directly on the existing &lt;main&gt; element and remove the standalone target.</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13  ·  </w:t>
      </w:r>
      <w:r>
        <w:rPr>
          <w:rFonts w:ascii="Calibri" w:cs="Calibri" w:eastAsia="Calibri" w:hAnsi="Calibri"/>
          <w:b/>
          <w:bCs/>
          <w:color w:val="1E3A5F"/>
          <w:sz w:val="24"/>
          <w:szCs w:val="24"/>
        </w:rPr>
        <w:t xml:space="preserve">Decorative images may have redundant alt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37000"/>
                <w:sz w:val="18"/>
                <w:szCs w:val="18"/>
              </w:rPr>
              <w:t xml:space="preserve">Advisory</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1.1.1 (Non-text Content)  (Level 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Two card images — one labeled "Stay Informed" and one labeled "Peak Alerts logo" — sit adjacent to text that already conveys the same meaning. When alt text duplicates surrounding visible text, screen reader users hear the information twice, adding noise without adding meaning.</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Determine whether each image is decorative or informational:</w:t>
      </w:r>
    </w:p>
    <w:p>
      <w:pPr>
        <w:spacing w:after="60" w:before="60" w:line="300"/>
        <w:jc w:val="left"/>
      </w:pPr>
      <w:r>
        <w:rPr>
          <w:rFonts w:ascii="Calibri" w:cs="Calibri" w:eastAsia="Calibri" w:hAnsi="Calibri"/>
          <w:b w:val="false"/>
          <w:bCs w:val="false"/>
          <w:i w:val="false"/>
          <w:iCs w:val="false"/>
          <w:color w:val="1A1A1A"/>
          <w:sz w:val="22"/>
          <w:szCs w:val="22"/>
        </w:rPr>
        <w:t xml:space="preserve">    • If decorative (the meaning is fully conveyed by the adjacent heading and link text): set alt="" and add role="presentation".</w:t>
      </w:r>
    </w:p>
    <w:p>
      <w:pPr>
        <w:spacing w:after="60" w:before="60" w:line="300"/>
        <w:jc w:val="left"/>
      </w:pPr>
      <w:r>
        <w:rPr>
          <w:rFonts w:ascii="Calibri" w:cs="Calibri" w:eastAsia="Calibri" w:hAnsi="Calibri"/>
          <w:b w:val="false"/>
          <w:bCs w:val="false"/>
          <w:i w:val="false"/>
          <w:iCs w:val="false"/>
          <w:color w:val="1A1A1A"/>
          <w:sz w:val="22"/>
          <w:szCs w:val="22"/>
        </w:rPr>
        <w:t xml:space="preserve">    • If informational (the image conveys distinct meaning not present in adjacent text): retain a descriptive alt that is not a duplicate of nearby text.</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14  ·  </w:t>
      </w:r>
      <w:r>
        <w:rPr>
          <w:rFonts w:ascii="Calibri" w:cs="Calibri" w:eastAsia="Calibri" w:hAnsi="Calibri"/>
          <w:b/>
          <w:bCs/>
          <w:color w:val="1E3A5F"/>
          <w:sz w:val="24"/>
          <w:szCs w:val="24"/>
        </w:rPr>
        <w:t xml:space="preserve">Link to external site does not warn it opens a new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37000"/>
                <w:sz w:val="18"/>
                <w:szCs w:val="18"/>
              </w:rPr>
              <w:t xml:space="preserve">Advisory</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3.2.5 (Change on Request) — Level AAA  (Level AAA)</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"Open Map in New Window" link opens a new browser tab with no programmatic warning. While this is a Level AAA criterion (not strictly required for AA conformance), warning users about context changes is a widely adopted best practice and is an expectation of many assistive-technology users.</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Append visually-hidden text or update the aria-label to indicate the new-window behavior:</w:t>
      </w:r>
    </w:p>
    <w:p>
      <w:pPr>
        <w:spacing w:after="60" w:before="60" w:line="300"/>
        <w:jc w:val="left"/>
      </w:pPr>
      <w:r>
        <w:rPr>
          <w:rFonts w:ascii="Calibri" w:cs="Calibri" w:eastAsia="Calibri" w:hAnsi="Calibri"/>
          <w:b w:val="false"/>
          <w:bCs w:val="false"/>
          <w:i w:val="false"/>
          <w:iCs w:val="false"/>
          <w:color w:val="1A1A1A"/>
          <w:sz w:val="22"/>
          <w:szCs w:val="22"/>
        </w:rPr>
        <w:t xml:space="preserve">    aria-label="Open emergency alerts map in a new browser tab"</w:t>
      </w:r>
    </w:p>
    <w:p>
      <w:pPr>
        <w:pBdr>
          <w:bottom w:val="single" w:color="1E3A5F" w:sz="6" w:space="4"/>
        </w:pBdr>
        <w:spacing w:after="120" w:before="120"/>
      </w:pPr>
      <w:r>
        <w:t xml:space="preserve"/>
      </w:r>
    </w:p>
    <w:p>
      <w:pPr>
        <w:spacing w:after="100" w:before="320"/>
      </w:pPr>
      <w:r>
        <w:rPr>
          <w:rFonts w:ascii="Calibri" w:cs="Calibri" w:eastAsia="Calibri" w:hAnsi="Calibri"/>
          <w:b/>
          <w:bCs/>
          <w:color w:val="595959"/>
          <w:sz w:val="24"/>
          <w:szCs w:val="24"/>
        </w:rPr>
        <w:t xml:space="preserve">Finding 15  ·  </w:t>
      </w:r>
      <w:r>
        <w:rPr>
          <w:rFonts w:ascii="Calibri" w:cs="Calibri" w:eastAsia="Calibri" w:hAnsi="Calibri"/>
          <w:b/>
          <w:bCs/>
          <w:color w:val="1E3A5F"/>
          <w:sz w:val="24"/>
          <w:szCs w:val="24"/>
        </w:rPr>
        <w:t xml:space="preserve">&lt;article&gt; element has no accessible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Severity</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A37000"/>
                <w:sz w:val="18"/>
                <w:szCs w:val="18"/>
              </w:rPr>
              <w:t xml:space="preserve">Advisory</w:t>
            </w:r>
          </w:p>
        </w:tc>
        <w:tc>
          <w:tcPr>
            <w:tcW w:type="dxa" w:w="2340"/>
            <w:tcBorders>
              <w:top w:val="single" w:color="D9D9D9" w:sz="4"/>
              <w:left w:val="single" w:color="D9D9D9" w:sz="4"/>
              <w:bottom w:val="single" w:color="D9D9D9" w:sz="4"/>
              <w:right w:val="single" w:color="D9D9D9" w:sz="4"/>
            </w:tcBorders>
            <w:shd w:fill="F2F2F2" w:val="clear"/>
            <w:tcMar>
              <w:top w:type="dxa" w:w="100"/>
              <w:left w:type="dxa" w:w="140"/>
              <w:bottom w:type="dxa" w:w="100"/>
              <w:right w:type="dxa" w:w="140"/>
            </w:tcMar>
            <w:vAlign w:val="center"/>
          </w:tcPr>
          <w:p>
            <w:pPr>
              <w:spacing w:after="0" w:before="0"/>
              <w:jc w:val="left"/>
            </w:pPr>
            <w:r>
              <w:rPr>
                <w:rFonts w:ascii="Calibri" w:cs="Calibri" w:eastAsia="Calibri" w:hAnsi="Calibri"/>
                <w:b/>
                <w:bCs/>
                <w:color w:val="1A1A1A"/>
                <w:sz w:val="18"/>
                <w:szCs w:val="18"/>
              </w:rPr>
              <w:t xml:space="preserve">WCAG</w:t>
            </w:r>
          </w:p>
        </w:tc>
        <w:tc>
          <w:tcPr>
            <w:tcW w:type="dxa" w:w="2340"/>
            <w:tcBorders>
              <w:top w:val="single" w:color="D9D9D9" w:sz="4"/>
              <w:left w:val="single" w:color="D9D9D9" w:sz="4"/>
              <w:bottom w:val="single" w:color="D9D9D9" w:sz="4"/>
              <w:right w:val="single" w:color="D9D9D9"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A1A1A"/>
                <w:sz w:val="18"/>
                <w:szCs w:val="18"/>
              </w:rPr>
              <w:t xml:space="preserve">Best practice  (Level —)</w:t>
            </w:r>
          </w:p>
        </w:tc>
      </w:tr>
    </w:tbl>
    <w:p>
      <w:pPr>
        <w:spacing w:after="60" w:before="140"/>
      </w:pPr>
      <w:r>
        <w:rPr>
          <w:rFonts w:ascii="Calibri" w:cs="Calibri" w:eastAsia="Calibri" w:hAnsi="Calibri"/>
          <w:b/>
          <w:bCs/>
          <w:color w:val="1A1A1A"/>
          <w:sz w:val="20"/>
          <w:szCs w:val="20"/>
        </w:rPr>
        <w:t xml:space="preserve">Issue</w:t>
      </w:r>
    </w:p>
    <w:p>
      <w:pPr>
        <w:spacing w:after="60" w:before="60" w:line="300"/>
        <w:jc w:val="left"/>
      </w:pPr>
      <w:r>
        <w:rPr>
          <w:rFonts w:ascii="Calibri" w:cs="Calibri" w:eastAsia="Calibri" w:hAnsi="Calibri"/>
          <w:b w:val="false"/>
          <w:bCs w:val="false"/>
          <w:i w:val="false"/>
          <w:iCs w:val="false"/>
          <w:color w:val="1A1A1A"/>
          <w:sz w:val="22"/>
          <w:szCs w:val="22"/>
        </w:rPr>
        <w:t xml:space="preserve">The main content &lt;article&gt; element carries no aria-label or aria-labelledby attribute. Sighted users associate the article with the page &lt;h1&gt;; screen reader users navigating by landmark do not have that programmatic association.</w:t>
      </w:r>
    </w:p>
    <w:p>
      <w:pPr>
        <w:spacing w:after="60" w:before="140"/>
      </w:pPr>
      <w:r>
        <w:rPr>
          <w:rFonts w:ascii="Calibri" w:cs="Calibri" w:eastAsia="Calibri" w:hAnsi="Calibri"/>
          <w:b/>
          <w:bCs/>
          <w:color w:val="1A1A1A"/>
          <w:sz w:val="20"/>
          <w:szCs w:val="20"/>
        </w:rPr>
        <w:t xml:space="preserve">Remediation</w:t>
      </w:r>
    </w:p>
    <w:p>
      <w:pPr>
        <w:spacing w:after="60" w:before="60" w:line="300"/>
        <w:jc w:val="left"/>
      </w:pPr>
      <w:r>
        <w:rPr>
          <w:rFonts w:ascii="Calibri" w:cs="Calibri" w:eastAsia="Calibri" w:hAnsi="Calibri"/>
          <w:b w:val="false"/>
          <w:bCs w:val="false"/>
          <w:i w:val="false"/>
          <w:iCs w:val="false"/>
          <w:color w:val="1A1A1A"/>
          <w:sz w:val="22"/>
          <w:szCs w:val="22"/>
        </w:rPr>
        <w:t xml:space="preserve">Add aria-labelledby pointing to the id of the page &lt;h1&gt; element. If the &lt;h1&gt; lacks an id, add one.</w:t>
      </w:r>
    </w:p>
    <w:p>
      <w:pPr>
        <w:pBdr>
          <w:bottom w:val="single" w:color="1E3A5F" w:sz="6" w:space="4"/>
        </w:pBdr>
        <w:spacing w:after="120" w:before="120"/>
      </w:pPr>
      <w:r>
        <w:t xml:space="preserve"/>
      </w:r>
    </w:p>
    <w:p>
      <w:r>
        <w:br w:type="page"/>
      </w:r>
    </w:p>
    <w:p>
      <w:pPr>
        <w:pStyle w:val="Heading1"/>
        <w:spacing w:after="180" w:before="360"/>
      </w:pPr>
      <w:r>
        <w:rPr>
          <w:rFonts w:ascii="Calibri" w:cs="Calibri" w:eastAsia="Calibri" w:hAnsi="Calibri"/>
          <w:b/>
          <w:bCs/>
          <w:color w:val="1E3A5F"/>
          <w:sz w:val="32"/>
          <w:szCs w:val="32"/>
        </w:rPr>
        <w:t xml:space="preserve">7. Risk Assessment</w:t>
      </w:r>
    </w:p>
    <w:p>
      <w:pPr>
        <w:spacing w:after="60" w:before="60" w:line="300"/>
        <w:jc w:val="left"/>
      </w:pPr>
      <w:r>
        <w:rPr>
          <w:rFonts w:ascii="Calibri" w:cs="Calibri" w:eastAsia="Calibri" w:hAnsi="Calibri"/>
          <w:b w:val="false"/>
          <w:bCs w:val="false"/>
          <w:i w:val="false"/>
          <w:iCs w:val="false"/>
          <w:color w:val="1A1A1A"/>
          <w:sz w:val="22"/>
          <w:szCs w:val="22"/>
        </w:rPr>
        <w:t xml:space="preserve">The findings in this audit carry both regulatory and reputational risk for PPROEM and the City of Colorado Springs / El Paso County. The risk profile is elevated by three factors specific to this page:</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Subject matter sensitivity. </w:t>
      </w:r>
      <w:r>
        <w:rPr>
          <w:rFonts w:ascii="Calibri" w:cs="Calibri" w:eastAsia="Calibri" w:hAnsi="Calibri"/>
          <w:color w:val="1A1A1A"/>
          <w:sz w:val="22"/>
          <w:szCs w:val="22"/>
        </w:rPr>
        <w:t xml:space="preserve">The page conveys emergency information. A failure to deliver evacuation information accessibly during an active incident creates direct life-safety risk and significant litigation exposure.</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Recent regulatory attention. </w:t>
      </w:r>
      <w:r>
        <w:rPr>
          <w:rFonts w:ascii="Calibri" w:cs="Calibri" w:eastAsia="Calibri" w:hAnsi="Calibri"/>
          <w:color w:val="1A1A1A"/>
          <w:sz w:val="22"/>
          <w:szCs w:val="22"/>
        </w:rPr>
        <w:t xml:space="preserve">The DOJ's 2024 Title II rule and its April 2026 Interim Final Rule have placed digital accessibility for state and local governments under heightened federal scrutiny. Disability advocacy organizations are actively monitoring compliance.</w:t>
      </w:r>
    </w:p>
    <w:p>
      <w:pPr>
        <w:pStyle w:val="ListParagraph"/>
        <w:numPr>
          <w:ilvl w:val="0"/>
          <w:numId w:val="2"/>
        </w:numPr>
        <w:spacing w:after="30" w:before="30" w:line="290"/>
      </w:pPr>
      <w:r>
        <w:rPr>
          <w:rFonts w:ascii="Calibri" w:cs="Calibri" w:eastAsia="Calibri" w:hAnsi="Calibri"/>
          <w:b/>
          <w:bCs/>
          <w:i w:val="false"/>
          <w:iCs w:val="false"/>
          <w:color w:val="1A1A1A"/>
          <w:sz w:val="22"/>
          <w:szCs w:val="22"/>
        </w:rPr>
        <w:t xml:space="preserve">Private right of action. </w:t>
      </w:r>
      <w:r>
        <w:rPr>
          <w:rFonts w:ascii="Calibri" w:cs="Calibri" w:eastAsia="Calibri" w:hAnsi="Calibri"/>
          <w:color w:val="1A1A1A"/>
          <w:sz w:val="22"/>
          <w:szCs w:val="22"/>
        </w:rPr>
        <w:t xml:space="preserve">Title II of the ADA permits private lawsuits against non-conforming public entities, with attorney's fees recoverable by prevailing plaintiffs. Accessibility-focused plaintiff firms have substantially increased filings against state and local government defendants.</w:t>
      </w:r>
    </w:p>
    <w:p>
      <w:pPr>
        <w:pStyle w:val="Heading2"/>
        <w:spacing w:after="140" w:before="280"/>
      </w:pPr>
      <w:r>
        <w:rPr>
          <w:rFonts w:ascii="Calibri" w:cs="Calibri" w:eastAsia="Calibri" w:hAnsi="Calibri"/>
          <w:b/>
          <w:bCs/>
          <w:color w:val="1E3A5F"/>
          <w:sz w:val="26"/>
          <w:szCs w:val="26"/>
        </w:rPr>
        <w:t xml:space="preserve">7.1  Compliance timeline risk</w:t>
      </w:r>
    </w:p>
    <w:p>
      <w:pPr>
        <w:spacing w:after="60" w:before="60" w:line="300"/>
        <w:jc w:val="left"/>
      </w:pPr>
      <w:r>
        <w:rPr>
          <w:rFonts w:ascii="Calibri" w:cs="Calibri" w:eastAsia="Calibri" w:hAnsi="Calibri"/>
          <w:b w:val="false"/>
          <w:bCs w:val="false"/>
          <w:i w:val="false"/>
          <w:iCs w:val="false"/>
          <w:color w:val="1A1A1A"/>
          <w:sz w:val="22"/>
          <w:szCs w:val="22"/>
        </w:rPr>
        <w:t xml:space="preserve">PPROEM has approximately 354 days from the date of this report (May 7, 2026) to achieve WCAG 2.1 AA conformance for all web content the agency makes available. This window is workable for the issues identified on this single page, all of which are remediable through markup-level changes and the addition of a text-based alternative for the embedded map. However, the same audit methodology should be applied to the entire pproem.com site and to the embedded vendor surfaces (ArcGIS, Everbridge); if those produce comparable defect counts, the cumulative remediation effort is non-trivial.</w:t>
      </w:r>
    </w:p>
    <w:p>
      <w:pPr>
        <w:pStyle w:val="Heading2"/>
        <w:spacing w:after="140" w:before="280"/>
      </w:pPr>
      <w:r>
        <w:rPr>
          <w:rFonts w:ascii="Calibri" w:cs="Calibri" w:eastAsia="Calibri" w:hAnsi="Calibri"/>
          <w:b/>
          <w:bCs/>
          <w:color w:val="1E3A5F"/>
          <w:sz w:val="26"/>
          <w:szCs w:val="26"/>
        </w:rPr>
        <w:t xml:space="preserve">7.2  Litigation risk</w:t>
      </w:r>
    </w:p>
    <w:p>
      <w:pPr>
        <w:spacing w:after="60" w:before="60" w:line="300"/>
        <w:jc w:val="left"/>
      </w:pPr>
      <w:r>
        <w:rPr>
          <w:rFonts w:ascii="Calibri" w:cs="Calibri" w:eastAsia="Calibri" w:hAnsi="Calibri"/>
          <w:b w:val="false"/>
          <w:bCs w:val="false"/>
          <w:i w:val="false"/>
          <w:iCs w:val="false"/>
          <w:color w:val="1A1A1A"/>
          <w:sz w:val="22"/>
          <w:szCs w:val="22"/>
        </w:rPr>
        <w:t xml:space="preserve">Of the fifteen findings, the five Level A failures and the four Level AA failures are the most likely to be cited in a demand letter or complaint. The unlabeled iframes, the inaccessible map without a text alternative, and the unlabeled navigation landmarks are specifically the kinds of defects that automated accessibility scanning tools (used by plaintiff firms to identify targets) reliably detect. The fact that this is an emergency-information page makes a complaint substantially more viable, both legally and as a public-relations matter.</w:t>
      </w:r>
    </w:p>
    <w:p>
      <w:pPr>
        <w:pStyle w:val="Heading2"/>
        <w:spacing w:after="140" w:before="280"/>
      </w:pPr>
      <w:r>
        <w:rPr>
          <w:rFonts w:ascii="Calibri" w:cs="Calibri" w:eastAsia="Calibri" w:hAnsi="Calibri"/>
          <w:b/>
          <w:bCs/>
          <w:color w:val="1E3A5F"/>
          <w:sz w:val="26"/>
          <w:szCs w:val="26"/>
        </w:rPr>
        <w:t xml:space="preserve">7.3  Reputational risk</w:t>
      </w:r>
    </w:p>
    <w:p>
      <w:pPr>
        <w:spacing w:after="60" w:before="60" w:line="300"/>
        <w:jc w:val="left"/>
      </w:pPr>
      <w:r>
        <w:rPr>
          <w:rFonts w:ascii="Calibri" w:cs="Calibri" w:eastAsia="Calibri" w:hAnsi="Calibri"/>
          <w:b w:val="false"/>
          <w:bCs w:val="false"/>
          <w:i w:val="false"/>
          <w:iCs w:val="false"/>
          <w:color w:val="1A1A1A"/>
          <w:sz w:val="22"/>
          <w:szCs w:val="22"/>
        </w:rPr>
        <w:t xml:space="preserve">PPROEM's mission requires public trust during emergencies. A high-profile complaint or news story about disabled residents being unable to access evacuation information would undermine that trust at exactly the moment it is most needed. This is a discretionary but material consideration.</w:t>
      </w:r>
    </w:p>
    <w:p>
      <w:pPr>
        <w:pStyle w:val="Heading1"/>
        <w:spacing w:after="180" w:before="360"/>
      </w:pPr>
      <w:r>
        <w:rPr>
          <w:rFonts w:ascii="Calibri" w:cs="Calibri" w:eastAsia="Calibri" w:hAnsi="Calibri"/>
          <w:b/>
          <w:bCs/>
          <w:color w:val="1E3A5F"/>
          <w:sz w:val="32"/>
          <w:szCs w:val="32"/>
        </w:rPr>
        <w:t xml:space="preserve">8. Recommended Remediation Plan</w:t>
      </w:r>
    </w:p>
    <w:p>
      <w:pPr>
        <w:spacing w:after="60" w:before="60" w:line="300"/>
        <w:jc w:val="left"/>
      </w:pPr>
      <w:r>
        <w:rPr>
          <w:rFonts w:ascii="Calibri" w:cs="Calibri" w:eastAsia="Calibri" w:hAnsi="Calibri"/>
          <w:b w:val="false"/>
          <w:bCs w:val="false"/>
          <w:i w:val="false"/>
          <w:iCs w:val="false"/>
          <w:color w:val="1A1A1A"/>
          <w:sz w:val="22"/>
          <w:szCs w:val="22"/>
        </w:rPr>
        <w:t xml:space="preserve">The following phased remediation plan is structured to address the highest-impact, lowest-cost items first. All work should be completed well in advance of the April 26, 2027 compliance deadline to allow time for retesting and for addressing other PPROEM digital surfaces not covered by this report.</w:t>
      </w:r>
    </w:p>
    <w:p>
      <w:pPr>
        <w:pStyle w:val="Heading2"/>
        <w:spacing w:after="140" w:before="280"/>
      </w:pPr>
      <w:r>
        <w:rPr>
          <w:rFonts w:ascii="Calibri" w:cs="Calibri" w:eastAsia="Calibri" w:hAnsi="Calibri"/>
          <w:b/>
          <w:bCs/>
          <w:color w:val="1E3A5F"/>
          <w:sz w:val="26"/>
          <w:szCs w:val="26"/>
        </w:rPr>
        <w:t xml:space="preserve">8.1  Phase 1 — Within 30 days</w:t>
      </w:r>
    </w:p>
    <w:p>
      <w:pPr>
        <w:spacing w:after="60" w:before="60" w:line="300"/>
        <w:jc w:val="left"/>
      </w:pPr>
      <w:r>
        <w:rPr>
          <w:rFonts w:ascii="Calibri" w:cs="Calibri" w:eastAsia="Calibri" w:hAnsi="Calibri"/>
          <w:b w:val="false"/>
          <w:bCs w:val="false"/>
          <w:i w:val="false"/>
          <w:iCs w:val="false"/>
          <w:color w:val="1A1A1A"/>
          <w:sz w:val="22"/>
          <w:szCs w:val="22"/>
        </w:rPr>
        <w:t xml:space="preserve">Remediate all Critical findings (Findings 1–5). These are markup-level fixes requiring no design or content changes. Total estimated effort: 4–8 developer hours.</w:t>
      </w:r>
    </w:p>
    <w:p>
      <w:pPr>
        <w:pStyle w:val="ListParagraph"/>
        <w:numPr>
          <w:ilvl w:val="0"/>
          <w:numId w:val="2"/>
        </w:numPr>
        <w:spacing w:after="30" w:before="30" w:line="290"/>
      </w:pPr>
      <w:r>
        <w:rPr>
          <w:rFonts w:ascii="Calibri" w:cs="Calibri" w:eastAsia="Calibri" w:hAnsi="Calibri"/>
          <w:color w:val="1A1A1A"/>
          <w:sz w:val="22"/>
          <w:szCs w:val="22"/>
        </w:rPr>
        <w:t xml:space="preserve">Add title attributes to both iframes (Finding 1).</w:t>
      </w:r>
    </w:p>
    <w:p>
      <w:pPr>
        <w:pStyle w:val="ListParagraph"/>
        <w:numPr>
          <w:ilvl w:val="0"/>
          <w:numId w:val="2"/>
        </w:numPr>
        <w:spacing w:after="30" w:before="30" w:line="290"/>
      </w:pPr>
      <w:r>
        <w:rPr>
          <w:rFonts w:ascii="Calibri" w:cs="Calibri" w:eastAsia="Calibri" w:hAnsi="Calibri"/>
          <w:color w:val="1A1A1A"/>
          <w:sz w:val="22"/>
          <w:szCs w:val="22"/>
        </w:rPr>
        <w:t xml:space="preserve">Consolidate or relabel home logo links (Finding 2).</w:t>
      </w:r>
    </w:p>
    <w:p>
      <w:pPr>
        <w:pStyle w:val="ListParagraph"/>
        <w:numPr>
          <w:ilvl w:val="0"/>
          <w:numId w:val="2"/>
        </w:numPr>
        <w:spacing w:after="30" w:before="30" w:line="290"/>
      </w:pPr>
      <w:r>
        <w:rPr>
          <w:rFonts w:ascii="Calibri" w:cs="Calibri" w:eastAsia="Calibri" w:hAnsi="Calibri"/>
          <w:color w:val="1A1A1A"/>
          <w:sz w:val="22"/>
          <w:szCs w:val="22"/>
        </w:rPr>
        <w:t xml:space="preserve">Add aria-expanded and aria-controls to the menu button and ensure JavaScript updates state (Finding 3).</w:t>
      </w:r>
    </w:p>
    <w:p>
      <w:pPr>
        <w:pStyle w:val="ListParagraph"/>
        <w:numPr>
          <w:ilvl w:val="0"/>
          <w:numId w:val="2"/>
        </w:numPr>
        <w:spacing w:after="30" w:before="30" w:line="290"/>
      </w:pPr>
      <w:r>
        <w:rPr>
          <w:rFonts w:ascii="Calibri" w:cs="Calibri" w:eastAsia="Calibri" w:hAnsi="Calibri"/>
          <w:color w:val="1A1A1A"/>
          <w:sz w:val="22"/>
          <w:szCs w:val="22"/>
        </w:rPr>
        <w:t xml:space="preserve">Add unique aria-labels to all unlabeled &lt;nav&gt; landmarks (Finding 4).</w:t>
      </w:r>
    </w:p>
    <w:p>
      <w:pPr>
        <w:pStyle w:val="ListParagraph"/>
        <w:numPr>
          <w:ilvl w:val="0"/>
          <w:numId w:val="2"/>
        </w:numPr>
        <w:spacing w:after="30" w:before="30" w:line="290"/>
      </w:pPr>
      <w:r>
        <w:rPr>
          <w:rFonts w:ascii="Calibri" w:cs="Calibri" w:eastAsia="Calibri" w:hAnsi="Calibri"/>
          <w:color w:val="1A1A1A"/>
          <w:sz w:val="22"/>
          <w:szCs w:val="22"/>
        </w:rPr>
        <w:t xml:space="preserve">Populate or remove the empty visually-hidden label span (Finding 5).</w:t>
      </w:r>
    </w:p>
    <w:p>
      <w:pPr>
        <w:pStyle w:val="Heading2"/>
        <w:spacing w:after="140" w:before="280"/>
      </w:pPr>
      <w:r>
        <w:rPr>
          <w:rFonts w:ascii="Calibri" w:cs="Calibri" w:eastAsia="Calibri" w:hAnsi="Calibri"/>
          <w:b/>
          <w:bCs/>
          <w:color w:val="1E3A5F"/>
          <w:sz w:val="26"/>
          <w:szCs w:val="26"/>
        </w:rPr>
        <w:t xml:space="preserve">8.2  Phase 2 — Within 90 days</w:t>
      </w:r>
    </w:p>
    <w:p>
      <w:pPr>
        <w:spacing w:after="60" w:before="60" w:line="300"/>
        <w:jc w:val="left"/>
      </w:pPr>
      <w:r>
        <w:rPr>
          <w:rFonts w:ascii="Calibri" w:cs="Calibri" w:eastAsia="Calibri" w:hAnsi="Calibri"/>
          <w:b w:val="false"/>
          <w:bCs w:val="false"/>
          <w:i w:val="false"/>
          <w:iCs w:val="false"/>
          <w:color w:val="1A1A1A"/>
          <w:sz w:val="22"/>
          <w:szCs w:val="22"/>
        </w:rPr>
        <w:t xml:space="preserve">Remediate Significant findings (Findings 6, 7, 11, 12). These require slightly more work, including content design (Finding 11) and vendor coordination (Finding 12). Total estimated effort: 16–32 hours.</w:t>
      </w:r>
    </w:p>
    <w:p>
      <w:pPr>
        <w:pStyle w:val="ListParagraph"/>
        <w:numPr>
          <w:ilvl w:val="0"/>
          <w:numId w:val="2"/>
        </w:numPr>
        <w:spacing w:after="30" w:before="30" w:line="290"/>
      </w:pPr>
      <w:r>
        <w:rPr>
          <w:rFonts w:ascii="Calibri" w:cs="Calibri" w:eastAsia="Calibri" w:hAnsi="Calibri"/>
          <w:color w:val="1A1A1A"/>
          <w:sz w:val="22"/>
          <w:szCs w:val="22"/>
        </w:rPr>
        <w:t xml:space="preserve">Replace Translate toggle with a native &lt;button&gt; and add aria-expanded / aria-controls (Finding 6).</w:t>
      </w:r>
    </w:p>
    <w:p>
      <w:pPr>
        <w:pStyle w:val="ListParagraph"/>
        <w:numPr>
          <w:ilvl w:val="0"/>
          <w:numId w:val="2"/>
        </w:numPr>
        <w:spacing w:after="30" w:before="30" w:line="290"/>
      </w:pPr>
      <w:r>
        <w:rPr>
          <w:rFonts w:ascii="Calibri" w:cs="Calibri" w:eastAsia="Calibri" w:hAnsi="Calibri"/>
          <w:color w:val="1A1A1A"/>
          <w:sz w:val="22"/>
          <w:szCs w:val="22"/>
        </w:rPr>
        <w:t xml:space="preserve">Add a visible label to the language selector (Finding 7).</w:t>
      </w:r>
    </w:p>
    <w:p>
      <w:pPr>
        <w:pStyle w:val="ListParagraph"/>
        <w:numPr>
          <w:ilvl w:val="0"/>
          <w:numId w:val="2"/>
        </w:numPr>
        <w:spacing w:after="30" w:before="30" w:line="290"/>
      </w:pPr>
      <w:r>
        <w:rPr>
          <w:rFonts w:ascii="Calibri" w:cs="Calibri" w:eastAsia="Calibri" w:hAnsi="Calibri"/>
          <w:color w:val="1A1A1A"/>
          <w:sz w:val="22"/>
          <w:szCs w:val="22"/>
        </w:rPr>
        <w:t xml:space="preserve">Implement a text-based active-alerts list as an accessible alternative to the embedded map (Finding 11).</w:t>
      </w:r>
    </w:p>
    <w:p>
      <w:pPr>
        <w:pStyle w:val="ListParagraph"/>
        <w:numPr>
          <w:ilvl w:val="0"/>
          <w:numId w:val="2"/>
        </w:numPr>
        <w:spacing w:after="30" w:before="30" w:line="290"/>
      </w:pPr>
      <w:r>
        <w:rPr>
          <w:rFonts w:ascii="Calibri" w:cs="Calibri" w:eastAsia="Calibri" w:hAnsi="Calibri"/>
          <w:color w:val="1A1A1A"/>
          <w:sz w:val="22"/>
          <w:szCs w:val="22"/>
        </w:rPr>
        <w:t xml:space="preserve">Request VPAT/ACR from Everbridge and remediate or replace if non-conformant (Finding 12).</w:t>
      </w:r>
    </w:p>
    <w:p>
      <w:pPr>
        <w:pStyle w:val="Heading2"/>
        <w:spacing w:after="140" w:before="280"/>
      </w:pPr>
      <w:r>
        <w:rPr>
          <w:rFonts w:ascii="Calibri" w:cs="Calibri" w:eastAsia="Calibri" w:hAnsi="Calibri"/>
          <w:b/>
          <w:bCs/>
          <w:color w:val="1E3A5F"/>
          <w:sz w:val="26"/>
          <w:szCs w:val="26"/>
        </w:rPr>
        <w:t xml:space="preserve">8.3  Phase 3 — Within 180 days</w:t>
      </w:r>
    </w:p>
    <w:p>
      <w:pPr>
        <w:spacing w:after="60" w:before="60" w:line="300"/>
        <w:jc w:val="left"/>
      </w:pPr>
      <w:r>
        <w:rPr>
          <w:rFonts w:ascii="Calibri" w:cs="Calibri" w:eastAsia="Calibri" w:hAnsi="Calibri"/>
          <w:b w:val="false"/>
          <w:bCs w:val="false"/>
          <w:i w:val="false"/>
          <w:iCs w:val="false"/>
          <w:color w:val="1A1A1A"/>
          <w:sz w:val="22"/>
          <w:szCs w:val="22"/>
        </w:rPr>
        <w:t xml:space="preserve">Remediate Advisory findings (Findings 8, 9, 10, 13, 14, 15). These are best-practice items that strengthen the agency's overall accessibility posture. Total estimated effort: 4–8 hours.</w:t>
      </w:r>
    </w:p>
    <w:p>
      <w:pPr>
        <w:pStyle w:val="ListParagraph"/>
        <w:numPr>
          <w:ilvl w:val="0"/>
          <w:numId w:val="2"/>
        </w:numPr>
        <w:spacing w:after="30" w:before="30" w:line="290"/>
      </w:pPr>
      <w:r>
        <w:rPr>
          <w:rFonts w:ascii="Calibri" w:cs="Calibri" w:eastAsia="Calibri" w:hAnsi="Calibri"/>
          <w:color w:val="1A1A1A"/>
          <w:sz w:val="22"/>
          <w:szCs w:val="22"/>
        </w:rPr>
        <w:t xml:space="preserve">Add meta description (Finding 8).</w:t>
      </w:r>
    </w:p>
    <w:p>
      <w:pPr>
        <w:pStyle w:val="ListParagraph"/>
        <w:numPr>
          <w:ilvl w:val="0"/>
          <w:numId w:val="2"/>
        </w:numPr>
        <w:spacing w:after="30" w:before="30" w:line="290"/>
      </w:pPr>
      <w:r>
        <w:rPr>
          <w:rFonts w:ascii="Calibri" w:cs="Calibri" w:eastAsia="Calibri" w:hAnsi="Calibri"/>
          <w:color w:val="1A1A1A"/>
          <w:sz w:val="22"/>
          <w:szCs w:val="22"/>
        </w:rPr>
        <w:t xml:space="preserve">Remove redundant role attributes (Finding 9).</w:t>
      </w:r>
    </w:p>
    <w:p>
      <w:pPr>
        <w:pStyle w:val="ListParagraph"/>
        <w:numPr>
          <w:ilvl w:val="0"/>
          <w:numId w:val="2"/>
        </w:numPr>
        <w:spacing w:after="30" w:before="30" w:line="290"/>
      </w:pPr>
      <w:r>
        <w:rPr>
          <w:rFonts w:ascii="Calibri" w:cs="Calibri" w:eastAsia="Calibri" w:hAnsi="Calibri"/>
          <w:color w:val="1A1A1A"/>
          <w:sz w:val="22"/>
          <w:szCs w:val="22"/>
        </w:rPr>
        <w:t xml:space="preserve">Refactor skip-link target (Finding 10).</w:t>
      </w:r>
    </w:p>
    <w:p>
      <w:pPr>
        <w:pStyle w:val="ListParagraph"/>
        <w:numPr>
          <w:ilvl w:val="0"/>
          <w:numId w:val="2"/>
        </w:numPr>
        <w:spacing w:after="30" w:before="30" w:line="290"/>
      </w:pPr>
      <w:r>
        <w:rPr>
          <w:rFonts w:ascii="Calibri" w:cs="Calibri" w:eastAsia="Calibri" w:hAnsi="Calibri"/>
          <w:color w:val="1A1A1A"/>
          <w:sz w:val="22"/>
          <w:szCs w:val="22"/>
        </w:rPr>
        <w:t xml:space="preserve">Mark decorative images correctly (Finding 13).</w:t>
      </w:r>
    </w:p>
    <w:p>
      <w:pPr>
        <w:pStyle w:val="ListParagraph"/>
        <w:numPr>
          <w:ilvl w:val="0"/>
          <w:numId w:val="2"/>
        </w:numPr>
        <w:spacing w:after="30" w:before="30" w:line="290"/>
      </w:pPr>
      <w:r>
        <w:rPr>
          <w:rFonts w:ascii="Calibri" w:cs="Calibri" w:eastAsia="Calibri" w:hAnsi="Calibri"/>
          <w:color w:val="1A1A1A"/>
          <w:sz w:val="22"/>
          <w:szCs w:val="22"/>
        </w:rPr>
        <w:t xml:space="preserve">Add new-window warning to external map link (Finding 14).</w:t>
      </w:r>
    </w:p>
    <w:p>
      <w:pPr>
        <w:pStyle w:val="ListParagraph"/>
        <w:numPr>
          <w:ilvl w:val="0"/>
          <w:numId w:val="2"/>
        </w:numPr>
        <w:spacing w:after="30" w:before="30" w:line="290"/>
      </w:pPr>
      <w:r>
        <w:rPr>
          <w:rFonts w:ascii="Calibri" w:cs="Calibri" w:eastAsia="Calibri" w:hAnsi="Calibri"/>
          <w:color w:val="1A1A1A"/>
          <w:sz w:val="22"/>
          <w:szCs w:val="22"/>
        </w:rPr>
        <w:t xml:space="preserve">Label the &lt;article&gt; landmark (Finding 15).</w:t>
      </w:r>
    </w:p>
    <w:p>
      <w:pPr>
        <w:pStyle w:val="Heading2"/>
        <w:spacing w:after="140" w:before="280"/>
      </w:pPr>
      <w:r>
        <w:rPr>
          <w:rFonts w:ascii="Calibri" w:cs="Calibri" w:eastAsia="Calibri" w:hAnsi="Calibri"/>
          <w:b/>
          <w:bCs/>
          <w:color w:val="1E3A5F"/>
          <w:sz w:val="26"/>
          <w:szCs w:val="26"/>
        </w:rPr>
        <w:t xml:space="preserve">8.4  Beyond this page</w:t>
      </w:r>
    </w:p>
    <w:p>
      <w:pPr>
        <w:spacing w:after="60" w:before="60" w:line="300"/>
        <w:jc w:val="left"/>
      </w:pPr>
      <w:r>
        <w:rPr>
          <w:rFonts w:ascii="Calibri" w:cs="Calibri" w:eastAsia="Calibri" w:hAnsi="Calibri"/>
          <w:b w:val="false"/>
          <w:bCs w:val="false"/>
          <w:i w:val="false"/>
          <w:iCs w:val="false"/>
          <w:color w:val="1A1A1A"/>
          <w:sz w:val="22"/>
          <w:szCs w:val="22"/>
        </w:rPr>
        <w:t xml:space="preserve">The findings on this single page should not be treated as exhaustive of PPROEM's compliance obligations. The agency should commission:</w:t>
      </w:r>
    </w:p>
    <w:p>
      <w:pPr>
        <w:pStyle w:val="ListParagraph"/>
        <w:numPr>
          <w:ilvl w:val="0"/>
          <w:numId w:val="2"/>
        </w:numPr>
        <w:spacing w:after="30" w:before="30" w:line="290"/>
      </w:pPr>
      <w:r>
        <w:rPr>
          <w:rFonts w:ascii="Calibri" w:cs="Calibri" w:eastAsia="Calibri" w:hAnsi="Calibri"/>
          <w:color w:val="1A1A1A"/>
          <w:sz w:val="22"/>
          <w:szCs w:val="22"/>
        </w:rPr>
        <w:t xml:space="preserve">A site-wide audit of pproem.com using the same methodology applied here.</w:t>
      </w:r>
    </w:p>
    <w:p>
      <w:pPr>
        <w:pStyle w:val="ListParagraph"/>
        <w:numPr>
          <w:ilvl w:val="0"/>
          <w:numId w:val="2"/>
        </w:numPr>
        <w:spacing w:after="30" w:before="30" w:line="290"/>
      </w:pPr>
      <w:r>
        <w:rPr>
          <w:rFonts w:ascii="Calibri" w:cs="Calibri" w:eastAsia="Calibri" w:hAnsi="Calibri"/>
          <w:color w:val="1A1A1A"/>
          <w:sz w:val="22"/>
          <w:szCs w:val="22"/>
        </w:rPr>
        <w:t xml:space="preserve">An accessibility review of any mobile applications offered by the agency.</w:t>
      </w:r>
    </w:p>
    <w:p>
      <w:pPr>
        <w:pStyle w:val="ListParagraph"/>
        <w:numPr>
          <w:ilvl w:val="0"/>
          <w:numId w:val="2"/>
        </w:numPr>
        <w:spacing w:after="30" w:before="30" w:line="290"/>
      </w:pPr>
      <w:r>
        <w:rPr>
          <w:rFonts w:ascii="Calibri" w:cs="Calibri" w:eastAsia="Calibri" w:hAnsi="Calibri"/>
          <w:color w:val="1A1A1A"/>
          <w:sz w:val="22"/>
          <w:szCs w:val="22"/>
        </w:rPr>
        <w:t xml:space="preserve">An accessibility review of all PDF documents linked from the site (the linked Privacy Policy PDF is one example).</w:t>
      </w:r>
    </w:p>
    <w:p>
      <w:pPr>
        <w:pStyle w:val="ListParagraph"/>
        <w:numPr>
          <w:ilvl w:val="0"/>
          <w:numId w:val="2"/>
        </w:numPr>
        <w:spacing w:after="30" w:before="30" w:line="290"/>
      </w:pPr>
      <w:r>
        <w:rPr>
          <w:rFonts w:ascii="Calibri" w:cs="Calibri" w:eastAsia="Calibri" w:hAnsi="Calibri"/>
          <w:color w:val="1A1A1A"/>
          <w:sz w:val="22"/>
          <w:szCs w:val="22"/>
        </w:rPr>
        <w:t xml:space="preserve">A vendor accessibility review for all third-party platforms used in service delivery (ArcGIS, Everbridge, and any others).</w:t>
      </w:r>
    </w:p>
    <w:p>
      <w:pPr>
        <w:pStyle w:val="ListParagraph"/>
        <w:numPr>
          <w:ilvl w:val="0"/>
          <w:numId w:val="2"/>
        </w:numPr>
        <w:spacing w:after="30" w:before="30" w:line="290"/>
      </w:pPr>
      <w:r>
        <w:rPr>
          <w:rFonts w:ascii="Calibri" w:cs="Calibri" w:eastAsia="Calibri" w:hAnsi="Calibri"/>
          <w:color w:val="1A1A1A"/>
          <w:sz w:val="22"/>
          <w:szCs w:val="22"/>
        </w:rPr>
        <w:t xml:space="preserve">Adoption of an accessible procurement policy requiring VPAT/ACR submission for all future digital service contracts.</w:t>
      </w:r>
    </w:p>
    <w:p>
      <w:pPr>
        <w:pStyle w:val="ListParagraph"/>
        <w:numPr>
          <w:ilvl w:val="0"/>
          <w:numId w:val="2"/>
        </w:numPr>
        <w:spacing w:after="30" w:before="30" w:line="290"/>
      </w:pPr>
      <w:r>
        <w:rPr>
          <w:rFonts w:ascii="Calibri" w:cs="Calibri" w:eastAsia="Calibri" w:hAnsi="Calibri"/>
          <w:color w:val="1A1A1A"/>
          <w:sz w:val="22"/>
          <w:szCs w:val="22"/>
        </w:rPr>
        <w:t xml:space="preserve">A retest after remediation, to be repeated annually thereafter.</w:t>
      </w:r>
    </w:p>
    <w:p>
      <w:r>
        <w:br w:type="page"/>
      </w:r>
    </w:p>
    <w:p>
      <w:pPr>
        <w:pStyle w:val="Heading1"/>
        <w:spacing w:after="180" w:before="360"/>
      </w:pPr>
      <w:r>
        <w:rPr>
          <w:rFonts w:ascii="Calibri" w:cs="Calibri" w:eastAsia="Calibri" w:hAnsi="Calibri"/>
          <w:b/>
          <w:bCs/>
          <w:color w:val="1E3A5F"/>
          <w:sz w:val="32"/>
          <w:szCs w:val="32"/>
        </w:rPr>
        <w:t xml:space="preserve">Appendix A — Standards and References</w:t>
      </w:r>
    </w:p>
    <w:p>
      <w:pPr>
        <w:pStyle w:val="Heading3"/>
        <w:spacing w:after="100" w:before="200"/>
      </w:pPr>
      <w:r>
        <w:rPr>
          <w:rFonts w:ascii="Calibri" w:cs="Calibri" w:eastAsia="Calibri" w:hAnsi="Calibri"/>
          <w:b/>
          <w:bCs/>
          <w:color w:val="1A1A1A"/>
          <w:sz w:val="22"/>
          <w:szCs w:val="22"/>
        </w:rPr>
        <w:t xml:space="preserve">Regulatory</w:t>
      </w:r>
    </w:p>
    <w:p>
      <w:pPr>
        <w:pStyle w:val="ListParagraph"/>
        <w:numPr>
          <w:ilvl w:val="0"/>
          <w:numId w:val="2"/>
        </w:numPr>
        <w:spacing w:after="30" w:before="30" w:line="290"/>
      </w:pPr>
      <w:r>
        <w:rPr>
          <w:rFonts w:ascii="Calibri" w:cs="Calibri" w:eastAsia="Calibri" w:hAnsi="Calibri"/>
          <w:color w:val="1A1A1A"/>
          <w:sz w:val="22"/>
          <w:szCs w:val="22"/>
        </w:rPr>
        <w:t xml:space="preserve">Title II of the Americans with Disabilities Act, 42 U.S.C. § 12131 et seq.</w:t>
      </w:r>
    </w:p>
    <w:p>
      <w:pPr>
        <w:pStyle w:val="ListParagraph"/>
        <w:numPr>
          <w:ilvl w:val="0"/>
          <w:numId w:val="2"/>
        </w:numPr>
        <w:spacing w:after="30" w:before="30" w:line="290"/>
      </w:pPr>
      <w:r>
        <w:rPr>
          <w:rFonts w:ascii="Calibri" w:cs="Calibri" w:eastAsia="Calibri" w:hAnsi="Calibri"/>
          <w:color w:val="1A1A1A"/>
          <w:sz w:val="22"/>
          <w:szCs w:val="22"/>
        </w:rPr>
        <w:t xml:space="preserve">28 CFR Part 35 — Nondiscrimination on the Basis of Disability in State and Local Government Services.</w:t>
      </w:r>
    </w:p>
    <w:p>
      <w:pPr>
        <w:pStyle w:val="ListParagraph"/>
        <w:numPr>
          <w:ilvl w:val="0"/>
          <w:numId w:val="2"/>
        </w:numPr>
        <w:spacing w:after="30" w:before="30" w:line="290"/>
      </w:pPr>
      <w:r>
        <w:rPr>
          <w:rFonts w:ascii="Calibri" w:cs="Calibri" w:eastAsia="Calibri" w:hAnsi="Calibri"/>
          <w:color w:val="1A1A1A"/>
          <w:sz w:val="22"/>
          <w:szCs w:val="22"/>
        </w:rPr>
        <w:t xml:space="preserve">DOJ Final Rule, 89 Fed. Reg. 31320 (April 24, 2024) — Accessibility of Web Content and Mobile Apps Provided by State and Local Governments.</w:t>
      </w:r>
    </w:p>
    <w:p>
      <w:pPr>
        <w:pStyle w:val="ListParagraph"/>
        <w:numPr>
          <w:ilvl w:val="0"/>
          <w:numId w:val="2"/>
        </w:numPr>
        <w:spacing w:after="30" w:before="30" w:line="290"/>
      </w:pPr>
      <w:r>
        <w:rPr>
          <w:rFonts w:ascii="Calibri" w:cs="Calibri" w:eastAsia="Calibri" w:hAnsi="Calibri"/>
          <w:color w:val="1A1A1A"/>
          <w:sz w:val="22"/>
          <w:szCs w:val="22"/>
        </w:rPr>
        <w:t xml:space="preserve">DOJ Interim Final Rule, 91 Fed. Reg. 16793 (April 20, 2026) — Extension of Compliance Dates.</w:t>
      </w:r>
    </w:p>
    <w:p>
      <w:pPr>
        <w:pStyle w:val="Heading3"/>
        <w:spacing w:after="100" w:before="200"/>
      </w:pPr>
      <w:r>
        <w:rPr>
          <w:rFonts w:ascii="Calibri" w:cs="Calibri" w:eastAsia="Calibri" w:hAnsi="Calibri"/>
          <w:b/>
          <w:bCs/>
          <w:color w:val="1A1A1A"/>
          <w:sz w:val="22"/>
          <w:szCs w:val="22"/>
        </w:rPr>
        <w:t xml:space="preserve">Technical Standard</w:t>
      </w:r>
    </w:p>
    <w:p>
      <w:pPr>
        <w:pStyle w:val="ListParagraph"/>
        <w:numPr>
          <w:ilvl w:val="0"/>
          <w:numId w:val="2"/>
        </w:numPr>
        <w:spacing w:after="30" w:before="30" w:line="290"/>
      </w:pPr>
      <w:r>
        <w:rPr>
          <w:rFonts w:ascii="Calibri" w:cs="Calibri" w:eastAsia="Calibri" w:hAnsi="Calibri"/>
          <w:color w:val="1A1A1A"/>
          <w:sz w:val="22"/>
          <w:szCs w:val="22"/>
        </w:rPr>
        <w:t xml:space="preserve">Web Content Accessibility Guidelines (WCAG) 2.1, W3C Recommendation, Levels A and AA.</w:t>
      </w:r>
    </w:p>
    <w:p>
      <w:pPr>
        <w:pStyle w:val="ListParagraph"/>
        <w:numPr>
          <w:ilvl w:val="0"/>
          <w:numId w:val="2"/>
        </w:numPr>
        <w:spacing w:after="30" w:before="30" w:line="290"/>
      </w:pPr>
      <w:r>
        <w:rPr>
          <w:rFonts w:ascii="Calibri" w:cs="Calibri" w:eastAsia="Calibri" w:hAnsi="Calibri"/>
          <w:color w:val="1A1A1A"/>
          <w:sz w:val="22"/>
          <w:szCs w:val="22"/>
        </w:rPr>
        <w:t xml:space="preserve">Accessible Rich Internet Applications (WAI-ARIA) 1.2, W3C Recommendation.</w:t>
      </w:r>
    </w:p>
    <w:p>
      <w:pPr>
        <w:pStyle w:val="Heading3"/>
        <w:spacing w:after="100" w:before="200"/>
      </w:pPr>
      <w:r>
        <w:rPr>
          <w:rFonts w:ascii="Calibri" w:cs="Calibri" w:eastAsia="Calibri" w:hAnsi="Calibri"/>
          <w:b/>
          <w:bCs/>
          <w:color w:val="1A1A1A"/>
          <w:sz w:val="22"/>
          <w:szCs w:val="22"/>
        </w:rPr>
        <w:t xml:space="preserve">Guidance</w:t>
      </w:r>
    </w:p>
    <w:p>
      <w:pPr>
        <w:pStyle w:val="ListParagraph"/>
        <w:numPr>
          <w:ilvl w:val="0"/>
          <w:numId w:val="2"/>
        </w:numPr>
        <w:spacing w:after="30" w:before="30" w:line="290"/>
      </w:pPr>
      <w:r>
        <w:rPr>
          <w:rFonts w:ascii="Calibri" w:cs="Calibri" w:eastAsia="Calibri" w:hAnsi="Calibri"/>
          <w:color w:val="1A1A1A"/>
          <w:sz w:val="22"/>
          <w:szCs w:val="22"/>
        </w:rPr>
        <w:t xml:space="preserve">ADA.gov — "State and Local Governments: First Steps Toward Complying with the ADA Title II Web and Mobile Application Accessibility Rule."</w:t>
      </w:r>
    </w:p>
    <w:p>
      <w:pPr>
        <w:pStyle w:val="ListParagraph"/>
        <w:numPr>
          <w:ilvl w:val="0"/>
          <w:numId w:val="2"/>
        </w:numPr>
        <w:spacing w:after="30" w:before="30" w:line="290"/>
      </w:pPr>
      <w:r>
        <w:rPr>
          <w:rFonts w:ascii="Calibri" w:cs="Calibri" w:eastAsia="Calibri" w:hAnsi="Calibri"/>
          <w:color w:val="1A1A1A"/>
          <w:sz w:val="22"/>
          <w:szCs w:val="22"/>
        </w:rPr>
        <w:t xml:space="preserve">ADA.gov — "Fact Sheet: New Rule on the Accessibility of Web Content and Mobile Apps Provided by State and Local Governments."</w:t>
      </w:r>
    </w:p>
    <w:p>
      <w:pPr>
        <w:pStyle w:val="Heading1"/>
        <w:spacing w:after="180" w:before="360"/>
      </w:pPr>
      <w:r>
        <w:rPr>
          <w:rFonts w:ascii="Calibri" w:cs="Calibri" w:eastAsia="Calibri" w:hAnsi="Calibri"/>
          <w:b/>
          <w:bCs/>
          <w:color w:val="1E3A5F"/>
          <w:sz w:val="32"/>
          <w:szCs w:val="32"/>
        </w:rPr>
        <w:t xml:space="preserve">Appendix B — Conformance Statement</w:t>
      </w:r>
    </w:p>
    <w:p>
      <w:pPr>
        <w:spacing w:after="60" w:before="60" w:line="300"/>
        <w:jc w:val="left"/>
      </w:pPr>
      <w:r>
        <w:rPr>
          <w:rFonts w:ascii="Calibri" w:cs="Calibri" w:eastAsia="Calibri" w:hAnsi="Calibri"/>
          <w:b w:val="false"/>
          <w:bCs w:val="false"/>
          <w:i w:val="false"/>
          <w:iCs w:val="false"/>
          <w:color w:val="1A1A1A"/>
          <w:sz w:val="22"/>
          <w:szCs w:val="22"/>
        </w:rPr>
        <w:t xml:space="preserve">Based on the findings documented in this report, https://pproem.com/alerts is currently not in conformance with WCAG 2.1, Level AA, the technical standard adopted by the U.S. Department of Justice under 28 CFR § 35.200.</w:t>
      </w:r>
    </w:p>
    <w:p>
      <w:pPr>
        <w:spacing w:after="60" w:before="60" w:line="300"/>
        <w:jc w:val="left"/>
      </w:pPr>
      <w:r>
        <w:rPr>
          <w:rFonts w:ascii="Calibri" w:cs="Calibri" w:eastAsia="Calibri" w:hAnsi="Calibri"/>
          <w:b w:val="false"/>
          <w:bCs w:val="false"/>
          <w:i w:val="false"/>
          <w:iCs w:val="false"/>
          <w:color w:val="1A1A1A"/>
          <w:sz w:val="22"/>
          <w:szCs w:val="22"/>
        </w:rPr>
        <w:t xml:space="preserve">Conformance can be achieved through the remediation plan in Section 8 within the 354 days remaining before the applicable April 26, 2027 compliance deadline.</w:t>
      </w:r>
    </w:p>
    <w:p>
      <w:pPr>
        <w:spacing w:after="200" w:before="0"/>
      </w:pPr>
      <w:r>
        <w:t xml:space="preserve"/>
      </w:r>
    </w:p>
    <w:p>
      <w:pPr>
        <w:spacing w:after="60" w:before="60" w:line="300"/>
        <w:jc w:val="center"/>
      </w:pPr>
      <w:r>
        <w:rPr>
          <w:rFonts w:ascii="Calibri" w:cs="Calibri" w:eastAsia="Calibri" w:hAnsi="Calibri"/>
          <w:b w:val="false"/>
          <w:bCs w:val="false"/>
          <w:i/>
          <w:iCs/>
          <w:color w:val="59595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595959"/>
        <w:sz w:val="16"/>
        <w:szCs w:val="16"/>
      </w:rPr>
      <w:t xml:space="preserve">Web Accessibility Compliance Audit  ·  pproem.com/alerts  ·  May 7,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E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E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Accessibility Compliance Audit — pproem.com/alerts</dc:title>
  <dc:creator>PPROEM Accessibility Audit</dc:creator>
  <dc:description>WCAG 2.1 AA audit of the PPROEM Current Alerts page</dc:description>
  <cp:lastModifiedBy>Un-named</cp:lastModifiedBy>
  <cp:revision>1</cp:revision>
  <dcterms:created xsi:type="dcterms:W3CDTF">2026-05-07T16:32:14.625Z</dcterms:created>
  <dcterms:modified xsi:type="dcterms:W3CDTF">2026-05-07T16:32:14.625Z</dcterms:modified>
</cp:coreProperties>
</file>

<file path=docProps/custom.xml><?xml version="1.0" encoding="utf-8"?>
<Properties xmlns="http://schemas.openxmlformats.org/officeDocument/2006/custom-properties" xmlns:vt="http://schemas.openxmlformats.org/officeDocument/2006/docPropsVTypes"/>
</file>