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before="0"/>
        <w:jc w:val="center"/>
      </w:pPr>
      <w:r>
        <w:rPr>
          <w:rFonts w:ascii="Calibri" w:cs="Calibri" w:eastAsia="Calibri" w:hAnsi="Calibri"/>
          <w:b/>
          <w:bCs/>
          <w:color w:val="1F3864"/>
          <w:sz w:val="52"/>
          <w:szCs w:val="52"/>
        </w:rPr>
        <w:t xml:space="preserve">E-FILING PORTAL</w:t>
      </w:r>
    </w:p>
    <w:p>
      <w:pPr>
        <w:spacing w:after="60" w:before="0"/>
        <w:jc w:val="center"/>
      </w:pPr>
      <w:r>
        <w:rPr>
          <w:rFonts w:ascii="Calibri" w:cs="Calibri" w:eastAsia="Calibri" w:hAnsi="Calibri"/>
          <w:b/>
          <w:bCs/>
          <w:color w:val="1F3864"/>
          <w:sz w:val="36"/>
          <w:szCs w:val="36"/>
        </w:rPr>
        <w:t xml:space="preserve">WEB ACCESSIBILITY AUDIT</w:t>
      </w:r>
    </w:p>
    <w:p>
      <w:pPr>
        <w:spacing w:after="480" w:before="0"/>
        <w:jc w:val="center"/>
      </w:pPr>
      <w:r>
        <w:rPr>
          <w:rFonts w:ascii="Calibri" w:cs="Calibri" w:eastAsia="Calibri" w:hAnsi="Calibri"/>
          <w:color w:val="595959"/>
          <w:sz w:val="26"/>
          <w:szCs w:val="26"/>
        </w:rPr>
        <w:t xml:space="preserve">Colorado Courts E-Filing System  •  jbits.courts.state.co.us</w:t>
      </w:r>
    </w:p>
    <w:p>
      <w:pPr>
        <w:pBdr>
          <w:bottom w:val="single" w:color="1F3864" w:sz="12" w:space="8"/>
        </w:pBdr>
        <w:spacing w:after="480" w:before="0"/>
        <w:jc w:val="center"/>
      </w:pPr>
      <w:r>
        <w:rPr>
          <w:sz w:val="2"/>
          <w:szCs w:val="2"/>
        </w:rPr>
        <w:t xml:space="preserve"> </w:t>
      </w:r>
    </w:p>
    <w:p>
      <w:pPr>
        <w:spacing w:after="200" w:before="0"/>
        <w:jc w:val="center"/>
      </w:pPr>
      <w:r>
        <w:rPr>
          <w:rFonts w:ascii="Calibri" w:cs="Calibri" w:eastAsia="Calibri" w:hAnsi="Calibri"/>
          <w:b/>
          <w:bCs/>
          <w:sz w:val="28"/>
          <w:szCs w:val="28"/>
        </w:rPr>
        <w:t xml:space="preserve">WCAG 2.1 Level AA Conformance Review</w:t>
      </w:r>
    </w:p>
    <w:p>
      <w:pPr>
        <w:spacing w:after="200" w:before="0"/>
        <w:jc w:val="center"/>
      </w:pPr>
      <w:r>
        <w:rPr>
          <w:rFonts w:ascii="Calibri" w:cs="Calibri" w:eastAsia="Calibri" w:hAnsi="Calibri"/>
          <w:i/>
          <w:iCs/>
          <w:color w:val="595959"/>
          <w:sz w:val="20"/>
          <w:szCs w:val="20"/>
        </w:rPr>
        <w:t xml:space="preserve">Focused examination of the authentication and account-management surfaces of Colorado's transactional court-filing system</w:t>
      </w:r>
    </w:p>
    <w:p>
      <w:pPr>
        <w:spacing w:after="600" w:before="0"/>
        <w:jc w:val="center"/>
      </w:pPr>
      <w:r>
        <w:rPr>
          <w:rFonts w:ascii="Calibri" w:cs="Calibri" w:eastAsia="Calibri" w:hAnsi="Calibri"/>
          <w:i/>
          <w:iCs/>
          <w:color w:val="595959"/>
          <w:sz w:val="22"/>
          <w:szCs w:val="22"/>
        </w:rPr>
        <w:t xml:space="preserve">Conducted under the Americans with Disabilities Act Title II (28 C.F.R. Part 35, Subpart H)</w:t>
      </w:r>
    </w:p>
    <w:p>
      <w:pPr>
        <w:spacing w:after="60" w:before="120"/>
        <w:jc w:val="center"/>
      </w:pPr>
      <w:r>
        <w:rPr>
          <w:rFonts w:ascii="Calibri" w:cs="Calibri" w:eastAsia="Calibri" w:hAnsi="Calibri"/>
          <w:b/>
          <w:bCs/>
          <w:sz w:val="22"/>
          <w:szCs w:val="22"/>
        </w:rPr>
        <w:t xml:space="preserve">Audit Date</w:t>
      </w:r>
    </w:p>
    <w:p>
      <w:pPr>
        <w:spacing w:after="300" w:before="0"/>
        <w:jc w:val="center"/>
      </w:pPr>
      <w:r>
        <w:rPr>
          <w:rFonts w:ascii="Calibri" w:cs="Calibri" w:eastAsia="Calibri" w:hAnsi="Calibri"/>
          <w:sz w:val="22"/>
          <w:szCs w:val="22"/>
        </w:rPr>
        <w:t xml:space="preserve">April 20, 2026</w:t>
      </w:r>
    </w:p>
    <w:p>
      <w:pPr>
        <w:spacing w:after="60" w:before="0"/>
        <w:jc w:val="center"/>
      </w:pPr>
      <w:r>
        <w:rPr>
          <w:rFonts w:ascii="Calibri" w:cs="Calibri" w:eastAsia="Calibri" w:hAnsi="Calibri"/>
          <w:b/>
          <w:bCs/>
          <w:sz w:val="22"/>
          <w:szCs w:val="22"/>
        </w:rPr>
        <w:t xml:space="preserve">Applicable Compliance Deadline</w:t>
      </w:r>
    </w:p>
    <w:p>
      <w:pPr>
        <w:spacing w:after="600" w:before="0"/>
        <w:jc w:val="center"/>
      </w:pPr>
      <w:r>
        <w:rPr>
          <w:rFonts w:ascii="Calibri" w:cs="Calibri" w:eastAsia="Calibri" w:hAnsi="Calibri"/>
          <w:sz w:val="22"/>
          <w:szCs w:val="22"/>
        </w:rPr>
        <w:t xml:space="preserve">April 24, 2026  (public entities serving 50,000+ persons)</w:t>
      </w:r>
    </w:p>
    <w:p>
      <w:pPr>
        <w:spacing w:after="60" w:before="120"/>
        <w:jc w:val="center"/>
      </w:pPr>
      <w:r>
        <w:rPr>
          <w:rFonts w:ascii="Calibri" w:cs="Calibri" w:eastAsia="Calibri" w:hAnsi="Calibri"/>
          <w:b/>
          <w:bCs/>
          <w:sz w:val="22"/>
          <w:szCs w:val="22"/>
        </w:rPr>
        <w:t xml:space="preserve">Prepared for</w:t>
      </w:r>
    </w:p>
    <w:p>
      <w:pPr>
        <w:spacing w:after="300" w:before="0"/>
        <w:jc w:val="center"/>
      </w:pPr>
      <w:r>
        <w:rPr>
          <w:rFonts w:ascii="Calibri" w:cs="Calibri" w:eastAsia="Calibri" w:hAnsi="Calibri"/>
          <w:sz w:val="22"/>
          <w:szCs w:val="22"/>
        </w:rPr>
        <w:t xml:space="preserve">Colorado Judicial Branch — Office of Digital Accessibility</w:t>
      </w:r>
    </w:p>
    <w:p>
      <w:pPr>
        <w:spacing w:after="60" w:before="120"/>
        <w:jc w:val="center"/>
      </w:pPr>
      <w:r>
        <w:rPr>
          <w:rFonts w:ascii="Calibri" w:cs="Calibri" w:eastAsia="Calibri" w:hAnsi="Calibri"/>
          <w:b/>
          <w:bCs/>
          <w:sz w:val="22"/>
          <w:szCs w:val="22"/>
        </w:rPr>
        <w:t xml:space="preserve">Prepared by</w:t>
      </w:r>
    </w:p>
    <w:p>
      <w:pPr>
        <w:spacing w:after="40" w:before="0"/>
        <w:jc w:val="center"/>
      </w:pPr>
      <w:r>
        <w:rPr>
          <w:rFonts w:ascii="Calibri" w:cs="Calibri" w:eastAsia="Calibri" w:hAnsi="Calibri"/>
          <w:b/>
          <w:bCs/>
          <w:sz w:val="24"/>
          <w:szCs w:val="24"/>
        </w:rPr>
        <w:t xml:space="preserve">Emma Moore</w:t>
      </w:r>
    </w:p>
    <w:p>
      <w:pPr>
        <w:spacing w:after="20" w:before="0"/>
        <w:jc w:val="center"/>
      </w:pPr>
      <w:r>
        <w:rPr>
          <w:rFonts w:ascii="Calibri" w:cs="Calibri" w:eastAsia="Calibri" w:hAnsi="Calibri"/>
          <w:sz w:val="22"/>
          <w:szCs w:val="22"/>
        </w:rPr>
        <w:t xml:space="preserve">Independent Accessibility Review</w:t>
      </w:r>
    </w:p>
    <w:p>
      <w:pPr>
        <w:spacing w:after="300" w:before="0"/>
        <w:jc w:val="center"/>
      </w:pPr>
      <w:r>
        <w:rPr>
          <w:rFonts w:ascii="Calibri" w:cs="Calibri" w:eastAsia="Calibri" w:hAnsi="Calibri"/>
          <w:i/>
          <w:iCs/>
          <w:color w:val="595959"/>
          <w:sz w:val="22"/>
          <w:szCs w:val="22"/>
        </w:rPr>
        <w:t xml:space="preserve">Story Seed Studios</w:t>
      </w:r>
    </w:p>
    <w:p>
      <w:pPr>
        <w:spacing w:after="0" w:before="240"/>
        <w:jc w:val="center"/>
      </w:pPr>
      <w:r>
        <w:rPr>
          <w:rFonts w:ascii="Calibri" w:cs="Calibri" w:eastAsia="Calibri" w:hAnsi="Calibri"/>
          <w:i/>
          <w:iCs/>
          <w:color w:val="595959"/>
          <w:sz w:val="18"/>
          <w:szCs w:val="18"/>
        </w:rPr>
        <w:t xml:space="preserve">Companion volume to the April 20, 2026 Colorado Judicial Branch WCAG audit</w:t>
      </w:r>
    </w:p>
    <w:p>
      <w:r>
        <w:br w:type="page"/>
      </w:r>
    </w:p>
    <w:p>
      <w:pPr>
        <w:pStyle w:val="Heading1"/>
        <w:spacing w:after="180" w:before="360"/>
      </w:pPr>
      <w:r>
        <w:rPr>
          <w:rFonts w:ascii="Calibri" w:cs="Calibri" w:eastAsia="Calibri" w:hAnsi="Calibri"/>
          <w:b/>
          <w:bCs/>
          <w:color w:val="1F3864"/>
          <w:sz w:val="32"/>
          <w:szCs w:val="32"/>
        </w:rPr>
        <w:t xml:space="preserve">Why a Separate Report</w:t>
      </w:r>
    </w:p>
    <w:p>
      <w:pPr>
        <w:spacing w:after="60" w:before="60"/>
      </w:pPr>
      <w:r>
        <w:rPr>
          <w:rFonts w:ascii="Calibri" w:cs="Calibri" w:eastAsia="Calibri" w:hAnsi="Calibri"/>
          <w:sz w:val="22"/>
          <w:szCs w:val="22"/>
        </w:rPr>
        <w:t xml:space="preserve">The Colorado Courts E-Filing system (jbits.courts.state.co.us) is architecturally, visually, and operationally distinct from the main Colorado Judicial Branch website. It runs on a different subdomain, presents a different interface, and — most importantly — is where users actually file legal documents. It is not an informational site; it is a transactional system that handles money, deadlines, personal information, and the effective exercise of legal rights.</w:t>
      </w:r>
    </w:p>
    <w:p>
      <w:pPr>
        <w:spacing w:after="60" w:before="60"/>
      </w:pPr>
      <w:r>
        <w:rPr>
          <w:rFonts w:ascii="Calibri" w:cs="Calibri" w:eastAsia="Calibri" w:hAnsi="Calibri"/>
          <w:sz w:val="22"/>
          <w:szCs w:val="22"/>
        </w:rPr>
        <w:t xml:space="preserve">For that reason, it warrants an audit that treats it as its own system. The findings below overlap in a few places with the broader Branch audit (template-level issues on the portal's public pages), but the weight and urgency are different here because:</w:t>
      </w:r>
    </w:p>
    <w:p>
      <w:pPr>
        <w:pStyle w:val="ListParagraph"/>
        <w:numPr>
          <w:ilvl w:val="0"/>
          <w:numId w:val="2"/>
        </w:numPr>
        <w:spacing w:after="40" w:before="40"/>
      </w:pPr>
      <w:r>
        <w:rPr>
          <w:rFonts w:ascii="Calibri" w:cs="Calibri" w:eastAsia="Calibri" w:hAnsi="Calibri"/>
          <w:sz w:val="22"/>
          <w:szCs w:val="22"/>
        </w:rPr>
        <w:t xml:space="preserve">Every interaction on this portal has a downstream legal consequence. A missed error, a blocked field, or a lost session is not just an inconvenience — it can mean a missed filing deadline, a rejected pleading, or a default judgment.</w:t>
      </w:r>
    </w:p>
    <w:p>
      <w:pPr>
        <w:pStyle w:val="ListParagraph"/>
        <w:numPr>
          <w:ilvl w:val="0"/>
          <w:numId w:val="2"/>
        </w:numPr>
        <w:spacing w:after="40" w:before="40"/>
      </w:pPr>
      <w:r>
        <w:rPr>
          <w:rFonts w:ascii="Calibri" w:cs="Calibri" w:eastAsia="Calibri" w:hAnsi="Calibri"/>
          <w:sz w:val="22"/>
          <w:szCs w:val="22"/>
        </w:rPr>
        <w:t xml:space="preserve">Authentication is the primary surface, and authentication is a well-documented accessibility hazard. Password fields, security questions, MFA enrollment, and password reset flows have specific WCAG requirements that informational pages do not.</w:t>
      </w:r>
    </w:p>
    <w:p>
      <w:pPr>
        <w:pStyle w:val="ListParagraph"/>
        <w:numPr>
          <w:ilvl w:val="0"/>
          <w:numId w:val="2"/>
        </w:numPr>
        <w:spacing w:after="40" w:before="40"/>
      </w:pPr>
      <w:r>
        <w:rPr>
          <w:rFonts w:ascii="Calibri" w:cs="Calibri" w:eastAsia="Calibri" w:hAnsi="Calibri"/>
          <w:sz w:val="22"/>
          <w:szCs w:val="22"/>
        </w:rPr>
        <w:t xml:space="preserve">Self-represented litigants — the target audience for the portal's non-attorney flow — are disproportionately elderly, low-literacy, low-income, and/or disabled. The population using this system has a higher-than-average accessibility-need profile.</w:t>
      </w:r>
    </w:p>
    <w:p>
      <w:pPr>
        <w:spacing w:after="60" w:before="120"/>
      </w:pPr>
      <w:r>
        <w:rPr>
          <w:rFonts w:ascii="Calibri" w:cs="Calibri" w:eastAsia="Calibri" w:hAnsi="Calibri"/>
          <w:sz w:val="22"/>
          <w:szCs w:val="22"/>
        </w:rPr>
        <w:t xml:space="preserve">The E-Filing system is therefore treated here as the single most legally exposed digital property in the Branch's portfolio under the ADA Title II final rule. This audit is offered as focused, priority input toward the April 24, 2026 deadline.</w:t>
      </w:r>
    </w:p>
    <w:p>
      <w:r>
        <w:br w:type="page"/>
      </w:r>
    </w:p>
    <w:p>
      <w:pPr>
        <w:pStyle w:val="Heading1"/>
        <w:spacing w:after="180" w:before="360"/>
      </w:pPr>
      <w:r>
        <w:rPr>
          <w:rFonts w:ascii="Calibri" w:cs="Calibri" w:eastAsia="Calibri" w:hAnsi="Calibri"/>
          <w:b/>
          <w:bCs/>
          <w:color w:val="1F3864"/>
          <w:sz w:val="32"/>
          <w:szCs w:val="32"/>
        </w:rPr>
        <w:t xml:space="preserve">Executive Summary</w:t>
      </w:r>
    </w:p>
    <w:p>
      <w:pPr>
        <w:spacing w:after="60" w:before="60"/>
      </w:pPr>
      <w:r>
        <w:rPr>
          <w:rFonts w:ascii="Calibri" w:cs="Calibri" w:eastAsia="Calibri" w:hAnsi="Calibri"/>
          <w:sz w:val="22"/>
          <w:szCs w:val="22"/>
        </w:rPr>
        <w:t xml:space="preserve">This audit evaluates four artifacts that together constitute the public-facing surface of the Colorado Courts E-Filing system:</w:t>
      </w:r>
    </w:p>
    <w:p>
      <w:pPr>
        <w:pStyle w:val="ListParagraph"/>
        <w:numPr>
          <w:ilvl w:val="0"/>
          <w:numId w:val="2"/>
        </w:numPr>
        <w:spacing w:after="40" w:before="40"/>
      </w:pPr>
      <w:r>
        <w:rPr>
          <w:rFonts w:ascii="Calibri" w:cs="Calibri" w:eastAsia="Calibri" w:hAnsi="Calibri"/>
          <w:sz w:val="22"/>
          <w:szCs w:val="22"/>
        </w:rPr>
        <w:t xml:space="preserve">home.htm / login.htm — the portal entry page (identical markup; home redirects to login)</w:t>
      </w:r>
    </w:p>
    <w:p>
      <w:pPr>
        <w:pStyle w:val="ListParagraph"/>
        <w:numPr>
          <w:ilvl w:val="0"/>
          <w:numId w:val="2"/>
        </w:numPr>
        <w:spacing w:after="40" w:before="40"/>
      </w:pPr>
      <w:r>
        <w:rPr>
          <w:rFonts w:ascii="Calibri" w:cs="Calibri" w:eastAsia="Calibri" w:hAnsi="Calibri"/>
          <w:sz w:val="22"/>
          <w:szCs w:val="22"/>
        </w:rPr>
        <w:t xml:space="preserve">register.htm — account creation, with the account-type selector</w:t>
      </w:r>
    </w:p>
    <w:p>
      <w:pPr>
        <w:pStyle w:val="ListParagraph"/>
        <w:numPr>
          <w:ilvl w:val="0"/>
          <w:numId w:val="2"/>
        </w:numPr>
        <w:spacing w:after="40" w:before="40"/>
      </w:pPr>
      <w:r>
        <w:rPr>
          <w:rFonts w:ascii="Calibri" w:cs="Calibri" w:eastAsia="Calibri" w:hAnsi="Calibri"/>
          <w:sz w:val="22"/>
          <w:szCs w:val="22"/>
        </w:rPr>
        <w:t xml:space="preserve">forgotPassword.htm — password recovery flow, step one of a two-step security-question process</w:t>
      </w:r>
    </w:p>
    <w:p>
      <w:pPr>
        <w:pStyle w:val="ListParagraph"/>
        <w:numPr>
          <w:ilvl w:val="0"/>
          <w:numId w:val="2"/>
        </w:numPr>
        <w:spacing w:after="40" w:before="40"/>
      </w:pPr>
      <w:r>
        <w:rPr>
          <w:rFonts w:ascii="Calibri" w:cs="Calibri" w:eastAsia="Calibri" w:hAnsi="Calibri"/>
          <w:sz w:val="22"/>
          <w:szCs w:val="22"/>
        </w:rPr>
        <w:t xml:space="preserve">Privacy_Policy.pdf — linked from every portal page, hosted on courts.state.co.us</w:t>
      </w:r>
    </w:p>
    <w:p>
      <w:pPr>
        <w:pStyle w:val="Heading3"/>
        <w:spacing w:after="100" w:before="220"/>
      </w:pPr>
      <w:r>
        <w:rPr>
          <w:rFonts w:ascii="Calibri" w:cs="Calibri" w:eastAsia="Calibri" w:hAnsi="Calibri"/>
          <w:b/>
          <w:bCs/>
          <w:color w:val="1F3864"/>
          <w:sz w:val="22"/>
          <w:szCs w:val="22"/>
        </w:rPr>
        <w:t xml:space="preserve">Out of Scope (flagged for Branch-internal review)</w:t>
      </w:r>
    </w:p>
    <w:p>
      <w:pPr>
        <w:pStyle w:val="ListParagraph"/>
        <w:numPr>
          <w:ilvl w:val="0"/>
          <w:numId w:val="2"/>
        </w:numPr>
        <w:spacing w:after="40" w:before="40"/>
      </w:pPr>
      <w:r>
        <w:rPr>
          <w:rFonts w:ascii="Calibri" w:cs="Calibri" w:eastAsia="Calibri" w:hAnsi="Calibri"/>
          <w:sz w:val="22"/>
          <w:szCs w:val="22"/>
        </w:rPr>
        <w:t xml:space="preserve">Authenticated filing flows (case caption entry, document upload, payment, service list, signature ceremony) — require credentials and could not be audited externally</w:t>
      </w:r>
    </w:p>
    <w:p>
      <w:pPr>
        <w:pStyle w:val="ListParagraph"/>
        <w:numPr>
          <w:ilvl w:val="0"/>
          <w:numId w:val="2"/>
        </w:numPr>
        <w:spacing w:after="40" w:before="40"/>
      </w:pPr>
      <w:r>
        <w:rPr>
          <w:rFonts w:ascii="Calibri" w:cs="Calibri" w:eastAsia="Calibri" w:hAnsi="Calibri"/>
          <w:sz w:val="22"/>
          <w:szCs w:val="22"/>
        </w:rPr>
        <w:t xml:space="preserve">Compatibility check popup (triggered by javascript:runCompatibilityCheckPopup)</w:t>
      </w:r>
    </w:p>
    <w:p>
      <w:pPr>
        <w:pStyle w:val="ListParagraph"/>
        <w:numPr>
          <w:ilvl w:val="0"/>
          <w:numId w:val="2"/>
        </w:numPr>
        <w:spacing w:after="40" w:before="40"/>
      </w:pPr>
      <w:r>
        <w:rPr>
          <w:rFonts w:ascii="Calibri" w:cs="Calibri" w:eastAsia="Calibri" w:hAnsi="Calibri"/>
          <w:sz w:val="22"/>
          <w:szCs w:val="22"/>
        </w:rPr>
        <w:t xml:space="preserve">Customer support popup (triggered by javascript:custSupportPopup)</w:t>
      </w:r>
    </w:p>
    <w:p>
      <w:pPr>
        <w:pStyle w:val="ListParagraph"/>
        <w:numPr>
          <w:ilvl w:val="0"/>
          <w:numId w:val="2"/>
        </w:numPr>
        <w:spacing w:after="40" w:before="40"/>
      </w:pPr>
      <w:r>
        <w:rPr>
          <w:rFonts w:ascii="Calibri" w:cs="Calibri" w:eastAsia="Calibri" w:hAnsi="Calibri"/>
          <w:sz w:val="22"/>
          <w:szCs w:val="22"/>
        </w:rPr>
        <w:t xml:space="preserve">The Billing Support sub-system on colorado.gov (different domain, different team)</w:t>
      </w:r>
    </w:p>
    <w:p>
      <w:pPr>
        <w:pStyle w:val="ListParagraph"/>
        <w:numPr>
          <w:ilvl w:val="0"/>
          <w:numId w:val="2"/>
        </w:numPr>
        <w:spacing w:after="40" w:before="40"/>
      </w:pPr>
      <w:r>
        <w:rPr>
          <w:rFonts w:ascii="Calibri" w:cs="Calibri" w:eastAsia="Calibri" w:hAnsi="Calibri"/>
          <w:sz w:val="22"/>
          <w:szCs w:val="22"/>
        </w:rPr>
        <w:t xml:space="preserve">Email/SMS messages sent by the system (registration confirmation, password reset, filing notifications) — each is a distinct accessibility surface</w:t>
      </w:r>
    </w:p>
    <w:p>
      <w:pPr>
        <w:pStyle w:val="Heading3"/>
        <w:spacing w:after="100" w:before="220"/>
      </w:pPr>
      <w:r>
        <w:rPr>
          <w:rFonts w:ascii="Calibri" w:cs="Calibri" w:eastAsia="Calibri" w:hAnsi="Calibri"/>
          <w:b/>
          <w:bCs/>
          <w:color w:val="1F3864"/>
          <w:sz w:val="22"/>
          <w:szCs w:val="22"/>
        </w:rPr>
        <w:t xml:space="preserve">Methodology</w:t>
      </w:r>
    </w:p>
    <w:p>
      <w:pPr>
        <w:spacing w:after="60" w:before="60"/>
      </w:pPr>
      <w:r>
        <w:rPr>
          <w:rFonts w:ascii="Calibri" w:cs="Calibri" w:eastAsia="Calibri" w:hAnsi="Calibri"/>
          <w:sz w:val="22"/>
          <w:szCs w:val="22"/>
        </w:rPr>
        <w:t xml:space="preserve">Each listed page was reviewed by static markup inspection and content analysis. The privacy PDF was inspected at the content-stream level. Findings were cross-referenced against WCAG 2.1 Level A and AA success criteria and against the relevant Title II regulatory text (28 C.F.R. § 35.200–205). Given the transactional nature of the portal, special attention was paid to the WCAG success criteria most implicated in authentication workflows: 1.3.1 (Info and Relationships), 1.3.5 (Identify Input Purpose), 3.3.1–3.3.3 (Error Identification, Labels, Error Suggestion), 4.1.2 (Name, Role, Value), and 4.1.3 (Status Messages).</w:t>
      </w:r>
    </w:p>
    <w:p>
      <w:pPr>
        <w:spacing w:after="60" w:before="60"/>
      </w:pPr>
      <w:r>
        <w:rPr>
          <w:rFonts w:ascii="Calibri" w:cs="Calibri" w:eastAsia="Calibri" w:hAnsi="Calibri"/>
          <w:sz w:val="22"/>
          <w:szCs w:val="22"/>
        </w:rPr>
        <w:t xml:space="preserve">This audit does not include runtime testing, screen-reader verification, automated scanning, contrast sampling, or user testing. Results should therefore be treated as the minimum observed non-conformance, not the exhaustive list. Authenticated-session audit is particularly important and is strongly recommended as a follow-on engagement.</w:t>
      </w:r>
    </w:p>
    <w:p>
      <w:pPr>
        <w:pStyle w:val="Heading3"/>
        <w:spacing w:after="100" w:before="220"/>
      </w:pPr>
      <w:r>
        <w:rPr>
          <w:rFonts w:ascii="Calibri" w:cs="Calibri" w:eastAsia="Calibri" w:hAnsi="Calibri"/>
          <w:b/>
          <w:bCs/>
          <w:color w:val="1F3864"/>
          <w:sz w:val="22"/>
          <w:szCs w:val="22"/>
        </w:rPr>
        <w:t xml:space="preserve">Headline Findings</w:t>
      </w:r>
    </w:p>
    <w:p>
      <w:pPr>
        <w:spacing w:after="60" w:before="60"/>
      </w:pPr>
      <w:r>
        <w:rPr>
          <w:rFonts w:ascii="Calibri" w:cs="Calibri" w:eastAsia="Calibri" w:hAnsi="Calibri"/>
          <w:sz w:val="22"/>
          <w:szCs w:val="22"/>
        </w:rPr>
        <w:t xml:space="preserve">The portal contains several findings that, individually, would be enough to constitute WCAG 2.1 AA non-conformance on the relevant page. Taken together, the portal as it stands today is not conformant. Three categories of issue dominate:</w:t>
      </w:r>
    </w:p>
    <w:p>
      <w:pPr>
        <w:pStyle w:val="ListParagraph"/>
        <w:numPr>
          <w:ilvl w:val="0"/>
          <w:numId w:val="2"/>
        </w:numPr>
        <w:spacing w:after="40" w:before="40"/>
      </w:pPr>
      <w:r>
        <w:rPr>
          <w:rFonts w:ascii="Calibri" w:cs="Calibri" w:eastAsia="Calibri" w:hAnsi="Calibri"/>
          <w:b/>
          <w:bCs/>
          <w:sz w:val="22"/>
          <w:szCs w:val="22"/>
        </w:rPr>
        <w:t xml:space="preserve">1. Authentication inputs lack programmatic labels. </w:t>
      </w:r>
      <w:r>
        <w:rPr>
          <w:rFonts w:ascii="Calibri" w:cs="Calibri" w:eastAsia="Calibri" w:hAnsi="Calibri"/>
          <w:sz w:val="22"/>
          <w:szCs w:val="22"/>
        </w:rPr>
        <w:t xml:space="preserve">The Email and Password inputs on the login page, and the Email input on the password-recovery page, display visible text prompts ("Email:", "Password:", "*E-mail:") but the &lt;label for&gt; association to the actual input is not determinable from the rendered markup. This is the single most impactful finding in this audit because these three inputs gate the entire system. A screen-reader user who cannot identify the password input cannot sign in.</w:t>
      </w:r>
    </w:p>
    <w:p>
      <w:pPr>
        <w:pStyle w:val="ListParagraph"/>
        <w:numPr>
          <w:ilvl w:val="0"/>
          <w:numId w:val="2"/>
        </w:numPr>
        <w:spacing w:after="40" w:before="40"/>
      </w:pPr>
      <w:r>
        <w:rPr>
          <w:rFonts w:ascii="Calibri" w:cs="Calibri" w:eastAsia="Calibri" w:hAnsi="Calibri"/>
          <w:b/>
          <w:bCs/>
          <w:sz w:val="22"/>
          <w:szCs w:val="22"/>
        </w:rPr>
        <w:t xml:space="preserve">2. The portal is built on an encoding, scripting, and structural foundation that fails multiple WCAG criteria at the page level. </w:t>
      </w:r>
      <w:r>
        <w:rPr>
          <w:rFonts w:ascii="Calibri" w:cs="Calibri" w:eastAsia="Calibri" w:hAnsi="Calibri"/>
          <w:sz w:val="22"/>
          <w:szCs w:val="22"/>
        </w:rPr>
        <w:t xml:space="preserve">Character encoding is declared as ISO-8859-1 while the content contains Unicode (the copyright symbol renders as the replacement character "�"). All three pages share the same &lt;title&gt;"Colorado Courts E-Filing" despite serving distinct purposes. The &lt;html&gt; element lacks a lang attribute. Footer utility links use the javascript: pseudo-protocol rather than real buttons. A hard-blocking notice refuses service to users without JavaScript, with no alternative filing path surfaced. These are system-level defects, not single-page defects.</w:t>
      </w:r>
    </w:p>
    <w:p>
      <w:pPr>
        <w:pStyle w:val="ListParagraph"/>
        <w:numPr>
          <w:ilvl w:val="0"/>
          <w:numId w:val="2"/>
        </w:numPr>
        <w:spacing w:after="40" w:before="40"/>
      </w:pPr>
      <w:r>
        <w:rPr>
          <w:rFonts w:ascii="Calibri" w:cs="Calibri" w:eastAsia="Calibri" w:hAnsi="Calibri"/>
          <w:b/>
          <w:bCs/>
          <w:sz w:val="22"/>
          <w:szCs w:val="22"/>
        </w:rPr>
        <w:t xml:space="preserve">3. Authentication flow design creates accessibility barriers beyond the page markup. </w:t>
      </w:r>
      <w:r>
        <w:rPr>
          <w:rFonts w:ascii="Calibri" w:cs="Calibri" w:eastAsia="Calibri" w:hAnsi="Calibri"/>
          <w:sz w:val="22"/>
          <w:szCs w:val="22"/>
        </w:rPr>
        <w:t xml:space="preserve">Security questions, while still common, are a form of memory-based authentication that fails accessibility expectations under WCAG 2.2's Accessible Authentication criterion (forward-looking). The password-reset flow is a two-step process with no visible progress indicator. Password managers — which function as assistive technology for many users with cognitive or motor disabilities — cannot reliably autofill the login form because the expected autocomplete attributes appear to be missing. No "show password" affordance is present.</w:t>
      </w:r>
    </w:p>
    <w:p>
      <w:pPr>
        <w:spacing w:after="60" w:before="120"/>
      </w:pPr>
      <w:r>
        <w:rPr>
          <w:rFonts w:ascii="Calibri" w:cs="Calibri" w:eastAsia="Calibri" w:hAnsi="Calibri"/>
          <w:sz w:val="22"/>
          <w:szCs w:val="22"/>
        </w:rPr>
        <w:t xml:space="preserve">The fix set is finite and largely achievable inside the April 24 window. The label-association repair alone could be completed in a single afternoon of template work. The encoding, title, and lang fixes are each one-line changes. The javascript: pseudo-link replacement is trivial. The harder items — consolidated accessibility statement, autocomplete attributes, visible show-password toggle, error-handling patterns, authenticated-flow audit — are appropriate 30-to-90-day work items.</w:t>
      </w:r>
    </w:p>
    <w:p>
      <w:r>
        <w:br w:type="page"/>
      </w:r>
    </w:p>
    <w:p>
      <w:pPr>
        <w:pStyle w:val="Heading1"/>
        <w:spacing w:after="180" w:before="360"/>
      </w:pPr>
      <w:r>
        <w:rPr>
          <w:rFonts w:ascii="Calibri" w:cs="Calibri" w:eastAsia="Calibri" w:hAnsi="Calibri"/>
          <w:b/>
          <w:bCs/>
          <w:color w:val="1F3864"/>
          <w:sz w:val="32"/>
          <w:szCs w:val="32"/>
        </w:rPr>
        <w:t xml:space="preserve">Artifact Summary</w:t>
      </w:r>
    </w:p>
    <w:p>
      <w:pPr>
        <w:spacing w:after="60" w:before="60"/>
      </w:pPr>
      <w:r>
        <w:rPr>
          <w:rFonts w:ascii="Calibri" w:cs="Calibri" w:eastAsia="Calibri" w:hAnsi="Calibri"/>
          <w:sz w:val="22"/>
          <w:szCs w:val="22"/>
        </w:rPr>
        <w:t xml:space="preserve">The table below is the at-a-glance view. Detailed findings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1260"/>
        <w:gridCol w:w="4380"/>
      </w:tblGrid>
      <w:tr>
        <w:trPr>
          <w:tblHeader/>
        </w:trPr>
        <w:tc>
          <w:tcPr>
            <w:tcW w:type="dxa" w:w="372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Artifact</w:t>
            </w:r>
          </w:p>
        </w:tc>
        <w:tc>
          <w:tcPr>
            <w:tcW w:type="dxa" w:w="12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Severity</w:t>
            </w:r>
          </w:p>
        </w:tc>
        <w:tc>
          <w:tcPr>
            <w:tcW w:type="dxa" w:w="43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Headline Finding</w:t>
            </w:r>
          </w:p>
        </w:tc>
      </w:tr>
      <w:tr>
        <w:tc>
          <w:tcPr>
            <w:tcW w:type="dxa" w:w="3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home.htm / login.htm</w:t>
            </w:r>
          </w:p>
        </w:tc>
        <w:tc>
          <w:tcPr>
            <w:tcW w:type="dxa" w:w="12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bCs/>
                <w:color w:val="C00000"/>
                <w:sz w:val="20"/>
                <w:szCs w:val="20"/>
              </w:rPr>
              <w:t xml:space="preserve">Critical</w:t>
            </w:r>
          </w:p>
        </w:tc>
        <w:tc>
          <w:tcPr>
            <w:tcW w:type="dxa" w:w="43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Email + Password inputs without programmatic labels; missing autocomplete; no show-password toggle</w:t>
            </w:r>
          </w:p>
        </w:tc>
      </w:tr>
      <w:tr>
        <w:tc>
          <w:tcPr>
            <w:tcW w:type="dxa" w:w="3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register.htm</w:t>
            </w:r>
          </w:p>
        </w:tc>
        <w:tc>
          <w:tcPr>
            <w:tcW w:type="dxa" w:w="12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Calibri" w:cs="Calibri" w:eastAsia="Calibri" w:hAnsi="Calibri"/>
                <w:b/>
                <w:bCs/>
                <w:color w:val="C00000"/>
                <w:sz w:val="20"/>
                <w:szCs w:val="20"/>
              </w:rPr>
              <w:t xml:space="preserve">Critical</w:t>
            </w:r>
          </w:p>
        </w:tc>
        <w:tc>
          <w:tcPr>
            <w:tcW w:type="dxa" w:w="43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Account-type selector without verifiable fieldset/legend; javascript: pseudo-links; encoding failure</w:t>
            </w:r>
          </w:p>
        </w:tc>
      </w:tr>
      <w:tr>
        <w:tc>
          <w:tcPr>
            <w:tcW w:type="dxa" w:w="3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forgotPassword.htm</w:t>
            </w:r>
          </w:p>
        </w:tc>
        <w:tc>
          <w:tcPr>
            <w:tcW w:type="dxa" w:w="12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bCs/>
                <w:color w:val="C00000"/>
                <w:sz w:val="20"/>
                <w:szCs w:val="20"/>
              </w:rPr>
              <w:t xml:space="preserve">Critical</w:t>
            </w:r>
          </w:p>
        </w:tc>
        <w:tc>
          <w:tcPr>
            <w:tcW w:type="dxa" w:w="43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Email input without programmatic label; asterisk-only required indicator; security-question flow</w:t>
            </w:r>
          </w:p>
        </w:tc>
      </w:tr>
      <w:tr>
        <w:tc>
          <w:tcPr>
            <w:tcW w:type="dxa" w:w="372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Privacy_Policy.pdf</w:t>
            </w:r>
          </w:p>
        </w:tc>
        <w:tc>
          <w:tcPr>
            <w:tcW w:type="dxa" w:w="126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Calibri" w:cs="Calibri" w:eastAsia="Calibri" w:hAnsi="Calibri"/>
                <w:b/>
                <w:bCs/>
                <w:color w:val="B45F06"/>
                <w:sz w:val="20"/>
                <w:szCs w:val="20"/>
              </w:rPr>
              <w:t xml:space="preserve">High</w:t>
            </w:r>
          </w:p>
        </w:tc>
        <w:tc>
          <w:tcPr>
            <w:tcW w:type="dxa" w:w="43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Untagged PDF; no document title metadata; no language declaration; inconsistent phone contact info</w:t>
            </w:r>
          </w:p>
        </w:tc>
      </w:tr>
      <w:tr>
        <w:tc>
          <w:tcPr>
            <w:tcW w:type="dxa" w:w="372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(all portal pages)</w:t>
            </w:r>
          </w:p>
        </w:tc>
        <w:tc>
          <w:tcPr>
            <w:tcW w:type="dxa" w:w="126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bCs/>
                <w:color w:val="C00000"/>
                <w:sz w:val="20"/>
                <w:szCs w:val="20"/>
              </w:rPr>
              <w:t xml:space="preserve">Critical</w:t>
            </w:r>
          </w:p>
        </w:tc>
        <w:tc>
          <w:tcPr>
            <w:tcW w:type="dxa" w:w="43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r>
              <w:rPr>
                <w:rFonts w:ascii="Calibri" w:cs="Calibri" w:eastAsia="Calibri" w:hAnsi="Calibri"/>
                <w:b w:val="false"/>
                <w:bCs w:val="false"/>
                <w:sz w:val="20"/>
                <w:szCs w:val="20"/>
              </w:rPr>
              <w:t xml:space="preserve">Identical &lt;title&gt;, no html lang, ISO-8859-1 encoding, javascript: pseudo-links, JS-required hard block</w:t>
            </w:r>
          </w:p>
        </w:tc>
      </w:tr>
    </w:tbl>
    <w:p>
      <w:r>
        <w:br w:type="page"/>
      </w:r>
    </w:p>
    <w:p>
      <w:pPr>
        <w:pStyle w:val="Heading1"/>
        <w:spacing w:after="180" w:before="360"/>
      </w:pPr>
      <w:r>
        <w:rPr>
          <w:rFonts w:ascii="Calibri" w:cs="Calibri" w:eastAsia="Calibri" w:hAnsi="Calibri"/>
          <w:b/>
          <w:bCs/>
          <w:color w:val="1F3864"/>
          <w:sz w:val="32"/>
          <w:szCs w:val="32"/>
        </w:rPr>
        <w:t xml:space="preserve">Findings by Artifact</w:t>
      </w:r>
    </w:p>
    <w:p>
      <w:pPr>
        <w:pStyle w:val="Heading2"/>
        <w:spacing w:after="140" w:before="280"/>
      </w:pPr>
      <w:r>
        <w:rPr>
          <w:rFonts w:ascii="Calibri" w:cs="Calibri" w:eastAsia="Calibri" w:hAnsi="Calibri"/>
          <w:b/>
          <w:bCs/>
          <w:color w:val="1F3864"/>
          <w:sz w:val="26"/>
          <w:szCs w:val="26"/>
        </w:rPr>
        <w:t xml:space="preserve">1. home.htm / login.htm  (portal entry)</w:t>
      </w:r>
    </w:p>
    <w:p>
      <w:pPr>
        <w:spacing w:after="60" w:before="60"/>
      </w:pPr>
      <w:r>
        <w:rPr>
          <w:rFonts w:ascii="Calibri" w:cs="Calibri" w:eastAsia="Calibri" w:hAnsi="Calibri"/>
          <w:sz w:val="22"/>
          <w:szCs w:val="22"/>
        </w:rPr>
        <w:t xml:space="preserve">home.htm redirects to login.htm; both render the same markup. This is the single most-visited page of the portal, the authentication gate to every downstream service, and the page where unlabeled inputs have the highest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1080"/>
        <w:gridCol w:w="900"/>
        <w:gridCol w:w="1980"/>
        <w:gridCol w:w="1980"/>
      </w:tblGrid>
      <w:tr>
        <w:trPr>
          <w:tblHeader/>
        </w:trPr>
        <w:tc>
          <w:tcPr>
            <w:tcW w:type="dxa" w:w="54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Issue</w:t>
            </w:r>
          </w:p>
        </w:tc>
        <w:tc>
          <w:tcPr>
            <w:tcW w:type="dxa" w:w="10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WCAG 2.1</w:t>
            </w:r>
          </w:p>
        </w:tc>
        <w:tc>
          <w:tcPr>
            <w:tcW w:type="dxa" w:w="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Severity</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Impact</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Remediation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Email input has no programmatically associated &lt;label&gt;. Visible text 'Email:' is present but label-to-input association is not determinable from rendered markup</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1.3.1, 3.3.2, 4.1.2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C00000"/>
                <w:sz w:val="20"/>
                <w:szCs w:val="20"/>
              </w:rPr>
              <w:t xml:space="preserve">Critical</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users navigating by form controls hear the input as unlabeled. Voice-control users cannot target it by name. This is the first of two fields that gate the entire system</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Add &lt;label for='email'&gt;Email&lt;/label&gt; with matching id on the input; consider aria-required='true'</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Password input has no programmatically associated &lt;label&gt; (same pattern as Email)</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1.3.1, 3.3.2, 4.1.2</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C00000"/>
                <w:sz w:val="20"/>
                <w:szCs w:val="20"/>
              </w:rPr>
              <w:t xml:space="preserve">Critical</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Same as above. The user cannot identify the password field non-visually</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Add &lt;label for='password'&gt;Password&lt;/label&gt;; ensure the input type is 'password' and that autocomplete is set</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autocomplete attributes appear on email or password inputs</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1.3.5</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Password managers — which function as assistive technology for users with memory, cognitive, or motor disabilities — cannot reliably autofill. Users with disabilities are more likely to depend on password managers; breaking them is an accessibility issue</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Set autocomplete='email' on the email input and autocomplete='current-password' on the password input</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4</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show/hide password affordance</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3.3.1, best practice supporting 2.5.3</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with motor disabilities, cognitive disabilities, magnified screens, or mobile devices cannot verify what they have typed. Leads to repeated failed login attempts; may trigger account lockout</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Add a button adjacent to the password field with accessible name 'Show password' / 'Hide password' and correct aria-pressed state; toggle input type between 'password' and 'text'</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5</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Sign In button — form structure, submit type, and accessible name unverifiable from markup</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1.3.1, 4.1.2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If not within a &lt;form&gt; or if button lacks type='submit', Enter-key submission behavior may be unpredictable; accessible name may not propagate</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Wrap inputs and button in &lt;form&gt; with action/method; button should be &lt;button type='submit'&gt;Sign In&lt;/button&gt;</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6</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Error-handling pattern for failed authentication not determinable from pre-submit markup</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3.3.1, 3.3.3, 4.1.3</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If login errors appear as red text without role='alert' or an aria-live region, screen-reader users do not hear the error and try to sign in repeatedly</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Audit authenticated-flow error handling: ensure errors use role='alert' or aria-live='assertive'; tie to the offending field via aria-describedby</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7</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Remember-me or trusted-device option visible</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Best practice (supports users under 2.5.3, 1.3.5)</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38761D"/>
                <w:sz w:val="20"/>
                <w:szCs w:val="20"/>
              </w:rPr>
              <w:t xml:space="preserve">Low</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Forces repeated credential entry — friction that compounds for users with motor, cognitive, or memory disabilities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Offer a 'Remember me on this device' checkbox with clear accessible name and explanatory help text</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8</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visible indication of account lockout policy or MFA enrollment before login attempt</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3.3.2, best practice</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don't know whether they are about to lock themselves out; users with cognitive disabilities benefit from advance notice of consequences</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Surface lockout policy (e.g., 'After 5 failed attempts your account will lock for 30 minutes') near the sign-in button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9</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Create Account and Forgot Password links sit as sibling text links with no grouping label</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38761D"/>
                <w:sz w:val="20"/>
                <w:szCs w:val="20"/>
              </w:rPr>
              <w:t xml:space="preserve">Low</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users scanning links hear them without the relational context 'sign-in alternatives'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Wrap the two links in a &lt;nav aria-label='Account options'&gt; or similar landmark</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10</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If CAPTCHA or similar human-verification is added (not present in current markup but common on login pages), its accessibility alternatives are unknown</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1.1.1, 2.1.1</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595959"/>
                <w:sz w:val="20"/>
                <w:szCs w:val="20"/>
              </w:rPr>
              <w:t xml:space="preserve">Flag (unknown)</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Image-based CAPTCHAs are a well-known accessibility barrier; audio CAPTCHAs fail Deaf users; hCaptcha and reCAPTCHA have their own issues</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If or when CAPTCHA is introduced, use a privacy-respecting, accessible alternative (e.g., Cloudflare Turnstile with accessibility mode) with multiple modalities</w:t>
            </w:r>
          </w:p>
        </w:tc>
      </w:tr>
    </w:tbl>
    <w:p>
      <w:r>
        <w:t xml:space="preserve"/>
      </w:r>
    </w:p>
    <w:p>
      <w:pPr>
        <w:pStyle w:val="Heading2"/>
        <w:spacing w:after="140" w:before="280"/>
      </w:pPr>
      <w:r>
        <w:rPr>
          <w:rFonts w:ascii="Calibri" w:cs="Calibri" w:eastAsia="Calibri" w:hAnsi="Calibri"/>
          <w:b/>
          <w:bCs/>
          <w:color w:val="1F3864"/>
          <w:sz w:val="26"/>
          <w:szCs w:val="26"/>
        </w:rPr>
        <w:t xml:space="preserve">2. register.htm  (account creation)</w:t>
      </w:r>
    </w:p>
    <w:p>
      <w:pPr>
        <w:spacing w:after="60" w:before="60"/>
      </w:pPr>
      <w:r>
        <w:rPr>
          <w:rFonts w:ascii="Calibri" w:cs="Calibri" w:eastAsia="Calibri" w:hAnsi="Calibri"/>
          <w:sz w:val="22"/>
          <w:szCs w:val="22"/>
        </w:rPr>
        <w:t xml:space="preserve">The registration page presents five account-type options in a selector-card pattern. Only the first step (account type selection) was accessible externally; post-selection registration flows are out of scope for this audit and are strongly recommended as a priority follow-on.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1080"/>
        <w:gridCol w:w="900"/>
        <w:gridCol w:w="1980"/>
        <w:gridCol w:w="1980"/>
      </w:tblGrid>
      <w:tr>
        <w:trPr>
          <w:tblHeader/>
        </w:trPr>
        <w:tc>
          <w:tcPr>
            <w:tcW w:type="dxa" w:w="54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Issue</w:t>
            </w:r>
          </w:p>
        </w:tc>
        <w:tc>
          <w:tcPr>
            <w:tcW w:type="dxa" w:w="10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WCAG 2.1</w:t>
            </w:r>
          </w:p>
        </w:tc>
        <w:tc>
          <w:tcPr>
            <w:tcW w:type="dxa" w:w="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Severity</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Impact</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Remediation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Account-type selector (Law Firm / Government Agency / Private Agency / Pro Hac Vice / Self-Represented) — fieldset/legend structure unverifiable</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1.3.1, 3.3.2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If each option is not grouped in a &lt;fieldset&gt; with a shared &lt;legend&gt;, screen-reader users may not understand the options belong to a single required choice</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Wrap all radio options in &lt;fieldset&gt;&lt;legend&gt;Select your account type (required)&lt;/legend&gt;...&lt;/fieldset&gt;</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Descriptive text under each option ('Firm or sole practitioner licensed to practice law in Colorado', 'Persons representing themselves...') is not programmatically associated with the corresponding radio input</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1.3.1, 3.3.2</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users hear the option label but not the explanatory text that helps them choose correctly</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Associate each description via aria-describedby; each radio's id pairs with the description's id</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Cancel / Continue buttons — accessible name, form association, and focus order unverifiable</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1.3.1, 4.1.2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Keyboard users may tab to Cancel before Continue or vice versa depending on DOM order vs. visual order</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Verify tab order matches visual order; buttons should be &lt;button type='submit'&gt; and &lt;button type='button'&gt; with clear names</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4</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skip link to the Continue button</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2.4.1</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Keyboard users must tab through all five account-type options to reach Continue</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Add 'Skip to Continue' link, or provide a Continue button adjacent to each option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5</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Selecting an account type reveals the full registration form via JavaScript; error states on subsequent fields unverifiable from pre-selection markup</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3.3.1, 3.3.3, 4.1.3</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Subsequent steps likely contain their own WCAG issues that are not visible pre-selection</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Audit each account-type-specific registration form separately; verify error patterns, required-field indicators, password-strength messaging, terms-acceptance</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6</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All systemic findings (encoding, javascript: links, identical title, no html lang, distinct branding, PDF-only privacy, JavaScript-required block) apply</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Multiple — see Systemic section</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C00000"/>
                <w:sz w:val="20"/>
                <w:szCs w:val="20"/>
              </w:rPr>
              <w:t xml:space="preserve">Critical</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Compounds every other finding on this page</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See Systemic Remediation section</w:t>
            </w:r>
          </w:p>
        </w:tc>
      </w:tr>
    </w:tbl>
    <w:p>
      <w:r>
        <w:t xml:space="preserve"/>
      </w:r>
    </w:p>
    <w:p>
      <w:pPr>
        <w:pStyle w:val="Heading2"/>
        <w:spacing w:after="140" w:before="280"/>
      </w:pPr>
      <w:r>
        <w:rPr>
          <w:rFonts w:ascii="Calibri" w:cs="Calibri" w:eastAsia="Calibri" w:hAnsi="Calibri"/>
          <w:b/>
          <w:bCs/>
          <w:color w:val="1F3864"/>
          <w:sz w:val="26"/>
          <w:szCs w:val="26"/>
        </w:rPr>
        <w:t xml:space="preserve">3. forgotPassword.htm  (password recovery, step 1)</w:t>
      </w:r>
    </w:p>
    <w:p>
      <w:pPr>
        <w:spacing w:after="60" w:before="60"/>
      </w:pPr>
      <w:r>
        <w:rPr>
          <w:rFonts w:ascii="Calibri" w:cs="Calibri" w:eastAsia="Calibri" w:hAnsi="Calibri"/>
          <w:sz w:val="22"/>
          <w:szCs w:val="22"/>
        </w:rPr>
        <w:t xml:space="preserve">Step 1 of a two-step recovery flow. The page collects an email, then (on submit) reveals a security-question step. Only step 1 is audited here; the security-question step is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1080"/>
        <w:gridCol w:w="900"/>
        <w:gridCol w:w="1980"/>
        <w:gridCol w:w="1980"/>
      </w:tblGrid>
      <w:tr>
        <w:trPr>
          <w:tblHeader/>
        </w:trPr>
        <w:tc>
          <w:tcPr>
            <w:tcW w:type="dxa" w:w="54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Issue</w:t>
            </w:r>
          </w:p>
        </w:tc>
        <w:tc>
          <w:tcPr>
            <w:tcW w:type="dxa" w:w="10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WCAG 2.1</w:t>
            </w:r>
          </w:p>
        </w:tc>
        <w:tc>
          <w:tcPr>
            <w:tcW w:type="dxa" w:w="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Severity</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Impact</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Remediation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*E-mail input has no programmatically associated &lt;label&gt;</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1.3.1, 3.3.2, 4.1.2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C00000"/>
                <w:sz w:val="20"/>
                <w:szCs w:val="20"/>
              </w:rPr>
              <w:t xml:space="preserve">Critical</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who have forgotten their password — already in a frustrated, cognitively loaded state — encounter an unlabeled input</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Add &lt;label for='email'&gt;E-mail (required)&lt;/label&gt; with aria-required='true'</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Required-field indicator is an asterisk with explanatory text '* Required Field' but the asterisk is not programmatically tied to the input</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1.3.1, 3.3.2</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users may hear the asterisk as 'asterisk' or 'star' without understanding it means required; some screen readers skip it entirely</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 aria-required='true' on the input; include the word '(required)' in the visible label; ensure the asterisk is decorative via aria-hidden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Numbered instructions (1. Insert your e-mail. 2. Press the retrieve... 3. Password reset instructions will be e-mailed) are visually separated from the form but not programmatically grouped with it</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users may not associate the instructions with the form they describe</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Wrap instructions and form in a common container with aria-labelledby pointing to the 'Forgot Password Instructions' heading</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4</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'Retrieve my Security Question' button — decent accessible name; but the security-question flow itself is a known accessibility concern</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Flag — forward-looking to WCAG 2.2 SC 3.3.8 Accessible Authentication</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Security questions rely on memory-based authentication, which WCAG 2.2's 3.3.8 identifies as an accessibility barrier for users with cognitive disabilities. Even pre-2.2, compound recall (what was the answer format? capitalization? how exactly did I spell my first pet's name?) disadvantages users with memory or cognitive impairments</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Long-term: migrate to email-based magic-link or passkey-based reset (both Accessible Authentication compliant). Short-term: add visible hints (e.g., 'case-insensitive') and a 'cannot remember security question' escape path</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5</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reCAPTCHA or equivalent visible in pre-submit markup, but these are commonly added to password-reset endpoints to prevent abuse. If present, accessibility not verifiable</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1.1.1, 2.1.1</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595959"/>
                <w:sz w:val="20"/>
                <w:szCs w:val="20"/>
              </w:rPr>
              <w:t xml:space="preserve">Flag (unknown)</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Image CAPTCHAs are an accessibility barrier; audio CAPTCHAs fail Deaf users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If CAPTCHA is present, document its accessibility approach; prefer token-based checks invisible to the user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6</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Password-reset email itself is part of the flow but was not auditable</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1.1.1, 1.3.1, 1.4.4 (within HTML email)</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595959"/>
                <w:sz w:val="20"/>
                <w:szCs w:val="20"/>
              </w:rPr>
              <w:t xml:space="preserve">Flag (unknown)</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HTML emails are a common accessibility failure point — inline CSS, missing alt text, tables-for-layout</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Audit the password-reset email HTML template as a separate engagement; ensure plain-text alternative is provided</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7</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Two-step recovery flow (retrieve security question, then answer it) has no visible progress indicator</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2.4.8 (AAA, cited as best practice)</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38761D"/>
                <w:sz w:val="20"/>
                <w:szCs w:val="20"/>
              </w:rPr>
              <w:t xml:space="preserve">Low</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with cognitive disabilities benefit from knowing where they are in a multi-step process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Add 'Step 1 of 2' indicator</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8</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All systemic findings apply</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Multiple — see Systemic section</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C00000"/>
                <w:sz w:val="20"/>
                <w:szCs w:val="20"/>
              </w:rPr>
              <w:t xml:space="preserve">Critical</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Compounds every other finding on this page</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See Systemic Remediation section</w:t>
            </w:r>
          </w:p>
        </w:tc>
      </w:tr>
    </w:tbl>
    <w:p>
      <w:r>
        <w:t xml:space="preserve"/>
      </w:r>
    </w:p>
    <w:p>
      <w:pPr>
        <w:pStyle w:val="Heading2"/>
        <w:spacing w:after="140" w:before="280"/>
      </w:pPr>
      <w:r>
        <w:rPr>
          <w:rFonts w:ascii="Calibri" w:cs="Calibri" w:eastAsia="Calibri" w:hAnsi="Calibri"/>
          <w:b/>
          <w:bCs/>
          <w:color w:val="1F3864"/>
          <w:sz w:val="26"/>
          <w:szCs w:val="26"/>
        </w:rPr>
        <w:t xml:space="preserve">4. Privacy_Policy.pdf  (linked from every portal page)</w:t>
      </w:r>
    </w:p>
    <w:p>
      <w:pPr>
        <w:spacing w:after="60" w:before="60"/>
      </w:pPr>
      <w:r>
        <w:rPr>
          <w:rFonts w:ascii="Calibri" w:cs="Calibri" w:eastAsia="Calibri" w:hAnsi="Calibri"/>
          <w:sz w:val="22"/>
          <w:szCs w:val="22"/>
        </w:rPr>
        <w:t xml:space="preserve">Hosted on a different subdomain (courts.state.co.us) but embedded into the portal's footer utility links. The PDF was inspected at the content-stream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1080"/>
        <w:gridCol w:w="900"/>
        <w:gridCol w:w="1980"/>
        <w:gridCol w:w="1980"/>
      </w:tblGrid>
      <w:tr>
        <w:trPr>
          <w:tblHeader/>
        </w:trPr>
        <w:tc>
          <w:tcPr>
            <w:tcW w:type="dxa" w:w="54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t>
            </w:r>
          </w:p>
        </w:tc>
        <w:tc>
          <w:tcPr>
            <w:tcW w:type="dxa" w:w="28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Issue</w:t>
            </w:r>
          </w:p>
        </w:tc>
        <w:tc>
          <w:tcPr>
            <w:tcW w:type="dxa" w:w="10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WCAG 2.1</w:t>
            </w:r>
          </w:p>
        </w:tc>
        <w:tc>
          <w:tcPr>
            <w:tcW w:type="dxa" w:w="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Severity</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Impact</w:t>
            </w:r>
          </w:p>
        </w:tc>
        <w:tc>
          <w:tcPr>
            <w:tcW w:type="dxa" w:w="198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Remediation</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Privacy policy PDF has no apparent document structure tags — single unstructured prose block</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1.3.1, 1.3.2, 4.1.2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users cannot navigate by heading or section; must listen to the entire document linearly</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Re-export PDF with tags enabled; define headings (Introduction, Data Collection, Third-Party Sites, Legal Disclaimer, Contact); ensure reading order is correct</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document title in PDF metadata; tab/window title shows filename 'Privacy_Policy.pdf' rather than readable title</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2.4.2</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with multiple PDFs open cannot distinguish between them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Set /Title in document properties to 'Colorado Courts E-Filing — Privacy Policy'</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No language declaration (/Lang entry) present</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3.1.1</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Screen-reader pronunciation engines cannot select the correct voice; mispronunciations of legal terminology</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Set document /Lang to 'en-US'</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4</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Phone number in PDF (1-855-264-2237) does NOT match the 720-625-5800 number on the HTML pages</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3.2.4 (Consistent Identification), accuracy concern</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get different contact information depending on which page they end up on. A user calling 1-855-264-2237 during the stated 7am-6pm hours may or may not reach the same support</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Reconcile contact information across all portal surfaces; publish a single authoritative contact block</w:t>
            </w:r>
          </w:p>
        </w:tc>
      </w:tr>
      <w:tr>
        <w:tc>
          <w:tcPr>
            <w:tcW w:type="dxa" w:w="54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5</w:t>
            </w:r>
          </w:p>
        </w:tc>
        <w:tc>
          <w:tcPr>
            <w:tcW w:type="dxa" w:w="28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Privacy policy is delivered only as PDF; no HTML equivalent on the portal</w:t>
            </w:r>
          </w:p>
        </w:tc>
        <w:tc>
          <w:tcPr>
            <w:tcW w:type="dxa" w:w="10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1.1.1, 1.3.2</w:t>
            </w:r>
          </w:p>
        </w:tc>
        <w:tc>
          <w:tcPr>
            <w:tcW w:type="dxa" w:w="90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bCs/>
                <w:color w:val="B45F06"/>
                <w:sz w:val="20"/>
                <w:szCs w:val="20"/>
              </w:rPr>
              <w:t xml:space="preserve">High</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A document every user must be able to review to make an informed decision about using the service is only available in a format that requires external software and has its own accessibility issues</w:t>
            </w:r>
          </w:p>
        </w:tc>
        <w:tc>
          <w:tcPr>
            <w:tcW w:type="dxa" w:w="1980"/>
            <w:tcBorders>
              <w:top w:val="single" w:color="BFBFBF" w:sz="4"/>
              <w:left w:val="single" w:color="BFBFBF" w:sz="4"/>
              <w:bottom w:val="single" w:color="BFBFBF" w:sz="4"/>
              <w:right w:val="single" w:color="BFBFBF" w:sz="4"/>
            </w:tcBorders>
            <w:shd w:fill="FFFFFF"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Publish the privacy policy as an HTML page on the portal; keep the PDF as a printable alternative</w:t>
            </w:r>
          </w:p>
        </w:tc>
      </w:tr>
      <w:tr>
        <w:tc>
          <w:tcPr>
            <w:tcW w:type="dxa" w:w="54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6</w:t>
            </w:r>
          </w:p>
        </w:tc>
        <w:tc>
          <w:tcPr>
            <w:tcW w:type="dxa" w:w="28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The PDF references monitoring, data collection, IP logging, and login activity, but the portal itself does not link to a plain-language summary or user-facing data-rights statement</w:t>
            </w:r>
          </w:p>
        </w:tc>
        <w:tc>
          <w:tcPr>
            <w:tcW w:type="dxa" w:w="10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3.1.5 (AAA — cognitive accessibility)</w:t>
            </w:r>
          </w:p>
        </w:tc>
        <w:tc>
          <w:tcPr>
            <w:tcW w:type="dxa" w:w="9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bCs/>
                <w:color w:val="7F6000"/>
                <w:sz w:val="20"/>
                <w:szCs w:val="20"/>
              </w:rPr>
              <w:t xml:space="preserve">Medium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Users with lower reading levels, cognitive disabilities, or limited English cannot easily understand what data is being collected about them</w:t>
            </w:r>
          </w:p>
        </w:tc>
        <w:tc>
          <w:tcPr>
            <w:tcW w:type="dxa" w:w="198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tcPr>
          <w:p>
            <w:pPr>
              <w:spacing w:after="20" w:before="20"/>
            </w:pPr>
            <w:r>
              <w:rPr>
                <w:rFonts w:ascii="Calibri" w:cs="Calibri" w:eastAsia="Calibri" w:hAnsi="Calibri"/>
                <w:b w:val="false"/>
                <w:bCs w:val="false"/>
                <w:sz w:val="20"/>
                <w:szCs w:val="20"/>
              </w:rPr>
              <w:t xml:space="preserve">Publish a plain-language data-collection summary (what, why, for how long) alongside the full policy</w:t>
            </w:r>
          </w:p>
        </w:tc>
      </w:tr>
    </w:tbl>
    <w:p>
      <w:r>
        <w:br w:type="page"/>
      </w:r>
    </w:p>
    <w:p>
      <w:pPr>
        <w:pStyle w:val="Heading1"/>
        <w:spacing w:after="180" w:before="360"/>
      </w:pPr>
      <w:r>
        <w:rPr>
          <w:rFonts w:ascii="Calibri" w:cs="Calibri" w:eastAsia="Calibri" w:hAnsi="Calibri"/>
          <w:b/>
          <w:bCs/>
          <w:color w:val="1F3864"/>
          <w:sz w:val="32"/>
          <w:szCs w:val="32"/>
        </w:rPr>
        <w:t xml:space="preserve">Systemic Findings (apply to all portal pages)</w:t>
      </w:r>
    </w:p>
    <w:p>
      <w:pPr>
        <w:spacing w:after="60" w:before="60"/>
      </w:pPr>
      <w:r>
        <w:rPr>
          <w:rFonts w:ascii="Calibri" w:cs="Calibri" w:eastAsia="Calibri" w:hAnsi="Calibri"/>
          <w:sz w:val="22"/>
          <w:szCs w:val="22"/>
        </w:rPr>
        <w:t xml:space="preserve">These findings recur across every public-facing page of the portal. Because they are template- or framework-level, they would each be fixed once rather than per-page. Cumulatively they are the largest class of issue on the portal.</w:t>
      </w:r>
    </w:p>
    <w:p>
      <w:pPr>
        <w:pStyle w:val="Heading3"/>
        <w:spacing w:after="100" w:before="220"/>
      </w:pPr>
      <w:r>
        <w:rPr>
          <w:rFonts w:ascii="Calibri" w:cs="Calibri" w:eastAsia="Calibri" w:hAnsi="Calibri"/>
          <w:b/>
          <w:bCs/>
          <w:color w:val="1F3864"/>
          <w:sz w:val="22"/>
          <w:szCs w:val="22"/>
        </w:rPr>
        <w:t xml:space="preserve">S1 — JavaScript-required hard block with no alternative filing path</w:t>
      </w:r>
    </w:p>
    <w:p>
      <w:pPr>
        <w:spacing w:after="60" w:before="60"/>
      </w:pPr>
      <w:r>
        <w:rPr>
          <w:rFonts w:ascii="Calibri" w:cs="Calibri" w:eastAsia="Calibri" w:hAnsi="Calibri"/>
          <w:sz w:val="22"/>
          <w:szCs w:val="22"/>
        </w:rPr>
        <w:t xml:space="preserve">Every portal page displays: "JavaScript must be enabled to access this site." No &lt;noscript&gt; fallback, no surfaced alternative filing path (by mail, at the clerk's window), no accommodation contact. Under WCAG 4.1.1 this is a parsing-and-robustness issue; under Title II's effective-communication duty it is a potentially serious one. Severity: Critical.</w:t>
      </w:r>
    </w:p>
    <w:p>
      <w:pPr>
        <w:pStyle w:val="Heading3"/>
        <w:spacing w:after="100" w:before="220"/>
      </w:pPr>
      <w:r>
        <w:rPr>
          <w:rFonts w:ascii="Calibri" w:cs="Calibri" w:eastAsia="Calibri" w:hAnsi="Calibri"/>
          <w:b/>
          <w:bCs/>
          <w:color w:val="1F3864"/>
          <w:sz w:val="22"/>
          <w:szCs w:val="22"/>
        </w:rPr>
        <w:t xml:space="preserve">S2 — javascript: pseudo-protocol links in every footer</w:t>
      </w:r>
    </w:p>
    <w:p>
      <w:pPr>
        <w:spacing w:after="60" w:before="60"/>
      </w:pPr>
      <w:r>
        <w:rPr>
          <w:rFonts w:ascii="Calibri" w:cs="Calibri" w:eastAsia="Calibri" w:hAnsi="Calibri"/>
          <w:sz w:val="22"/>
          <w:szCs w:val="22"/>
        </w:rPr>
        <w:t xml:space="preserve">'Recommended Browsers' and 'Contact Customer Support' footer links use href='javascript:runCompatibilityCheckPopup()' and href='javascript:custSupportPopup()'. These are not real links; they are function calls disguised as links. Keyboard and assistive-technology users may not be able to activate them reliably. WCAG 2.1.1 and 4.1.2. Severity: Critical.</w:t>
      </w:r>
    </w:p>
    <w:p>
      <w:pPr>
        <w:pStyle w:val="Heading3"/>
        <w:spacing w:after="100" w:before="220"/>
      </w:pPr>
      <w:r>
        <w:rPr>
          <w:rFonts w:ascii="Calibri" w:cs="Calibri" w:eastAsia="Calibri" w:hAnsi="Calibri"/>
          <w:b/>
          <w:bCs/>
          <w:color w:val="1F3864"/>
          <w:sz w:val="22"/>
          <w:szCs w:val="22"/>
        </w:rPr>
        <w:t xml:space="preserve">S3 — Character encoding misdeclaration</w:t>
      </w:r>
    </w:p>
    <w:p>
      <w:pPr>
        <w:spacing w:after="60" w:before="60"/>
      </w:pPr>
      <w:r>
        <w:rPr>
          <w:rFonts w:ascii="Calibri" w:cs="Calibri" w:eastAsia="Calibri" w:hAnsi="Calibri"/>
          <w:sz w:val="22"/>
          <w:szCs w:val="22"/>
        </w:rPr>
        <w:t xml:space="preserve">Every page declares content type as text/html;charset=ISO-8859-1 while the actual content includes Unicode characters (the © symbol being the visible example — it renders as "�"). This is a single-line fix in the page template (change meta charset to UTF-8). WCAG 3.1.1 indirectly. Severity: High.</w:t>
      </w:r>
    </w:p>
    <w:p>
      <w:pPr>
        <w:pStyle w:val="Heading3"/>
        <w:spacing w:after="100" w:before="220"/>
      </w:pPr>
      <w:r>
        <w:rPr>
          <w:rFonts w:ascii="Calibri" w:cs="Calibri" w:eastAsia="Calibri" w:hAnsi="Calibri"/>
          <w:b/>
          <w:bCs/>
          <w:color w:val="1F3864"/>
          <w:sz w:val="22"/>
          <w:szCs w:val="22"/>
        </w:rPr>
        <w:t xml:space="preserve">S4 — Identical page titles</w:t>
      </w:r>
    </w:p>
    <w:p>
      <w:pPr>
        <w:spacing w:after="60" w:before="60"/>
      </w:pPr>
      <w:r>
        <w:rPr>
          <w:rFonts w:ascii="Calibri" w:cs="Calibri" w:eastAsia="Calibri" w:hAnsi="Calibri"/>
          <w:sz w:val="22"/>
          <w:szCs w:val="22"/>
        </w:rPr>
        <w:t xml:space="preserve">All three audited pages have exactly the same &lt;title&gt;"Colorado Courts E-Filing". WCAG 2.4.2 requires page titles that describe topic or purpose. Users with screen readers and users managing multiple tabs cannot distinguish between login, register, and forgot-password pages. Each page should have a distinct title ("Sign In — Colorado Courts E-Filing", "Create Account — Colorado Courts E-Filing", "Forgot Password — Colorado Courts E-Filing"). Severity: High.</w:t>
      </w:r>
    </w:p>
    <w:p>
      <w:pPr>
        <w:pStyle w:val="Heading3"/>
        <w:spacing w:after="100" w:before="220"/>
      </w:pPr>
      <w:r>
        <w:rPr>
          <w:rFonts w:ascii="Calibri" w:cs="Calibri" w:eastAsia="Calibri" w:hAnsi="Calibri"/>
          <w:b/>
          <w:bCs/>
          <w:color w:val="1F3864"/>
          <w:sz w:val="22"/>
          <w:szCs w:val="22"/>
        </w:rPr>
        <w:t xml:space="preserve">S5 — Missing html lang attribute</w:t>
      </w:r>
    </w:p>
    <w:p>
      <w:pPr>
        <w:spacing w:after="60" w:before="60"/>
      </w:pPr>
      <w:r>
        <w:rPr>
          <w:rFonts w:ascii="Calibri" w:cs="Calibri" w:eastAsia="Calibri" w:hAnsi="Calibri"/>
          <w:sz w:val="22"/>
          <w:szCs w:val="22"/>
        </w:rPr>
        <w:t xml:space="preserve">The &lt;html&gt; element does not appear to have a lang attribute declared. Screen-reader pronunciation engines default to the user's system locale, which may not match the document. WCAG 3.1.1. Severity: High. Fix: &lt;html lang="en"&gt;</w:t>
      </w:r>
    </w:p>
    <w:p>
      <w:pPr>
        <w:pStyle w:val="Heading3"/>
        <w:spacing w:after="100" w:before="220"/>
      </w:pPr>
      <w:r>
        <w:rPr>
          <w:rFonts w:ascii="Calibri" w:cs="Calibri" w:eastAsia="Calibri" w:hAnsi="Calibri"/>
          <w:b/>
          <w:bCs/>
          <w:color w:val="1F3864"/>
          <w:sz w:val="22"/>
          <w:szCs w:val="22"/>
        </w:rPr>
        <w:t xml:space="preserve">S6 — Visual and interaction break from parent site</w:t>
      </w:r>
    </w:p>
    <w:p>
      <w:pPr>
        <w:spacing w:after="60" w:before="60"/>
      </w:pPr>
      <w:r>
        <w:rPr>
          <w:rFonts w:ascii="Calibri" w:cs="Calibri" w:eastAsia="Calibri" w:hAnsi="Calibri"/>
          <w:sz w:val="22"/>
          <w:szCs w:val="22"/>
        </w:rPr>
        <w:t xml:space="preserve">The portal's visual design, color palette, primary navigation, and layout are substantially different from coloradojudicial.gov. Users arriving from the Branch's main site encounter a new interface and must relearn spatial conventions. Users with cognitive disabilities are most affected by this break in consistency. WCAG 3.2.3 (Consistent Navigation) and 3.2.4 (Consistent Identification). Severity: High.</w:t>
      </w:r>
    </w:p>
    <w:p>
      <w:pPr>
        <w:pStyle w:val="Heading3"/>
        <w:spacing w:after="100" w:before="220"/>
      </w:pPr>
      <w:r>
        <w:rPr>
          <w:rFonts w:ascii="Calibri" w:cs="Calibri" w:eastAsia="Calibri" w:hAnsi="Calibri"/>
          <w:b/>
          <w:bCs/>
          <w:color w:val="1F3864"/>
          <w:sz w:val="22"/>
          <w:szCs w:val="22"/>
        </w:rPr>
        <w:t xml:space="preserve">S7 — Portal-specific accessibility statement missing</w:t>
      </w:r>
    </w:p>
    <w:p>
      <w:pPr>
        <w:spacing w:after="60" w:before="60"/>
      </w:pPr>
      <w:r>
        <w:rPr>
          <w:rFonts w:ascii="Calibri" w:cs="Calibri" w:eastAsia="Calibri" w:hAnsi="Calibri"/>
          <w:sz w:val="22"/>
          <w:szCs w:val="22"/>
        </w:rPr>
        <w:t xml:space="preserve">The footer 'Accessibility' link points to coloradojudicial.gov/accessibility-info — the Branch's general statement, which addresses the Branch's overall digital properties. There is no portal-specific conformance claim, no portal-specific accommodation contact, and no portal-specific feedback mechanism. Under the DOJ rule's guidance (and under HB 24-1454), an accessibility statement should describe the specific service. Severity: Medium.</w:t>
      </w:r>
    </w:p>
    <w:p>
      <w:pPr>
        <w:pStyle w:val="Heading3"/>
        <w:spacing w:after="100" w:before="220"/>
      </w:pPr>
      <w:r>
        <w:rPr>
          <w:rFonts w:ascii="Calibri" w:cs="Calibri" w:eastAsia="Calibri" w:hAnsi="Calibri"/>
          <w:b/>
          <w:bCs/>
          <w:color w:val="1F3864"/>
          <w:sz w:val="22"/>
          <w:szCs w:val="22"/>
        </w:rPr>
        <w:t xml:space="preserve">S8 — Browser gatekeeping</w:t>
      </w:r>
    </w:p>
    <w:p>
      <w:pPr>
        <w:spacing w:after="60" w:before="60"/>
      </w:pPr>
      <w:r>
        <w:rPr>
          <w:rFonts w:ascii="Calibri" w:cs="Calibri" w:eastAsia="Calibri" w:hAnsi="Calibri"/>
          <w:sz w:val="22"/>
          <w:szCs w:val="22"/>
        </w:rPr>
        <w:t xml:space="preserve">Every page says "We recommend the latest versions of Google Chrome or Microsoft Edge." This implies other browsers may not work. WCAG requires accessibility-supported technology, which in practice includes Safari (the default on iOS and macOS), Firefox (used with many assistive-tech stacks), and older versions of all browsers that are paired with older AT. Severity: High. Suggested fix: rephrase as "Optimized for the latest versions of Google Chrome, Microsoft Edge, Safari, and Firefox," and test against all four.</w:t>
      </w:r>
    </w:p>
    <w:p>
      <w:pPr>
        <w:pStyle w:val="Heading3"/>
        <w:spacing w:after="100" w:before="220"/>
      </w:pPr>
      <w:r>
        <w:rPr>
          <w:rFonts w:ascii="Calibri" w:cs="Calibri" w:eastAsia="Calibri" w:hAnsi="Calibri"/>
          <w:b/>
          <w:bCs/>
          <w:color w:val="1F3864"/>
          <w:sz w:val="22"/>
          <w:szCs w:val="22"/>
        </w:rPr>
        <w:t xml:space="preserve">S9 — Skipped heading levels in page footer</w:t>
      </w:r>
    </w:p>
    <w:p>
      <w:pPr>
        <w:spacing w:after="60" w:before="60"/>
      </w:pPr>
      <w:r>
        <w:rPr>
          <w:rFonts w:ascii="Calibri" w:cs="Calibri" w:eastAsia="Calibri" w:hAnsi="Calibri"/>
          <w:sz w:val="22"/>
          <w:szCs w:val="22"/>
        </w:rPr>
        <w:t xml:space="preserve">Footer support information uses h3 (section titles), then h5 (subsection), then h6 (field labels like 'Hours:'). WCAG 1.3.1 and 2.4.6. Severity: Medium.</w:t>
      </w:r>
    </w:p>
    <w:p>
      <w:pPr>
        <w:pStyle w:val="Heading3"/>
        <w:spacing w:after="100" w:before="220"/>
      </w:pPr>
      <w:r>
        <w:rPr>
          <w:rFonts w:ascii="Calibri" w:cs="Calibri" w:eastAsia="Calibri" w:hAnsi="Calibri"/>
          <w:b/>
          <w:bCs/>
          <w:color w:val="1F3864"/>
          <w:sz w:val="22"/>
          <w:szCs w:val="22"/>
        </w:rPr>
        <w:t xml:space="preserve">S10 — Two versions in circulation</w:t>
      </w:r>
    </w:p>
    <w:p>
      <w:pPr>
        <w:spacing w:after="60" w:before="60"/>
      </w:pPr>
      <w:r>
        <w:rPr>
          <w:rFonts w:ascii="Calibri" w:cs="Calibri" w:eastAsia="Calibri" w:hAnsi="Calibri"/>
          <w:sz w:val="22"/>
          <w:szCs w:val="22"/>
        </w:rPr>
        <w:t xml:space="preserve">The register.htm page footer shows 'v6.0.8'. The login.htm and forgotPassword.htm pages show 'v6.0.10'. This is a quality-process signal (staged deployment; pages revving independently), not a WCAG finding in itself, but it suggests accessibility fixes applied to one page may not automatically propagate to others. Severity: Low.</w:t>
      </w:r>
    </w:p>
    <w:p>
      <w:r>
        <w:br w:type="page"/>
      </w:r>
    </w:p>
    <w:p>
      <w:pPr>
        <w:pStyle w:val="Heading1"/>
        <w:spacing w:after="180" w:before="360"/>
      </w:pPr>
      <w:r>
        <w:rPr>
          <w:rFonts w:ascii="Calibri" w:cs="Calibri" w:eastAsia="Calibri" w:hAnsi="Calibri"/>
          <w:b/>
          <w:bCs/>
          <w:color w:val="1F3864"/>
          <w:sz w:val="32"/>
          <w:szCs w:val="32"/>
        </w:rPr>
        <w:t xml:space="preserve">Authentication Accessibility — Cross-Cutting Analysis</w:t>
      </w:r>
    </w:p>
    <w:p>
      <w:pPr>
        <w:spacing w:after="60" w:before="60"/>
      </w:pPr>
      <w:r>
        <w:rPr>
          <w:rFonts w:ascii="Calibri" w:cs="Calibri" w:eastAsia="Calibri" w:hAnsi="Calibri"/>
          <w:sz w:val="22"/>
          <w:szCs w:val="22"/>
        </w:rPr>
        <w:t xml:space="preserve">Login systems have a special accessibility profile. The WCAG criteria apply, but they apply in a higher-stakes context (if the user cannot authenticate, no downstream accessibility work matters) and they combine in ways that informational pages don't face. This section summarizes the authentication-specific concerns raised by the portal's current design.</w:t>
      </w:r>
    </w:p>
    <w:p>
      <w:pPr>
        <w:pStyle w:val="Heading3"/>
        <w:spacing w:after="100" w:before="220"/>
      </w:pPr>
      <w:r>
        <w:rPr>
          <w:rFonts w:ascii="Calibri" w:cs="Calibri" w:eastAsia="Calibri" w:hAnsi="Calibri"/>
          <w:b/>
          <w:bCs/>
          <w:color w:val="1F3864"/>
          <w:sz w:val="22"/>
          <w:szCs w:val="22"/>
        </w:rPr>
        <w:t xml:space="preserve">Identify Input Purpose (WCAG 1.3.5, AA)</w:t>
      </w:r>
    </w:p>
    <w:p>
      <w:pPr>
        <w:spacing w:after="60" w:before="60"/>
      </w:pPr>
      <w:r>
        <w:rPr>
          <w:rFonts w:ascii="Calibri" w:cs="Calibri" w:eastAsia="Calibri" w:hAnsi="Calibri"/>
          <w:sz w:val="22"/>
          <w:szCs w:val="22"/>
        </w:rPr>
        <w:t xml:space="preserve">Level AA requires that the purpose of each input field collecting user information can be programmatically determined. For login forms this means autocomplete='email', autocomplete='username', autocomplete='current-password', and autocomplete='new-password' as appropriate. The portal's inputs do not appear to carry these attributes. Fixing this is a per-input attribute addition.</w:t>
      </w:r>
    </w:p>
    <w:p>
      <w:pPr>
        <w:pStyle w:val="Heading3"/>
        <w:spacing w:after="100" w:before="220"/>
      </w:pPr>
      <w:r>
        <w:rPr>
          <w:rFonts w:ascii="Calibri" w:cs="Calibri" w:eastAsia="Calibri" w:hAnsi="Calibri"/>
          <w:b/>
          <w:bCs/>
          <w:color w:val="1F3864"/>
          <w:sz w:val="22"/>
          <w:szCs w:val="22"/>
        </w:rPr>
        <w:t xml:space="preserve">Password managers as assistive technology</w:t>
      </w:r>
    </w:p>
    <w:p>
      <w:pPr>
        <w:spacing w:after="60" w:before="60"/>
      </w:pPr>
      <w:r>
        <w:rPr>
          <w:rFonts w:ascii="Calibri" w:cs="Calibri" w:eastAsia="Calibri" w:hAnsi="Calibri"/>
          <w:sz w:val="22"/>
          <w:szCs w:val="22"/>
        </w:rPr>
        <w:t xml:space="preserve">Password managers are used widely, but their value to users with disabilities is outsized. Users with cognitive or memory disabilities rely on them because remembering complex unique passwords across dozens of services is simply not achievable. Users with motor disabilities rely on them because typing passwords correctly is disproportionately hard. When a login form lacks autocomplete attributes or uses non-standard DOM structures, password managers fail to recognize the fields. That failure is an accessibility failure, even if the WCAG criterion invoked is 1.3.5 rather than a named 'password manager' requirement.</w:t>
      </w:r>
    </w:p>
    <w:p>
      <w:pPr>
        <w:pStyle w:val="Heading3"/>
        <w:spacing w:after="100" w:before="220"/>
      </w:pPr>
      <w:r>
        <w:rPr>
          <w:rFonts w:ascii="Calibri" w:cs="Calibri" w:eastAsia="Calibri" w:hAnsi="Calibri"/>
          <w:b/>
          <w:bCs/>
          <w:color w:val="1F3864"/>
          <w:sz w:val="22"/>
          <w:szCs w:val="22"/>
        </w:rPr>
        <w:t xml:space="preserve">Security questions (WCAG 2.2 SC 3.3.8, forward-looking)</w:t>
      </w:r>
    </w:p>
    <w:p>
      <w:pPr>
        <w:spacing w:after="60" w:before="60"/>
      </w:pPr>
      <w:r>
        <w:rPr>
          <w:rFonts w:ascii="Calibri" w:cs="Calibri" w:eastAsia="Calibri" w:hAnsi="Calibri"/>
          <w:sz w:val="22"/>
          <w:szCs w:val="22"/>
        </w:rPr>
        <w:t xml:space="preserve">The forgotPassword.htm flow uses security questions as its first-step authentication. WCAG 2.2 SC 3.3.8 (Accessible Authentication, AA) identifies memory-based cognitive function tests — which security questions are — as an accessibility barrier that must have a non-cognitive alternative. The Branch is compliant with WCAG 2.1 today, which does not include this criterion, but the trend is clear: security questions are being phased out of accessible systems. The Branch should evaluate migrating to email magic-link or passkey-based reset flows.</w:t>
      </w:r>
    </w:p>
    <w:p>
      <w:pPr>
        <w:pStyle w:val="Heading3"/>
        <w:spacing w:after="100" w:before="220"/>
      </w:pPr>
      <w:r>
        <w:rPr>
          <w:rFonts w:ascii="Calibri" w:cs="Calibri" w:eastAsia="Calibri" w:hAnsi="Calibri"/>
          <w:b/>
          <w:bCs/>
          <w:color w:val="1F3864"/>
          <w:sz w:val="22"/>
          <w:szCs w:val="22"/>
        </w:rPr>
        <w:t xml:space="preserve">Multi-factor authentication accessibility</w:t>
      </w:r>
    </w:p>
    <w:p>
      <w:pPr>
        <w:spacing w:after="60" w:before="60"/>
      </w:pPr>
      <w:r>
        <w:rPr>
          <w:rFonts w:ascii="Calibri" w:cs="Calibri" w:eastAsia="Calibri" w:hAnsi="Calibri"/>
          <w:sz w:val="22"/>
          <w:szCs w:val="22"/>
        </w:rPr>
        <w:t xml:space="preserve">If the portal uses or adopts multi-factor authentication, the accessibility of each factor must be considered. SMS-based codes fail Deaf users of TTY and users of older phones. TOTP apps require sighted setup of a QR code (an accessible alternative text code is required). Hardware keys are physically inaccessible to some users. A compliant MFA implementation offers at least two distinct factor classes, with accessibility alternatives within each. This was not determinable from the unauthenticated pages.</w:t>
      </w:r>
    </w:p>
    <w:p>
      <w:pPr>
        <w:pStyle w:val="Heading3"/>
        <w:spacing w:after="100" w:before="220"/>
      </w:pPr>
      <w:r>
        <w:rPr>
          <w:rFonts w:ascii="Calibri" w:cs="Calibri" w:eastAsia="Calibri" w:hAnsi="Calibri"/>
          <w:b/>
          <w:bCs/>
          <w:color w:val="1F3864"/>
          <w:sz w:val="22"/>
          <w:szCs w:val="22"/>
        </w:rPr>
        <w:t xml:space="preserve">Session timeouts and filing preservation</w:t>
      </w:r>
    </w:p>
    <w:p>
      <w:pPr>
        <w:spacing w:after="60" w:before="60"/>
      </w:pPr>
      <w:r>
        <w:rPr>
          <w:rFonts w:ascii="Calibri" w:cs="Calibri" w:eastAsia="Calibri" w:hAnsi="Calibri"/>
          <w:sz w:val="22"/>
          <w:szCs w:val="22"/>
        </w:rPr>
        <w:t xml:space="preserve">Filing systems commonly expire sessions mid-workflow. Users with disabilities generally take longer to complete complex tasks. If the system expires a session without warning and loses in-progress filing data, that is both a WCAG 2.2.1 (Timing Adjustable) issue and — because the underlying task is a legal filing subject to deadlines — a potential due-process issue. This requires authenticated-flow audit to verify.</w:t>
      </w:r>
    </w:p>
    <w:p>
      <w:pPr>
        <w:pStyle w:val="Heading3"/>
        <w:spacing w:after="100" w:before="220"/>
      </w:pPr>
      <w:r>
        <w:rPr>
          <w:rFonts w:ascii="Calibri" w:cs="Calibri" w:eastAsia="Calibri" w:hAnsi="Calibri"/>
          <w:b/>
          <w:bCs/>
          <w:color w:val="1F3864"/>
          <w:sz w:val="22"/>
          <w:szCs w:val="22"/>
        </w:rPr>
        <w:t xml:space="preserve">Show password and paste behavior</w:t>
      </w:r>
    </w:p>
    <w:p>
      <w:pPr>
        <w:spacing w:after="60" w:before="60"/>
      </w:pPr>
      <w:r>
        <w:rPr>
          <w:rFonts w:ascii="Calibri" w:cs="Calibri" w:eastAsia="Calibri" w:hAnsi="Calibri"/>
          <w:sz w:val="22"/>
          <w:szCs w:val="22"/>
        </w:rPr>
        <w:t xml:space="preserve">Modern accessibility guidance (NIST SP 800-63B; WCAG SC 2.5.3 Label in Name) converges on: allow pasting into password fields, offer a visible show-password toggle, and surface password requirements inline. None of these are visible on the portal's login or reset pages.</w:t>
      </w:r>
    </w:p>
    <w:p>
      <w:r>
        <w:br w:type="page"/>
      </w:r>
    </w:p>
    <w:p>
      <w:pPr>
        <w:pStyle w:val="Heading1"/>
        <w:spacing w:after="180" w:before="360"/>
      </w:pPr>
      <w:r>
        <w:rPr>
          <w:rFonts w:ascii="Calibri" w:cs="Calibri" w:eastAsia="Calibri" w:hAnsi="Calibri"/>
          <w:b/>
          <w:bCs/>
          <w:color w:val="1F3864"/>
          <w:sz w:val="32"/>
          <w:szCs w:val="32"/>
        </w:rPr>
        <w:t xml:space="preserve">Prioritized Remediation Plan</w:t>
      </w:r>
    </w:p>
    <w:p>
      <w:pPr>
        <w:spacing w:after="60" w:before="60"/>
      </w:pPr>
      <w:r>
        <w:rPr>
          <w:rFonts w:ascii="Calibri" w:cs="Calibri" w:eastAsia="Calibri" w:hAnsi="Calibri"/>
          <w:sz w:val="22"/>
          <w:szCs w:val="22"/>
        </w:rPr>
        <w:t xml:space="preserve">Remediation items are ordered relative to the April 24, 2026 deadline. The E-Filing portal is the Branch's most legally exposed digital surface; items in the 'Before April 24' tier are therefore aggressive but achievable.</w:t>
      </w:r>
    </w:p>
    <w:p>
      <w:pPr>
        <w:pStyle w:val="Heading3"/>
        <w:spacing w:after="100" w:before="220"/>
      </w:pPr>
      <w:r>
        <w:rPr>
          <w:rFonts w:ascii="Calibri" w:cs="Calibri" w:eastAsia="Calibri" w:hAnsi="Calibri"/>
          <w:b/>
          <w:bCs/>
          <w:color w:val="1F3864"/>
          <w:sz w:val="22"/>
          <w:szCs w:val="22"/>
        </w:rPr>
        <w:t xml:space="preserve">Before April 24, 2026 (4 days — critical-path fixes)</w:t>
      </w:r>
    </w:p>
    <w:p>
      <w:pPr>
        <w:spacing w:after="60" w:before="60"/>
      </w:pPr>
      <w:r>
        <w:rPr>
          <w:rFonts w:ascii="Calibri" w:cs="Calibri" w:eastAsia="Calibri" w:hAnsi="Calibri"/>
          <w:sz w:val="22"/>
          <w:szCs w:val="22"/>
        </w:rPr>
        <w:t xml:space="preserve">Each of these is a small code change. Together they elevate the portal from non-conformant to substantially closer to AA on the specific surfaces most likely to be tested by an enforcement review:</w:t>
      </w:r>
    </w:p>
    <w:p>
      <w:pPr>
        <w:pStyle w:val="ListParagraph"/>
        <w:numPr>
          <w:ilvl w:val="0"/>
          <w:numId w:val="2"/>
        </w:numPr>
        <w:spacing w:after="40" w:before="40"/>
      </w:pPr>
      <w:r>
        <w:rPr>
          <w:rFonts w:ascii="Calibri" w:cs="Calibri" w:eastAsia="Calibri" w:hAnsi="Calibri"/>
          <w:sz w:val="22"/>
          <w:szCs w:val="22"/>
        </w:rPr>
        <w:t xml:space="preserve">Add &lt;label for&gt; associations to all three form inputs (login email, login password, forgot-password email). One commit.</w:t>
      </w:r>
    </w:p>
    <w:p>
      <w:pPr>
        <w:pStyle w:val="ListParagraph"/>
        <w:numPr>
          <w:ilvl w:val="0"/>
          <w:numId w:val="2"/>
        </w:numPr>
        <w:spacing w:after="40" w:before="40"/>
      </w:pPr>
      <w:r>
        <w:rPr>
          <w:rFonts w:ascii="Calibri" w:cs="Calibri" w:eastAsia="Calibri" w:hAnsi="Calibri"/>
          <w:sz w:val="22"/>
          <w:szCs w:val="22"/>
        </w:rPr>
        <w:t xml:space="preserve">Change meta charset to UTF-8 across all portal pages. One line per page template.</w:t>
      </w:r>
    </w:p>
    <w:p>
      <w:pPr>
        <w:pStyle w:val="ListParagraph"/>
        <w:numPr>
          <w:ilvl w:val="0"/>
          <w:numId w:val="2"/>
        </w:numPr>
        <w:spacing w:after="40" w:before="40"/>
      </w:pPr>
      <w:r>
        <w:rPr>
          <w:rFonts w:ascii="Calibri" w:cs="Calibri" w:eastAsia="Calibri" w:hAnsi="Calibri"/>
          <w:sz w:val="22"/>
          <w:szCs w:val="22"/>
        </w:rPr>
        <w:t xml:space="preserve">Set distinct &lt;title&gt; for each page (Sign In, Create Account, Forgot Password). One commit.</w:t>
      </w:r>
    </w:p>
    <w:p>
      <w:pPr>
        <w:pStyle w:val="ListParagraph"/>
        <w:numPr>
          <w:ilvl w:val="0"/>
          <w:numId w:val="2"/>
        </w:numPr>
        <w:spacing w:after="40" w:before="40"/>
      </w:pPr>
      <w:r>
        <w:rPr>
          <w:rFonts w:ascii="Calibri" w:cs="Calibri" w:eastAsia="Calibri" w:hAnsi="Calibri"/>
          <w:sz w:val="22"/>
          <w:szCs w:val="22"/>
        </w:rPr>
        <w:t xml:space="preserve">Add lang='en' to the &lt;html&gt; element. One line per page template.</w:t>
      </w:r>
    </w:p>
    <w:p>
      <w:pPr>
        <w:pStyle w:val="ListParagraph"/>
        <w:numPr>
          <w:ilvl w:val="0"/>
          <w:numId w:val="2"/>
        </w:numPr>
        <w:spacing w:after="40" w:before="40"/>
      </w:pPr>
      <w:r>
        <w:rPr>
          <w:rFonts w:ascii="Calibri" w:cs="Calibri" w:eastAsia="Calibri" w:hAnsi="Calibri"/>
          <w:sz w:val="22"/>
          <w:szCs w:val="22"/>
        </w:rPr>
        <w:t xml:space="preserve">Replace javascript: pseudo-links in the footer with real &lt;button&gt; elements or real URLs. One commit.</w:t>
      </w:r>
    </w:p>
    <w:p>
      <w:pPr>
        <w:pStyle w:val="ListParagraph"/>
        <w:numPr>
          <w:ilvl w:val="0"/>
          <w:numId w:val="2"/>
        </w:numPr>
        <w:spacing w:after="40" w:before="40"/>
      </w:pPr>
      <w:r>
        <w:rPr>
          <w:rFonts w:ascii="Calibri" w:cs="Calibri" w:eastAsia="Calibri" w:hAnsi="Calibri"/>
          <w:sz w:val="22"/>
          <w:szCs w:val="22"/>
        </w:rPr>
        <w:t xml:space="preserve">Add a visible alternative-filing-path notice alongside the 'JavaScript must be enabled' text: a phone number, a clerk-window address, and an accommodation-request email address.</w:t>
      </w:r>
    </w:p>
    <w:p>
      <w:pPr>
        <w:pStyle w:val="ListParagraph"/>
        <w:numPr>
          <w:ilvl w:val="0"/>
          <w:numId w:val="2"/>
        </w:numPr>
        <w:spacing w:after="40" w:before="40"/>
      </w:pPr>
      <w:r>
        <w:rPr>
          <w:rFonts w:ascii="Calibri" w:cs="Calibri" w:eastAsia="Calibri" w:hAnsi="Calibri"/>
          <w:sz w:val="22"/>
          <w:szCs w:val="22"/>
        </w:rPr>
        <w:t xml:space="preserve">Publish a portal-specific accessibility statement at a discoverable URL within the jbits.courts.state.co.us subdomain.</w:t>
      </w:r>
    </w:p>
    <w:p>
      <w:pPr>
        <w:pStyle w:val="ListParagraph"/>
        <w:numPr>
          <w:ilvl w:val="0"/>
          <w:numId w:val="2"/>
        </w:numPr>
        <w:spacing w:after="40" w:before="40"/>
      </w:pPr>
      <w:r>
        <w:rPr>
          <w:rFonts w:ascii="Calibri" w:cs="Calibri" w:eastAsia="Calibri" w:hAnsi="Calibri"/>
          <w:sz w:val="22"/>
          <w:szCs w:val="22"/>
        </w:rPr>
        <w:t xml:space="preserve">Reconcile the phone contact numbers (PDF shows 1-855-264-2237; HTML shows 720-625-5800). Publish one authoritative number.</w:t>
      </w:r>
    </w:p>
    <w:p>
      <w:pPr>
        <w:pStyle w:val="Heading3"/>
        <w:spacing w:after="100" w:before="220"/>
      </w:pPr>
      <w:r>
        <w:rPr>
          <w:rFonts w:ascii="Calibri" w:cs="Calibri" w:eastAsia="Calibri" w:hAnsi="Calibri"/>
          <w:b/>
          <w:bCs/>
          <w:color w:val="1F3864"/>
          <w:sz w:val="22"/>
          <w:szCs w:val="22"/>
        </w:rPr>
        <w:t xml:space="preserve">Within 30 days (by May 20, 2026)</w:t>
      </w:r>
    </w:p>
    <w:p>
      <w:pPr>
        <w:pStyle w:val="ListParagraph"/>
        <w:numPr>
          <w:ilvl w:val="0"/>
          <w:numId w:val="2"/>
        </w:numPr>
        <w:spacing w:after="40" w:before="40"/>
      </w:pPr>
      <w:r>
        <w:rPr>
          <w:rFonts w:ascii="Calibri" w:cs="Calibri" w:eastAsia="Calibri" w:hAnsi="Calibri"/>
          <w:sz w:val="22"/>
          <w:szCs w:val="22"/>
        </w:rPr>
        <w:t xml:space="preserve">Add autocomplete='email' and autocomplete='current-password' (and equivalent new-password on register).</w:t>
      </w:r>
    </w:p>
    <w:p>
      <w:pPr>
        <w:pStyle w:val="ListParagraph"/>
        <w:numPr>
          <w:ilvl w:val="0"/>
          <w:numId w:val="2"/>
        </w:numPr>
        <w:spacing w:after="40" w:before="40"/>
      </w:pPr>
      <w:r>
        <w:rPr>
          <w:rFonts w:ascii="Calibri" w:cs="Calibri" w:eastAsia="Calibri" w:hAnsi="Calibri"/>
          <w:sz w:val="22"/>
          <w:szCs w:val="22"/>
        </w:rPr>
        <w:t xml:space="preserve">Add a Show/Hide password toggle with correct aria-pressed state.</w:t>
      </w:r>
    </w:p>
    <w:p>
      <w:pPr>
        <w:pStyle w:val="ListParagraph"/>
        <w:numPr>
          <w:ilvl w:val="0"/>
          <w:numId w:val="2"/>
        </w:numPr>
        <w:spacing w:after="40" w:before="40"/>
      </w:pPr>
      <w:r>
        <w:rPr>
          <w:rFonts w:ascii="Calibri" w:cs="Calibri" w:eastAsia="Calibri" w:hAnsi="Calibri"/>
          <w:sz w:val="22"/>
          <w:szCs w:val="22"/>
        </w:rPr>
        <w:t xml:space="preserve">Convert the Privacy Policy to HTML; keep the PDF as a printable alternative and tag it fully.</w:t>
      </w:r>
    </w:p>
    <w:p>
      <w:pPr>
        <w:pStyle w:val="ListParagraph"/>
        <w:numPr>
          <w:ilvl w:val="0"/>
          <w:numId w:val="2"/>
        </w:numPr>
        <w:spacing w:after="40" w:before="40"/>
      </w:pPr>
      <w:r>
        <w:rPr>
          <w:rFonts w:ascii="Calibri" w:cs="Calibri" w:eastAsia="Calibri" w:hAnsi="Calibri"/>
          <w:sz w:val="22"/>
          <w:szCs w:val="22"/>
        </w:rPr>
        <w:t xml:space="preserve">Wrap the account-type selector on register.htm in &lt;fieldset&gt;&lt;legend&gt;; associate each descriptive paragraph via aria-describedby.</w:t>
      </w:r>
    </w:p>
    <w:p>
      <w:pPr>
        <w:pStyle w:val="ListParagraph"/>
        <w:numPr>
          <w:ilvl w:val="0"/>
          <w:numId w:val="2"/>
        </w:numPr>
        <w:spacing w:after="40" w:before="40"/>
      </w:pPr>
      <w:r>
        <w:rPr>
          <w:rFonts w:ascii="Calibri" w:cs="Calibri" w:eastAsia="Calibri" w:hAnsi="Calibri"/>
          <w:sz w:val="22"/>
          <w:szCs w:val="22"/>
        </w:rPr>
        <w:t xml:space="preserve">Audit the email templates for registration confirmation, password-reset delivery, and filing-receipt notifications.</w:t>
      </w:r>
    </w:p>
    <w:p>
      <w:pPr>
        <w:pStyle w:val="ListParagraph"/>
        <w:numPr>
          <w:ilvl w:val="0"/>
          <w:numId w:val="2"/>
        </w:numPr>
        <w:spacing w:after="40" w:before="40"/>
      </w:pPr>
      <w:r>
        <w:rPr>
          <w:rFonts w:ascii="Calibri" w:cs="Calibri" w:eastAsia="Calibri" w:hAnsi="Calibri"/>
          <w:sz w:val="22"/>
          <w:szCs w:val="22"/>
        </w:rPr>
        <w:t xml:space="preserve">Audit the compatibility-check popup and customer-support popup for keyboard accessibility, focus management, and accessible name.</w:t>
      </w:r>
    </w:p>
    <w:p>
      <w:pPr>
        <w:pStyle w:val="ListParagraph"/>
        <w:numPr>
          <w:ilvl w:val="0"/>
          <w:numId w:val="2"/>
        </w:numPr>
        <w:spacing w:after="40" w:before="40"/>
      </w:pPr>
      <w:r>
        <w:rPr>
          <w:rFonts w:ascii="Calibri" w:cs="Calibri" w:eastAsia="Calibri" w:hAnsi="Calibri"/>
          <w:sz w:val="22"/>
          <w:szCs w:val="22"/>
        </w:rPr>
        <w:t xml:space="preserve">Fix the footer heading hierarchy (h3 → h4, not h3 → h5).</w:t>
      </w:r>
    </w:p>
    <w:p>
      <w:pPr>
        <w:pStyle w:val="Heading3"/>
        <w:spacing w:after="100" w:before="220"/>
      </w:pPr>
      <w:r>
        <w:rPr>
          <w:rFonts w:ascii="Calibri" w:cs="Calibri" w:eastAsia="Calibri" w:hAnsi="Calibri"/>
          <w:b/>
          <w:bCs/>
          <w:color w:val="1F3864"/>
          <w:sz w:val="22"/>
          <w:szCs w:val="22"/>
        </w:rPr>
        <w:t xml:space="preserve">Within 90 days (by July 20, 2026)</w:t>
      </w:r>
    </w:p>
    <w:p>
      <w:pPr>
        <w:pStyle w:val="ListParagraph"/>
        <w:numPr>
          <w:ilvl w:val="0"/>
          <w:numId w:val="2"/>
        </w:numPr>
        <w:spacing w:after="40" w:before="40"/>
      </w:pPr>
      <w:r>
        <w:rPr>
          <w:rFonts w:ascii="Calibri" w:cs="Calibri" w:eastAsia="Calibri" w:hAnsi="Calibri"/>
          <w:sz w:val="22"/>
          <w:szCs w:val="22"/>
        </w:rPr>
        <w:t xml:space="preserve">Commission an authenticated-flow accessibility audit covering case-caption entry, document upload, service list, signature, and payment. This is the audit that matters most; everything audited here is preamble to the actual filing workflow.</w:t>
      </w:r>
    </w:p>
    <w:p>
      <w:pPr>
        <w:pStyle w:val="ListParagraph"/>
        <w:numPr>
          <w:ilvl w:val="0"/>
          <w:numId w:val="2"/>
        </w:numPr>
        <w:spacing w:after="40" w:before="40"/>
      </w:pPr>
      <w:r>
        <w:rPr>
          <w:rFonts w:ascii="Calibri" w:cs="Calibri" w:eastAsia="Calibri" w:hAnsi="Calibri"/>
          <w:sz w:val="22"/>
          <w:szCs w:val="22"/>
        </w:rPr>
        <w:t xml:space="preserve">Align the portal's visual and interaction design with coloradojudicial.gov (shared logo, color palette, skip-link position, navigation pattern). Doesn't require a rebuild — can be done as a theme update.</w:t>
      </w:r>
    </w:p>
    <w:p>
      <w:pPr>
        <w:pStyle w:val="ListParagraph"/>
        <w:numPr>
          <w:ilvl w:val="0"/>
          <w:numId w:val="2"/>
        </w:numPr>
        <w:spacing w:after="40" w:before="40"/>
      </w:pPr>
      <w:r>
        <w:rPr>
          <w:rFonts w:ascii="Calibri" w:cs="Calibri" w:eastAsia="Calibri" w:hAnsi="Calibri"/>
          <w:sz w:val="22"/>
          <w:szCs w:val="22"/>
        </w:rPr>
        <w:t xml:space="preserve">Review and document MFA accessibility posture if MFA is enabled or planned. Provide at least two factor classes with accessible alternatives within each.</w:t>
      </w:r>
    </w:p>
    <w:p>
      <w:pPr>
        <w:pStyle w:val="ListParagraph"/>
        <w:numPr>
          <w:ilvl w:val="0"/>
          <w:numId w:val="2"/>
        </w:numPr>
        <w:spacing w:after="40" w:before="40"/>
      </w:pPr>
      <w:r>
        <w:rPr>
          <w:rFonts w:ascii="Calibri" w:cs="Calibri" w:eastAsia="Calibri" w:hAnsi="Calibri"/>
          <w:sz w:val="22"/>
          <w:szCs w:val="22"/>
        </w:rPr>
        <w:t xml:space="preserve">Add session-timeout warning dialog with an extend-session control; preserve in-progress filings across re-authentication.</w:t>
      </w:r>
    </w:p>
    <w:p>
      <w:pPr>
        <w:pStyle w:val="ListParagraph"/>
        <w:numPr>
          <w:ilvl w:val="0"/>
          <w:numId w:val="2"/>
        </w:numPr>
        <w:spacing w:after="40" w:before="40"/>
      </w:pPr>
      <w:r>
        <w:rPr>
          <w:rFonts w:ascii="Calibri" w:cs="Calibri" w:eastAsia="Calibri" w:hAnsi="Calibri"/>
          <w:sz w:val="22"/>
          <w:szCs w:val="22"/>
        </w:rPr>
        <w:t xml:space="preserve">Conduct a keyboard-navigation trace through register → login → forgotPassword and all popups; fix any focus traps or order issues found.</w:t>
      </w:r>
    </w:p>
    <w:p>
      <w:pPr>
        <w:pStyle w:val="Heading3"/>
        <w:spacing w:after="100" w:before="220"/>
      </w:pPr>
      <w:r>
        <w:rPr>
          <w:rFonts w:ascii="Calibri" w:cs="Calibri" w:eastAsia="Calibri" w:hAnsi="Calibri"/>
          <w:b/>
          <w:bCs/>
          <w:color w:val="1F3864"/>
          <w:sz w:val="22"/>
          <w:szCs w:val="22"/>
        </w:rPr>
        <w:t xml:space="preserve">Within 180 days (by October 20, 2026)</w:t>
      </w:r>
    </w:p>
    <w:p>
      <w:pPr>
        <w:pStyle w:val="ListParagraph"/>
        <w:numPr>
          <w:ilvl w:val="0"/>
          <w:numId w:val="2"/>
        </w:numPr>
        <w:spacing w:after="40" w:before="40"/>
      </w:pPr>
      <w:r>
        <w:rPr>
          <w:rFonts w:ascii="Calibri" w:cs="Calibri" w:eastAsia="Calibri" w:hAnsi="Calibri"/>
          <w:sz w:val="22"/>
          <w:szCs w:val="22"/>
        </w:rPr>
        <w:t xml:space="preserve">Plan migration from security-question-based password recovery to email magic-link or passkey-based recovery, in preparation for WCAG 2.2 Accessible Authentication conformance.</w:t>
      </w:r>
    </w:p>
    <w:p>
      <w:pPr>
        <w:pStyle w:val="ListParagraph"/>
        <w:numPr>
          <w:ilvl w:val="0"/>
          <w:numId w:val="2"/>
        </w:numPr>
        <w:spacing w:after="40" w:before="40"/>
      </w:pPr>
      <w:r>
        <w:rPr>
          <w:rFonts w:ascii="Calibri" w:cs="Calibri" w:eastAsia="Calibri" w:hAnsi="Calibri"/>
          <w:sz w:val="22"/>
          <w:szCs w:val="22"/>
        </w:rPr>
        <w:t xml:space="preserve">Publish a VPAT / Accessibility Conformance Report for the portal, signed by the development vendor (if any) and updated annually.</w:t>
      </w:r>
    </w:p>
    <w:p>
      <w:pPr>
        <w:pStyle w:val="ListParagraph"/>
        <w:numPr>
          <w:ilvl w:val="0"/>
          <w:numId w:val="2"/>
        </w:numPr>
        <w:spacing w:after="40" w:before="40"/>
      </w:pPr>
      <w:r>
        <w:rPr>
          <w:rFonts w:ascii="Calibri" w:cs="Calibri" w:eastAsia="Calibri" w:hAnsi="Calibri"/>
          <w:sz w:val="22"/>
          <w:szCs w:val="22"/>
        </w:rPr>
        <w:t xml:space="preserve">External audit by a firm with lived-experience testers (users of JAWS, NVDA, VoiceOver, Dragon, switch devices, keyboard-only).</w:t>
      </w:r>
    </w:p>
    <w:p>
      <w:pPr>
        <w:pStyle w:val="ListParagraph"/>
        <w:numPr>
          <w:ilvl w:val="0"/>
          <w:numId w:val="2"/>
        </w:numPr>
        <w:spacing w:after="40" w:before="40"/>
      </w:pPr>
      <w:r>
        <w:rPr>
          <w:rFonts w:ascii="Calibri" w:cs="Calibri" w:eastAsia="Calibri" w:hAnsi="Calibri"/>
          <w:sz w:val="22"/>
          <w:szCs w:val="22"/>
        </w:rPr>
        <w:t xml:space="preserve">Training for the e-filing development and QA teams on Title II requirements and on accessibility testing as part of release criteria.</w:t>
      </w:r>
    </w:p>
    <w:p>
      <w:pPr>
        <w:pStyle w:val="Heading3"/>
        <w:spacing w:after="100" w:before="220"/>
      </w:pPr>
      <w:r>
        <w:rPr>
          <w:rFonts w:ascii="Calibri" w:cs="Calibri" w:eastAsia="Calibri" w:hAnsi="Calibri"/>
          <w:b/>
          <w:bCs/>
          <w:color w:val="1F3864"/>
          <w:sz w:val="22"/>
          <w:szCs w:val="22"/>
        </w:rPr>
        <w:t xml:space="preserve">Ongoing</w:t>
      </w:r>
    </w:p>
    <w:p>
      <w:pPr>
        <w:pStyle w:val="ListParagraph"/>
        <w:numPr>
          <w:ilvl w:val="0"/>
          <w:numId w:val="2"/>
        </w:numPr>
        <w:spacing w:after="40" w:before="40"/>
      </w:pPr>
      <w:r>
        <w:rPr>
          <w:rFonts w:ascii="Calibri" w:cs="Calibri" w:eastAsia="Calibri" w:hAnsi="Calibri"/>
          <w:sz w:val="22"/>
          <w:szCs w:val="22"/>
        </w:rPr>
        <w:t xml:space="preserve">Accessibility as a release gate: no portal release without a pre-release WCAG scan on the affected pages and a sign-off from the accessibility lead.</w:t>
      </w:r>
    </w:p>
    <w:p>
      <w:pPr>
        <w:pStyle w:val="ListParagraph"/>
        <w:numPr>
          <w:ilvl w:val="0"/>
          <w:numId w:val="2"/>
        </w:numPr>
        <w:spacing w:after="40" w:before="40"/>
      </w:pPr>
      <w:r>
        <w:rPr>
          <w:rFonts w:ascii="Calibri" w:cs="Calibri" w:eastAsia="Calibri" w:hAnsi="Calibri"/>
          <w:sz w:val="22"/>
          <w:szCs w:val="22"/>
        </w:rPr>
        <w:t xml:space="preserve">Feedback SLA: accessibility feedback receives initial response within 5 business days and a remediation commitment within 30 days.</w:t>
      </w:r>
    </w:p>
    <w:p>
      <w:pPr>
        <w:pStyle w:val="ListParagraph"/>
        <w:numPr>
          <w:ilvl w:val="0"/>
          <w:numId w:val="2"/>
        </w:numPr>
        <w:spacing w:after="40" w:before="40"/>
      </w:pPr>
      <w:r>
        <w:rPr>
          <w:rFonts w:ascii="Calibri" w:cs="Calibri" w:eastAsia="Calibri" w:hAnsi="Calibri"/>
          <w:sz w:val="22"/>
          <w:szCs w:val="22"/>
        </w:rPr>
        <w:t xml:space="preserve">Version parity: deploy all portal pages together (or document why not) to prevent one page drifting behind another on accessibility fixes.</w:t>
      </w:r>
    </w:p>
    <w:p>
      <w:r>
        <w:br w:type="page"/>
      </w:r>
    </w:p>
    <w:p>
      <w:pPr>
        <w:pStyle w:val="Heading1"/>
        <w:spacing w:after="180" w:before="360"/>
      </w:pPr>
      <w:r>
        <w:rPr>
          <w:rFonts w:ascii="Calibri" w:cs="Calibri" w:eastAsia="Calibri" w:hAnsi="Calibri"/>
          <w:b/>
          <w:bCs/>
          <w:color w:val="1F3864"/>
          <w:sz w:val="32"/>
          <w:szCs w:val="32"/>
        </w:rPr>
        <w:t xml:space="preserve">Appendix A — Methodology and Limitations</w:t>
      </w:r>
    </w:p>
    <w:p>
      <w:pPr>
        <w:pStyle w:val="Heading3"/>
        <w:spacing w:after="100" w:before="220"/>
      </w:pPr>
      <w:r>
        <w:rPr>
          <w:rFonts w:ascii="Calibri" w:cs="Calibri" w:eastAsia="Calibri" w:hAnsi="Calibri"/>
          <w:b/>
          <w:bCs/>
          <w:color w:val="1F3864"/>
          <w:sz w:val="22"/>
          <w:szCs w:val="22"/>
        </w:rPr>
        <w:t xml:space="preserve">What this audit covers</w:t>
      </w:r>
    </w:p>
    <w:p>
      <w:pPr>
        <w:pStyle w:val="ListParagraph"/>
        <w:numPr>
          <w:ilvl w:val="0"/>
          <w:numId w:val="2"/>
        </w:numPr>
        <w:spacing w:after="40" w:before="40"/>
      </w:pPr>
      <w:r>
        <w:rPr>
          <w:rFonts w:ascii="Calibri" w:cs="Calibri" w:eastAsia="Calibri" w:hAnsi="Calibri"/>
          <w:sz w:val="22"/>
          <w:szCs w:val="22"/>
        </w:rPr>
        <w:t xml:space="preserve">Static HTML/DOM inspection of home.htm/login.htm, register.htm, and forgotPassword.htm (rendered markup as of April 20, 2026)</w:t>
      </w:r>
    </w:p>
    <w:p>
      <w:pPr>
        <w:pStyle w:val="ListParagraph"/>
        <w:numPr>
          <w:ilvl w:val="0"/>
          <w:numId w:val="2"/>
        </w:numPr>
        <w:spacing w:after="40" w:before="40"/>
      </w:pPr>
      <w:r>
        <w:rPr>
          <w:rFonts w:ascii="Calibri" w:cs="Calibri" w:eastAsia="Calibri" w:hAnsi="Calibri"/>
          <w:sz w:val="22"/>
          <w:szCs w:val="22"/>
        </w:rPr>
        <w:t xml:space="preserve">Content-stream inspection of the linked Privacy_Policy.pdf</w:t>
      </w:r>
    </w:p>
    <w:p>
      <w:pPr>
        <w:pStyle w:val="ListParagraph"/>
        <w:numPr>
          <w:ilvl w:val="0"/>
          <w:numId w:val="2"/>
        </w:numPr>
        <w:spacing w:after="40" w:before="40"/>
      </w:pPr>
      <w:r>
        <w:rPr>
          <w:rFonts w:ascii="Calibri" w:cs="Calibri" w:eastAsia="Calibri" w:hAnsi="Calibri"/>
          <w:sz w:val="22"/>
          <w:szCs w:val="22"/>
        </w:rPr>
        <w:t xml:space="preserve">Cross-reference against WCAG 2.1 Level A and AA success criteria with forward notes for WCAG 2.2 Accessible Authentication</w:t>
      </w:r>
    </w:p>
    <w:p>
      <w:pPr>
        <w:pStyle w:val="ListParagraph"/>
        <w:numPr>
          <w:ilvl w:val="0"/>
          <w:numId w:val="2"/>
        </w:numPr>
        <w:spacing w:after="40" w:before="40"/>
      </w:pPr>
      <w:r>
        <w:rPr>
          <w:rFonts w:ascii="Calibri" w:cs="Calibri" w:eastAsia="Calibri" w:hAnsi="Calibri"/>
          <w:sz w:val="22"/>
          <w:szCs w:val="22"/>
        </w:rPr>
        <w:t xml:space="preserve">Specific attention to authentication-flow accessibility concerns</w:t>
      </w:r>
    </w:p>
    <w:p>
      <w:pPr>
        <w:pStyle w:val="Heading3"/>
        <w:spacing w:after="100" w:before="220"/>
      </w:pPr>
      <w:r>
        <w:rPr>
          <w:rFonts w:ascii="Calibri" w:cs="Calibri" w:eastAsia="Calibri" w:hAnsi="Calibri"/>
          <w:b/>
          <w:bCs/>
          <w:color w:val="1F3864"/>
          <w:sz w:val="22"/>
          <w:szCs w:val="22"/>
        </w:rPr>
        <w:t xml:space="preserve">What this audit does NOT cover</w:t>
      </w:r>
    </w:p>
    <w:p>
      <w:pPr>
        <w:pStyle w:val="ListParagraph"/>
        <w:numPr>
          <w:ilvl w:val="0"/>
          <w:numId w:val="2"/>
        </w:numPr>
        <w:spacing w:after="40" w:before="40"/>
      </w:pPr>
      <w:r>
        <w:rPr>
          <w:rFonts w:ascii="Calibri" w:cs="Calibri" w:eastAsia="Calibri" w:hAnsi="Calibri"/>
          <w:sz w:val="22"/>
          <w:szCs w:val="22"/>
        </w:rPr>
        <w:t xml:space="preserve">Authenticated filing workflows (the system past login) — requires credentials</w:t>
      </w:r>
    </w:p>
    <w:p>
      <w:pPr>
        <w:pStyle w:val="ListParagraph"/>
        <w:numPr>
          <w:ilvl w:val="0"/>
          <w:numId w:val="2"/>
        </w:numPr>
        <w:spacing w:after="40" w:before="40"/>
      </w:pPr>
      <w:r>
        <w:rPr>
          <w:rFonts w:ascii="Calibri" w:cs="Calibri" w:eastAsia="Calibri" w:hAnsi="Calibri"/>
          <w:sz w:val="22"/>
          <w:szCs w:val="22"/>
        </w:rPr>
        <w:t xml:space="preserve">Popups triggered by JavaScript (compatibility check, customer support)</w:t>
      </w:r>
    </w:p>
    <w:p>
      <w:pPr>
        <w:pStyle w:val="ListParagraph"/>
        <w:numPr>
          <w:ilvl w:val="0"/>
          <w:numId w:val="2"/>
        </w:numPr>
        <w:spacing w:after="40" w:before="40"/>
      </w:pPr>
      <w:r>
        <w:rPr>
          <w:rFonts w:ascii="Calibri" w:cs="Calibri" w:eastAsia="Calibri" w:hAnsi="Calibri"/>
          <w:sz w:val="22"/>
          <w:szCs w:val="22"/>
        </w:rPr>
        <w:t xml:space="preserve">Email templates (registration, password reset, filing confirmations)</w:t>
      </w:r>
    </w:p>
    <w:p>
      <w:pPr>
        <w:pStyle w:val="ListParagraph"/>
        <w:numPr>
          <w:ilvl w:val="0"/>
          <w:numId w:val="2"/>
        </w:numPr>
        <w:spacing w:after="40" w:before="40"/>
      </w:pPr>
      <w:r>
        <w:rPr>
          <w:rFonts w:ascii="Calibri" w:cs="Calibri" w:eastAsia="Calibri" w:hAnsi="Calibri"/>
          <w:sz w:val="22"/>
          <w:szCs w:val="22"/>
        </w:rPr>
        <w:t xml:space="preserve">Runtime keyboard traversal, screen-reader verification, voice-control testing</w:t>
      </w:r>
    </w:p>
    <w:p>
      <w:pPr>
        <w:pStyle w:val="ListParagraph"/>
        <w:numPr>
          <w:ilvl w:val="0"/>
          <w:numId w:val="2"/>
        </w:numPr>
        <w:spacing w:after="40" w:before="40"/>
      </w:pPr>
      <w:r>
        <w:rPr>
          <w:rFonts w:ascii="Calibri" w:cs="Calibri" w:eastAsia="Calibri" w:hAnsi="Calibri"/>
          <w:sz w:val="22"/>
          <w:szCs w:val="22"/>
        </w:rPr>
        <w:t xml:space="preserve">Color-contrast sampling (requires visual rendering)</w:t>
      </w:r>
    </w:p>
    <w:p>
      <w:pPr>
        <w:pStyle w:val="ListParagraph"/>
        <w:numPr>
          <w:ilvl w:val="0"/>
          <w:numId w:val="2"/>
        </w:numPr>
        <w:spacing w:after="40" w:before="40"/>
      </w:pPr>
      <w:r>
        <w:rPr>
          <w:rFonts w:ascii="Calibri" w:cs="Calibri" w:eastAsia="Calibri" w:hAnsi="Calibri"/>
          <w:sz w:val="22"/>
          <w:szCs w:val="22"/>
        </w:rPr>
        <w:t xml:space="preserve">User testing with people with disabilities</w:t>
      </w:r>
    </w:p>
    <w:p>
      <w:pPr>
        <w:pStyle w:val="ListParagraph"/>
        <w:numPr>
          <w:ilvl w:val="0"/>
          <w:numId w:val="2"/>
        </w:numPr>
        <w:spacing w:after="40" w:before="40"/>
      </w:pPr>
      <w:r>
        <w:rPr>
          <w:rFonts w:ascii="Calibri" w:cs="Calibri" w:eastAsia="Calibri" w:hAnsi="Calibri"/>
          <w:sz w:val="22"/>
          <w:szCs w:val="22"/>
        </w:rPr>
        <w:t xml:space="preserve">Native mobile apps, if any</w:t>
      </w:r>
    </w:p>
    <w:p>
      <w:pPr>
        <w:pStyle w:val="ListParagraph"/>
        <w:numPr>
          <w:ilvl w:val="0"/>
          <w:numId w:val="2"/>
        </w:numPr>
        <w:spacing w:after="40" w:before="40"/>
      </w:pPr>
      <w:r>
        <w:rPr>
          <w:rFonts w:ascii="Calibri" w:cs="Calibri" w:eastAsia="Calibri" w:hAnsi="Calibri"/>
          <w:sz w:val="22"/>
          <w:szCs w:val="22"/>
        </w:rPr>
        <w:t xml:space="preserve">The billing sub-system on colorado.gov</w:t>
      </w:r>
    </w:p>
    <w:p>
      <w:pPr>
        <w:pStyle w:val="Heading3"/>
        <w:spacing w:after="100" w:before="220"/>
      </w:pPr>
      <w:r>
        <w:rPr>
          <w:rFonts w:ascii="Calibri" w:cs="Calibri" w:eastAsia="Calibri" w:hAnsi="Calibri"/>
          <w:b/>
          <w:bCs/>
          <w:color w:val="1F3864"/>
          <w:sz w:val="22"/>
          <w:szCs w:val="22"/>
        </w:rPr>
        <w:t xml:space="preserve">Implication</w:t>
      </w:r>
    </w:p>
    <w:p>
      <w:pPr>
        <w:spacing w:after="60" w:before="60"/>
      </w:pPr>
      <w:r>
        <w:rPr>
          <w:rFonts w:ascii="Calibri" w:cs="Calibri" w:eastAsia="Calibri" w:hAnsi="Calibri"/>
          <w:sz w:val="22"/>
          <w:szCs w:val="22"/>
        </w:rPr>
        <w:t xml:space="preserve">The portal's public-facing pages represent only a fraction of the actual accessibility surface area of the E-Filing system. The authenticated flows — where users enter case captions, upload documents, review fees, and file pleadings — are where the most complex accessibility work happens, and where the highest-stakes failures occur. This audit is a foundation for that deeper engagement, not a substitute for it.</w:t>
      </w:r>
    </w:p>
    <w:p>
      <w:r>
        <w:br w:type="page"/>
      </w:r>
    </w:p>
    <w:p>
      <w:pPr>
        <w:pStyle w:val="Heading1"/>
        <w:spacing w:after="180" w:before="360"/>
      </w:pPr>
      <w:r>
        <w:rPr>
          <w:rFonts w:ascii="Calibri" w:cs="Calibri" w:eastAsia="Calibri" w:hAnsi="Calibri"/>
          <w:b/>
          <w:bCs/>
          <w:color w:val="1F3864"/>
          <w:sz w:val="32"/>
          <w:szCs w:val="32"/>
        </w:rPr>
        <w:t xml:space="preserve">Appendix B — WCAG 2.1 AA Criteria Referenced</w:t>
      </w:r>
    </w:p>
    <w:p>
      <w:pPr>
        <w:spacing w:after="60" w:before="60"/>
      </w:pPr>
      <w:r>
        <w:rPr>
          <w:rFonts w:ascii="Calibri" w:cs="Calibri" w:eastAsia="Calibri" w:hAnsi="Calibri"/>
          <w:sz w:val="22"/>
          <w:szCs w:val="22"/>
        </w:rPr>
        <w:t xml:space="preserve">Abbreviated list. Full text at w3.org/TR/WCAG21.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000"/>
        <w:gridCol w:w="356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SC</w:t>
            </w:r>
          </w:p>
        </w:tc>
        <w:tc>
          <w:tcPr>
            <w:tcW w:type="dxa" w:w="36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Criterion</w:t>
            </w:r>
          </w:p>
        </w:tc>
        <w:tc>
          <w:tcPr>
            <w:tcW w:type="dxa" w:w="10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Level</w:t>
            </w:r>
          </w:p>
        </w:tc>
        <w:tc>
          <w:tcPr>
            <w:tcW w:type="dxa" w:w="35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r>
              <w:rPr>
                <w:rFonts w:ascii="Calibri" w:cs="Calibri" w:eastAsia="Calibri" w:hAnsi="Calibri"/>
                <w:b/>
                <w:bCs/>
                <w:color w:val="1F3864"/>
                <w:sz w:val="20"/>
                <w:szCs w:val="20"/>
              </w:rPr>
              <w:t xml:space="preserve">Why it matters here</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1.1.1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Non-text Content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Logo alt text; any CAPTCHA alternatives</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1.3.1</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Info and Relationships</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The label-to-input association problem on every form here</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1.3.2</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Meaningful Sequence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Instructions-then-form ordering on forgotPassword</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1.3.5</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Identify Input Purpose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Autocomplete attributes on email/password; password manager support</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1.4.4</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Resize Text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Not audited directly — flagged for runtime testing</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2.1.1</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Keyboard</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javascript: pseudo-links; compatibility popup keyboard access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2.2.1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Timing Adjustable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Session timeout behavior (authenticated flow)</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2.4.1</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Bypass Blocks</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Skip link to submit button</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2.4.2</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Page Titled</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All three pages share one title — this SC is directly failed</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2.4.6</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Headings and Labels</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Input labels; footer heading hierarchy</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2.5.3</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Label in Name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Visible text 'Sign In' matches button name</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3.1.1</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Language of Page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html lang attribute missing — directly failed</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3.2.3</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Consistent Navigation</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Portal design breaks from parent site</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3.2.4</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Consistent Identification</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Two different phone numbers for support</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3.3.1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Error Identification</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Login failure / forgot-password error messages</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3.3.2</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Labels or Instructions</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Asterisk-only required indicator; input labels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3.3.3</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Error Suggestion</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Error recovery guidance</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3.3.8</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Accessible Authentication</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AA (WCAG 2.2)</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Forward-looking: security questions are memory-based cognitive tests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4.1.1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Parsing</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Well-formed markup; character encoding</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4.1.2</w:t>
            </w:r>
          </w:p>
        </w:tc>
        <w:tc>
          <w:tcPr>
            <w:tcW w:type="dxa" w:w="3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Name, Role, Value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A</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pPr>
            <w:r>
              <w:rPr>
                <w:rFonts w:ascii="Calibri" w:cs="Calibri" w:eastAsia="Calibri" w:hAnsi="Calibri"/>
                <w:sz w:val="20"/>
                <w:szCs w:val="20"/>
              </w:rPr>
              <w:t xml:space="preserve">Form controls; button accessible names</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4.1.3</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Status Messages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AA</w:t>
            </w:r>
          </w:p>
        </w:tc>
        <w:tc>
          <w:tcPr>
            <w:tcW w:type="dxa" w:w="3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before="20"/>
            </w:pPr>
            <w:r>
              <w:rPr>
                <w:rFonts w:ascii="Calibri" w:cs="Calibri" w:eastAsia="Calibri" w:hAnsi="Calibri"/>
                <w:sz w:val="20"/>
                <w:szCs w:val="20"/>
              </w:rPr>
              <w:t xml:space="preserve">Login errors as live-region announcements</w:t>
            </w:r>
          </w:p>
        </w:tc>
      </w:tr>
    </w:tbl>
    <w:p>
      <w:r>
        <w:br w:type="page"/>
      </w:r>
    </w:p>
    <w:p>
      <w:pPr>
        <w:pStyle w:val="Heading1"/>
        <w:spacing w:after="180" w:before="360"/>
      </w:pPr>
      <w:r>
        <w:rPr>
          <w:rFonts w:ascii="Calibri" w:cs="Calibri" w:eastAsia="Calibri" w:hAnsi="Calibri"/>
          <w:b/>
          <w:bCs/>
          <w:color w:val="1F3864"/>
          <w:sz w:val="32"/>
          <w:szCs w:val="32"/>
        </w:rPr>
        <w:t xml:space="preserve">Appendix C — Regulatory References</w:t>
      </w:r>
    </w:p>
    <w:p>
      <w:pPr>
        <w:pStyle w:val="ListParagraph"/>
        <w:numPr>
          <w:ilvl w:val="0"/>
          <w:numId w:val="2"/>
        </w:numPr>
        <w:spacing w:after="40" w:before="40"/>
      </w:pPr>
      <w:r>
        <w:rPr>
          <w:rFonts w:ascii="Calibri" w:cs="Calibri" w:eastAsia="Calibri" w:hAnsi="Calibri"/>
          <w:sz w:val="22"/>
          <w:szCs w:val="22"/>
        </w:rPr>
        <w:t xml:space="preserve">U.S. Department of Justice, 'Nondiscrimination on the Basis of Disability; Accessibility of Web Information and Services of State and Local Government Entities,' 89 Fed. Reg. 31320 (April 24, 2024). Codified at 28 C.F.R. Part 35, Subpart H.</w:t>
      </w:r>
    </w:p>
    <w:p>
      <w:pPr>
        <w:pStyle w:val="ListParagraph"/>
        <w:numPr>
          <w:ilvl w:val="0"/>
          <w:numId w:val="2"/>
        </w:numPr>
        <w:spacing w:after="40" w:before="40"/>
      </w:pPr>
      <w:r>
        <w:rPr>
          <w:rFonts w:ascii="Calibri" w:cs="Calibri" w:eastAsia="Calibri" w:hAnsi="Calibri"/>
          <w:sz w:val="22"/>
          <w:szCs w:val="22"/>
        </w:rPr>
        <w:t xml:space="preserve">Web Content Accessibility Guidelines (WCAG) 2.1, W3C Recommendation (June 2018).</w:t>
      </w:r>
    </w:p>
    <w:p>
      <w:pPr>
        <w:pStyle w:val="ListParagraph"/>
        <w:numPr>
          <w:ilvl w:val="0"/>
          <w:numId w:val="2"/>
        </w:numPr>
        <w:spacing w:after="40" w:before="40"/>
      </w:pPr>
      <w:r>
        <w:rPr>
          <w:rFonts w:ascii="Calibri" w:cs="Calibri" w:eastAsia="Calibri" w:hAnsi="Calibri"/>
          <w:sz w:val="22"/>
          <w:szCs w:val="22"/>
        </w:rPr>
        <w:t xml:space="preserve">Web Content Accessibility Guidelines (WCAG) 2.2, W3C Recommendation (October 2023) — forward-looking, particularly for SC 3.3.8 Accessible Authentication.</w:t>
      </w:r>
    </w:p>
    <w:p>
      <w:pPr>
        <w:pStyle w:val="ListParagraph"/>
        <w:numPr>
          <w:ilvl w:val="0"/>
          <w:numId w:val="2"/>
        </w:numPr>
        <w:spacing w:after="40" w:before="40"/>
      </w:pPr>
      <w:r>
        <w:rPr>
          <w:rFonts w:ascii="Calibri" w:cs="Calibri" w:eastAsia="Calibri" w:hAnsi="Calibri"/>
          <w:sz w:val="22"/>
          <w:szCs w:val="22"/>
        </w:rPr>
        <w:t xml:space="preserve">Colorado House Bill 24-1454 — State Agency Digital Accessibility.</w:t>
      </w:r>
    </w:p>
    <w:p>
      <w:pPr>
        <w:pStyle w:val="ListParagraph"/>
        <w:numPr>
          <w:ilvl w:val="0"/>
          <w:numId w:val="2"/>
        </w:numPr>
        <w:spacing w:after="40" w:before="40"/>
      </w:pPr>
      <w:r>
        <w:rPr>
          <w:rFonts w:ascii="Calibri" w:cs="Calibri" w:eastAsia="Calibri" w:hAnsi="Calibri"/>
          <w:sz w:val="22"/>
          <w:szCs w:val="22"/>
        </w:rPr>
        <w:t xml:space="preserve">Section 504 of the Rehabilitation Act of 1973, 29 U.S.C. § 794.</w:t>
      </w:r>
    </w:p>
    <w:p>
      <w:pPr>
        <w:pStyle w:val="ListParagraph"/>
        <w:numPr>
          <w:ilvl w:val="0"/>
          <w:numId w:val="2"/>
        </w:numPr>
        <w:spacing w:after="40" w:before="40"/>
      </w:pPr>
      <w:r>
        <w:rPr>
          <w:rFonts w:ascii="Calibri" w:cs="Calibri" w:eastAsia="Calibri" w:hAnsi="Calibri"/>
          <w:sz w:val="22"/>
          <w:szCs w:val="22"/>
        </w:rPr>
        <w:t xml:space="preserve">NIST Special Publication 800-63B, Digital Identity Guidelines, Authentication and Lifecycle Management — referenced for authentication best practices that align with accessibility.</w:t>
      </w:r>
    </w:p>
    <w:p>
      <w:pPr>
        <w:pStyle w:val="ListParagraph"/>
        <w:numPr>
          <w:ilvl w:val="0"/>
          <w:numId w:val="2"/>
        </w:numPr>
        <w:spacing w:after="40" w:before="40"/>
      </w:pPr>
      <w:r>
        <w:rPr>
          <w:rFonts w:ascii="Calibri" w:cs="Calibri" w:eastAsia="Calibri" w:hAnsi="Calibri"/>
          <w:sz w:val="22"/>
          <w:szCs w:val="22"/>
        </w:rPr>
        <w:t xml:space="preserve">ADA.gov, 'State and Local Governments: First Steps Toward Complying with the ADA Title II Web and Mobile Application Accessibility Rule.'</w:t>
      </w:r>
    </w:p>
    <w:p>
      <w:pPr>
        <w:pStyle w:val="Heading3"/>
        <w:spacing w:after="100" w:before="220"/>
      </w:pPr>
      <w:r>
        <w:rPr>
          <w:rFonts w:ascii="Calibri" w:cs="Calibri" w:eastAsia="Calibri" w:hAnsi="Calibri"/>
          <w:b/>
          <w:bCs/>
          <w:color w:val="1F3864"/>
          <w:sz w:val="22"/>
          <w:szCs w:val="22"/>
        </w:rPr>
        <w:t xml:space="preserve">A note on scope and the rule</w:t>
      </w:r>
    </w:p>
    <w:p>
      <w:pPr>
        <w:spacing w:after="60" w:before="60"/>
      </w:pPr>
      <w:r>
        <w:rPr>
          <w:rFonts w:ascii="Calibri" w:cs="Calibri" w:eastAsia="Calibri" w:hAnsi="Calibri"/>
          <w:sz w:val="22"/>
          <w:szCs w:val="22"/>
        </w:rPr>
        <w:t xml:space="preserve">The DOJ rule includes limited exceptions. None applies to the E-Filing portal. The portal is:</w:t>
      </w:r>
    </w:p>
    <w:p>
      <w:pPr>
        <w:pStyle w:val="ListParagraph"/>
        <w:numPr>
          <w:ilvl w:val="0"/>
          <w:numId w:val="2"/>
        </w:numPr>
        <w:spacing w:after="40" w:before="40"/>
      </w:pPr>
      <w:r>
        <w:rPr>
          <w:rFonts w:ascii="Calibri" w:cs="Calibri" w:eastAsia="Calibri" w:hAnsi="Calibri"/>
          <w:sz w:val="22"/>
          <w:szCs w:val="22"/>
        </w:rPr>
        <w:t xml:space="preserve">A currently-used transactional system (not archived)</w:t>
      </w:r>
    </w:p>
    <w:p>
      <w:pPr>
        <w:pStyle w:val="ListParagraph"/>
        <w:numPr>
          <w:ilvl w:val="0"/>
          <w:numId w:val="2"/>
        </w:numPr>
        <w:spacing w:after="40" w:before="40"/>
      </w:pPr>
      <w:r>
        <w:rPr>
          <w:rFonts w:ascii="Calibri" w:cs="Calibri" w:eastAsia="Calibri" w:hAnsi="Calibri"/>
          <w:sz w:val="22"/>
          <w:szCs w:val="22"/>
        </w:rPr>
        <w:t xml:space="preserve">Neither a preexisting conventional document nor made up of them</w:t>
      </w:r>
    </w:p>
    <w:p>
      <w:pPr>
        <w:pStyle w:val="ListParagraph"/>
        <w:numPr>
          <w:ilvl w:val="0"/>
          <w:numId w:val="2"/>
        </w:numPr>
        <w:spacing w:after="40" w:before="40"/>
      </w:pPr>
      <w:r>
        <w:rPr>
          <w:rFonts w:ascii="Calibri" w:cs="Calibri" w:eastAsia="Calibri" w:hAnsi="Calibri"/>
          <w:sz w:val="22"/>
          <w:szCs w:val="22"/>
        </w:rPr>
        <w:t xml:space="preserve">Not third-party-hosted content</w:t>
      </w:r>
    </w:p>
    <w:p>
      <w:pPr>
        <w:pStyle w:val="ListParagraph"/>
        <w:numPr>
          <w:ilvl w:val="0"/>
          <w:numId w:val="2"/>
        </w:numPr>
        <w:spacing w:after="40" w:before="40"/>
      </w:pPr>
      <w:r>
        <w:rPr>
          <w:rFonts w:ascii="Calibri" w:cs="Calibri" w:eastAsia="Calibri" w:hAnsi="Calibri"/>
          <w:sz w:val="22"/>
          <w:szCs w:val="22"/>
        </w:rPr>
        <w:t xml:space="preserve">Used by members of the public to access court services</w:t>
      </w:r>
    </w:p>
    <w:p>
      <w:pPr>
        <w:spacing w:after="60" w:before="60"/>
      </w:pPr>
      <w:r>
        <w:rPr>
          <w:rFonts w:ascii="Calibri" w:cs="Calibri" w:eastAsia="Calibri" w:hAnsi="Calibri"/>
          <w:sz w:val="22"/>
          <w:szCs w:val="22"/>
        </w:rPr>
        <w:t xml:space="preserve">The portal must therefore conform to WCAG 2.1 AA by April 24, 2026.</w:t>
      </w:r>
    </w:p>
    <w:p>
      <w:r>
        <w:t xml:space="preserve"/>
      </w:r>
    </w:p>
    <w:p>
      <w:pPr>
        <w:spacing w:after="60" w:before="60"/>
        <w:jc w:val="center"/>
      </w:pPr>
      <w:r>
        <w:rPr>
          <w:rFonts w:ascii="Calibri" w:cs="Calibri" w:eastAsia="Calibri" w:hAnsi="Calibri"/>
          <w:i/>
          <w:iCs/>
          <w:color w:val="595959"/>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120"/>
      <w:jc w:val="right"/>
    </w:pPr>
    <w:r>
      <w:rPr>
        <w:rFonts w:ascii="Calibri" w:cs="Calibri" w:eastAsia="Calibri" w:hAnsi="Calibri"/>
        <w:i/>
        <w:iCs/>
        <w:color w:val="595959"/>
        <w:sz w:val="18"/>
        <w:szCs w:val="18"/>
      </w:rPr>
      <w:t xml:space="preserve">Colorado Courts E-Filing Portal — WCAG 2.1 AA Audit  •  April 20,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Colorado Courts E-Filing Portal — WCAG 2.1 AA Audit</dc:title>
  <dc:creator>Emma Moore — Independent Accessibility Review</dc:creator>
  <dc:description>Standalone accessibility audit of the Colorado Courts E-Filing portal under ADA Title II</dc:description>
  <cp:lastModifiedBy>Un-named</cp:lastModifiedBy>
  <cp:revision>1</cp:revision>
  <dcterms:created xsi:type="dcterms:W3CDTF">2026-04-20T07:42:27.469Z</dcterms:created>
  <dcterms:modified xsi:type="dcterms:W3CDTF">2026-04-20T07:42:27.470Z</dcterms:modified>
</cp:coreProperties>
</file>

<file path=docProps/custom.xml><?xml version="1.0" encoding="utf-8"?>
<Properties xmlns="http://schemas.openxmlformats.org/officeDocument/2006/custom-properties" xmlns:vt="http://schemas.openxmlformats.org/officeDocument/2006/docPropsVTypes"/>
</file>