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val="false"/>
          <w:bCs w:val="false"/>
          <w:i/>
          <w:iCs/>
          <w:color w:val="555555"/>
          <w:sz w:val="18"/>
          <w:szCs w:val="18"/>
        </w:rPr>
        <w:t xml:space="preserve">StorySeed Studios  |  The Dais</w:t>
      </w:r>
    </w:p>
    <w:p>
      <w:pPr>
        <w:spacing w:after="0" w:before="0"/>
        <w:jc w:val="left"/>
      </w:pPr>
      <w:r>
        <w:rPr>
          <w:rFonts w:ascii="Arial" w:cs="Arial" w:eastAsia="Arial" w:hAnsi="Arial"/>
          <w:b/>
          <w:bCs/>
          <w:i w:val="false"/>
          <w:iCs w:val="false"/>
          <w:color w:val="001a4d"/>
          <w:sz w:val="32"/>
          <w:szCs w:val="32"/>
        </w:rPr>
        <w:t xml:space="preserve">OFFICIAL ACCESSIBILITY AUDIT</w:t>
      </w:r>
    </w:p>
    <w:p>
      <w:pPr>
        <w:spacing w:after="60" w:before="0"/>
        <w:jc w:val="left"/>
      </w:pPr>
      <w:r>
        <w:rPr>
          <w:rFonts w:ascii="Arial" w:cs="Arial" w:eastAsia="Arial" w:hAnsi="Arial"/>
          <w:b w:val="false"/>
          <w:bCs w:val="false"/>
          <w:i w:val="false"/>
          <w:iCs w:val="false"/>
          <w:color w:val="374151"/>
          <w:sz w:val="22"/>
          <w:szCs w:val="22"/>
        </w:rPr>
        <w:t xml:space="preserve">IC3.gov Internet Crime Complaint Form</w:t>
      </w:r>
    </w:p>
    <w:p>
      <w:pPr>
        <w:spacing w:after="60" w:before="0"/>
        <w:jc w:val="left"/>
      </w:pPr>
      <w:r>
        <w:rPr>
          <w:rFonts w:ascii="Arial" w:cs="Arial" w:eastAsia="Arial" w:hAnsi="Arial"/>
          <w:b w:val="false"/>
          <w:bCs w:val="false"/>
          <w:i/>
          <w:iCs/>
          <w:color w:val="555555"/>
          <w:sz w:val="19"/>
          <w:szCs w:val="19"/>
        </w:rPr>
        <w:t xml:space="preserve">Federal Bureau of Investigation  |  Internet Crime Complaint Center (IC3)</w:t>
      </w:r>
    </w:p>
    <w:p>
      <w:pPr>
        <w:spacing w:after="200" w:before="0"/>
        <w:jc w:val="left"/>
      </w:pPr>
      <w:r>
        <w:rPr>
          <w:rFonts w:ascii="Arial" w:cs="Arial" w:eastAsia="Arial" w:hAnsi="Arial"/>
          <w:b w:val="false"/>
          <w:bCs w:val="false"/>
          <w:i/>
          <w:iCs/>
          <w:color w:val="1d4ed8"/>
          <w:sz w:val="19"/>
          <w:szCs w:val="19"/>
        </w:rPr>
        <w:t xml:space="preserve">URL: https://complaint.ic3.gov/</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bCs/>
                <w:i w:val="false"/>
                <w:iCs w:val="false"/>
                <w:color w:val="001a4d"/>
                <w:sz w:val="19"/>
                <w:szCs w:val="19"/>
              </w:rPr>
              <w:t xml:space="preserve">Site</w:t>
            </w:r>
          </w:p>
        </w:tc>
        <w:tc>
          <w:tcPr>
            <w:tcW w:type="dxa" w:w="73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https://complaint.ic3.gov/</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bCs/>
                <w:i w:val="false"/>
                <w:iCs w:val="false"/>
                <w:color w:val="001a4d"/>
                <w:sz w:val="19"/>
                <w:szCs w:val="19"/>
              </w:rPr>
              <w:t xml:space="preserve">Agency</w:t>
            </w:r>
          </w:p>
        </w:tc>
        <w:tc>
          <w:tcPr>
            <w:tcW w:type="dxa" w:w="73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Federal Bureau of Investigation (FBI)</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bCs/>
                <w:i w:val="false"/>
                <w:iCs w:val="false"/>
                <w:color w:val="001a4d"/>
                <w:sz w:val="19"/>
                <w:szCs w:val="19"/>
              </w:rPr>
              <w:t xml:space="preserve">Function</w:t>
            </w:r>
          </w:p>
        </w:tc>
        <w:tc>
          <w:tcPr>
            <w:tcW w:type="dxa" w:w="73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Public crime complaint intake form — 7-step wizard for reporting internet crime</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bCs/>
                <w:i w:val="false"/>
                <w:iCs w:val="false"/>
                <w:color w:val="001a4d"/>
                <w:sz w:val="19"/>
                <w:szCs w:val="19"/>
              </w:rPr>
              <w:t xml:space="preserve">Audit Date</w:t>
            </w:r>
          </w:p>
        </w:tc>
        <w:tc>
          <w:tcPr>
            <w:tcW w:type="dxa" w:w="73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April 2026</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bCs/>
                <w:i w:val="false"/>
                <w:iCs w:val="false"/>
                <w:color w:val="001a4d"/>
                <w:sz w:val="19"/>
                <w:szCs w:val="19"/>
              </w:rPr>
              <w:t xml:space="preserve">Method</w:t>
            </w:r>
          </w:p>
        </w:tc>
        <w:tc>
          <w:tcPr>
            <w:tcW w:type="dxa" w:w="73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Live page fetch + structural HTML analysis + WCAG 2.1 AA checklist review</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bCs/>
                <w:i w:val="false"/>
                <w:iCs w:val="false"/>
                <w:color w:val="001a4d"/>
                <w:sz w:val="19"/>
                <w:szCs w:val="19"/>
              </w:rPr>
              <w:t xml:space="preserve">Standard</w:t>
            </w:r>
          </w:p>
        </w:tc>
        <w:tc>
          <w:tcPr>
            <w:tcW w:type="dxa" w:w="73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WCAG 2.1 Level AA  |  Section 508 (29 U.S.C. § 794d)  |  ADA Title II  |  Colorado HB 21-1110</w:t>
            </w:r>
          </w:p>
        </w:tc>
      </w:tr>
      <w:tr>
        <w:tc>
          <w:tcPr>
            <w:tcW w:type="dxa" w:w="2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bCs/>
                <w:i w:val="false"/>
                <w:iCs w:val="false"/>
                <w:color w:val="b91c1c"/>
                <w:sz w:val="19"/>
                <w:szCs w:val="19"/>
              </w:rPr>
              <w:t xml:space="preserve">Result</w:t>
            </w:r>
          </w:p>
        </w:tc>
        <w:tc>
          <w:tcPr>
            <w:tcW w:type="dxa" w:w="736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bCs/>
                <w:i w:val="false"/>
                <w:iCs w:val="false"/>
                <w:color w:val="b91c1c"/>
                <w:sz w:val="19"/>
                <w:szCs w:val="19"/>
              </w:rPr>
              <w:t xml:space="preserve">PARTIAL COMPLIANCE — 8 confirmed failures  |  3 warnings requiring live testing  |  8 items passing</w:t>
            </w:r>
          </w:p>
        </w:tc>
      </w:tr>
    </w:tbl>
    <w:p>
      <w:pPr>
        <w:pBdr>
          <w:left w:val="single" w:color="cbd5e1" w:sz="6" w:space="8"/>
        </w:pBdr>
        <w:spacing w:after="80" w:before="160"/>
        <w:jc w:val="left"/>
      </w:pPr>
      <w:r>
        <w:rPr>
          <w:rFonts w:ascii="Arial" w:cs="Arial" w:eastAsia="Arial" w:hAnsi="Arial"/>
          <w:b w:val="false"/>
          <w:bCs w:val="false"/>
          <w:i/>
          <w:iCs/>
          <w:color w:val="555555"/>
          <w:sz w:val="18"/>
          <w:szCs w:val="18"/>
        </w:rPr>
        <w:t xml:space="preserve">Informational only. Not legal advice. Prepared by StorySeed Studios for civic accessibility documentation purposes.</w:t>
      </w:r>
    </w:p>
    <w:p>
      <w:pPr>
        <w:pBdr>
          <w:bottom w:val="single" w:color="cbd5e1" w:sz="2" w:space="2"/>
        </w:pBdr>
        <w:spacing w:after="80" w:before="80"/>
      </w:pPr>
    </w:p>
    <w:p>
      <w:pPr>
        <w:pBdr>
          <w:bottom w:val="single" w:color="b8860b" w:sz="6" w:space="4"/>
        </w:pBdr>
        <w:spacing w:after="80" w:before="280"/>
      </w:pPr>
      <w:r>
        <w:rPr>
          <w:rFonts w:ascii="Arial" w:cs="Arial" w:eastAsia="Arial" w:hAnsi="Arial"/>
          <w:b/>
          <w:bCs/>
          <w:i w:val="false"/>
          <w:iCs w:val="false"/>
          <w:color w:val="001a4d"/>
          <w:sz w:val="26"/>
          <w:szCs w:val="26"/>
        </w:rPr>
        <w:t xml:space="preserve">I.  Legal Framework — Federal Law</w:t>
      </w:r>
    </w:p>
    <w:p>
      <w:pPr>
        <w:spacing w:after="120" w:before="0"/>
        <w:jc w:val="left"/>
      </w:pPr>
      <w:r>
        <w:rPr>
          <w:rFonts w:ascii="Arial" w:cs="Arial" w:eastAsia="Arial" w:hAnsi="Arial"/>
          <w:b w:val="false"/>
          <w:bCs w:val="false"/>
          <w:i w:val="false"/>
          <w:iCs w:val="false"/>
          <w:color w:val="1a1a2e"/>
          <w:sz w:val="21"/>
          <w:szCs w:val="21"/>
        </w:rPr>
        <w:t xml:space="preserve">IC3.gov is a federal government website operated by the FBI. Federal agencies are subject to a distinct and stricter set of accessibility obligations than state or local governments, predating the ADA Title II rule by decades.</w:t>
      </w:r>
    </w:p>
    <w:p>
      <w:pPr>
        <w:spacing w:after="60" w:before="200"/>
      </w:pPr>
      <w:r>
        <w:rPr>
          <w:rFonts w:ascii="Arial" w:cs="Arial" w:eastAsia="Arial" w:hAnsi="Arial"/>
          <w:b/>
          <w:bCs/>
          <w:i w:val="false"/>
          <w:iCs w:val="false"/>
          <w:color w:val="001a4d"/>
          <w:sz w:val="22"/>
          <w:szCs w:val="22"/>
        </w:rPr>
        <w:t xml:space="preserve">A. Section 508 of the Rehabilitation Act (29 U.S.C. § 794d)</w:t>
      </w:r>
    </w:p>
    <w:p>
      <w:pPr>
        <w:spacing w:after="80" w:before="0"/>
        <w:jc w:val="left"/>
      </w:pPr>
      <w:r>
        <w:rPr>
          <w:rFonts w:ascii="Arial" w:cs="Arial" w:eastAsia="Arial" w:hAnsi="Arial"/>
          <w:b w:val="false"/>
          <w:bCs w:val="false"/>
          <w:i w:val="false"/>
          <w:iCs w:val="false"/>
          <w:color w:val="1a1a2e"/>
          <w:sz w:val="21"/>
          <w:szCs w:val="21"/>
        </w:rPr>
        <w:t xml:space="preserve">Section 508 is the primary federal accessibility law. It was amended in 1998 and its standards were substantially updated in the 2018 "Section 508 Refresh" final rule (36 C.F.R. Part 1194).</w:t>
      </w:r>
    </w:p>
    <w:p>
      <w:pPr>
        <w:pBdr>
          <w:left w:val="single" w:color="b8860b" w:sz="6" w:space="8"/>
        </w:pBdr>
        <w:spacing w:after="60" w:before="0"/>
      </w:pPr>
      <w:r>
        <w:rPr>
          <w:rFonts w:ascii="Arial" w:cs="Arial" w:eastAsia="Arial" w:hAnsi="Arial"/>
          <w:b/>
          <w:bCs/>
          <w:i w:val="false"/>
          <w:iCs w:val="false"/>
          <w:color w:val="001a4d"/>
          <w:sz w:val="20"/>
          <w:szCs w:val="20"/>
        </w:rPr>
        <w:t xml:space="preserve">29 U.S.C. § 794d(a)(1)</w:t>
      </w:r>
      <w:r>
        <w:rPr>
          <w:rFonts w:ascii="Arial" w:cs="Arial" w:eastAsia="Arial" w:hAnsi="Arial"/>
          <w:b w:val="false"/>
          <w:bCs w:val="false"/>
          <w:i w:val="false"/>
          <w:iCs w:val="false"/>
          <w:color w:val="333333"/>
          <w:sz w:val="20"/>
          <w:szCs w:val="20"/>
        </w:rPr>
        <w:t xml:space="preserve">  Each Federal department or agency...shall ensure...that the electronic and information technology allows individuals with disabilities...to have access to and use of information and data that is comparable to the access to and use of the information and data by such members of the public who are not individuals with disabilities.</w:t>
      </w:r>
    </w:p>
    <w:p>
      <w:pPr>
        <w:spacing w:after="60" w:before="120"/>
        <w:jc w:val="left"/>
      </w:pPr>
      <w:r>
        <w:rPr>
          <w:rFonts w:ascii="Arial" w:cs="Arial" w:eastAsia="Arial" w:hAnsi="Arial"/>
          <w:b w:val="false"/>
          <w:bCs w:val="false"/>
          <w:i w:val="false"/>
          <w:iCs w:val="false"/>
          <w:color w:val="1a1a2e"/>
          <w:sz w:val="21"/>
          <w:szCs w:val="21"/>
        </w:rPr>
        <w:t xml:space="preserve">Key provisions applicable to IC3.gov:</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The 2018 Section 508 Refresh incorporated WCAG 2.0 Level AA as the baseline standard (36 C.F.R. Part 1194, Appendix A). WCAG 2.1 AA is now the current best practice.</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Applies to all "Electronic and Information Technology" (EIT) developed, procured, maintained, or used by federal agencies — including web-based complaint forms.</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The Access Board (36 C.F.R. Part 1194) sets the technical and functional performance criteria.</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Enforcement: complaints filed with the agency or the DOJ Civil Rights Division (28 C.F.R. § 39).</w:t>
      </w:r>
    </w:p>
    <w:p>
      <w:pPr>
        <w:spacing w:after="80" w:before="0"/>
        <w:jc w:val="left"/>
      </w:pPr>
    </w:p>
    <w:p>
      <w:pPr>
        <w:spacing w:after="60" w:before="200"/>
      </w:pPr>
      <w:r>
        <w:rPr>
          <w:rFonts w:ascii="Arial" w:cs="Arial" w:eastAsia="Arial" w:hAnsi="Arial"/>
          <w:b/>
          <w:bCs/>
          <w:i w:val="false"/>
          <w:iCs w:val="false"/>
          <w:color w:val="001a4d"/>
          <w:sz w:val="22"/>
          <w:szCs w:val="22"/>
        </w:rPr>
        <w:t xml:space="preserve">B. Americans with Disabilities Act, Title II (42 U.S.C. § 12132)</w:t>
      </w:r>
    </w:p>
    <w:p>
      <w:pPr>
        <w:spacing w:after="80" w:before="0"/>
        <w:jc w:val="left"/>
      </w:pPr>
      <w:r>
        <w:rPr>
          <w:rFonts w:ascii="Arial" w:cs="Arial" w:eastAsia="Arial" w:hAnsi="Arial"/>
          <w:b w:val="false"/>
          <w:bCs w:val="false"/>
          <w:i w:val="false"/>
          <w:iCs w:val="false"/>
          <w:color w:val="1a1a2e"/>
          <w:sz w:val="21"/>
          <w:szCs w:val="21"/>
        </w:rPr>
        <w:t xml:space="preserve">Title II prohibits discrimination against people with disabilities by public entities, including the federal government in its public-facing services.</w:t>
      </w:r>
    </w:p>
    <w:p>
      <w:pPr>
        <w:pBdr>
          <w:left w:val="single" w:color="b8860b" w:sz="6" w:space="8"/>
        </w:pBdr>
        <w:spacing w:after="60" w:before="0"/>
      </w:pPr>
      <w:r>
        <w:rPr>
          <w:rFonts w:ascii="Arial" w:cs="Arial" w:eastAsia="Arial" w:hAnsi="Arial"/>
          <w:b/>
          <w:bCs/>
          <w:i w:val="false"/>
          <w:iCs w:val="false"/>
          <w:color w:val="001a4d"/>
          <w:sz w:val="20"/>
          <w:szCs w:val="20"/>
        </w:rPr>
        <w:t xml:space="preserve">42 U.S.C. § 12132</w:t>
      </w:r>
      <w:r>
        <w:rPr>
          <w:rFonts w:ascii="Arial" w:cs="Arial" w:eastAsia="Arial" w:hAnsi="Arial"/>
          <w:b w:val="false"/>
          <w:bCs w:val="false"/>
          <w:i w:val="false"/>
          <w:iCs w:val="false"/>
          <w:color w:val="333333"/>
          <w:sz w:val="20"/>
          <w:szCs w:val="20"/>
        </w:rPr>
        <w:t xml:space="preserve">  No qualified individual with a disability shall, by reason of such disability, be excluded from participation in or be denied the benefits of the services, programs, or activities of a public entity, or be subjected to discrimination by any such entity.</w:t>
      </w:r>
    </w:p>
    <w:p>
      <w:pPr>
        <w:spacing w:after="60" w:before="120"/>
        <w:jc w:val="left"/>
      </w:pPr>
      <w:r>
        <w:rPr>
          <w:rFonts w:ascii="Arial" w:cs="Arial" w:eastAsia="Arial" w:hAnsi="Arial"/>
          <w:b w:val="false"/>
          <w:bCs w:val="false"/>
          <w:i w:val="false"/>
          <w:iCs w:val="false"/>
          <w:color w:val="1a1a2e"/>
          <w:sz w:val="21"/>
          <w:szCs w:val="21"/>
        </w:rPr>
        <w:t xml:space="preserve">DOJ Final Rule (April 24, 2024) — effective April 24, 2026 for larger jurisdictions:</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Establishes WCAG 2.1 Level AA as the legally required technical standard for web content and mobile apps.</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28 C.F.R. Part 35, Subpart H codifies web accessibility requirements.</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Federal agencies are covered entities. A crime complaint intake form is a core "service, program, or activity" of the FBI.</w:t>
      </w:r>
    </w:p>
    <w:p>
      <w:pPr>
        <w:spacing w:after="80" w:before="0"/>
        <w:jc w:val="left"/>
      </w:pPr>
    </w:p>
    <w:p>
      <w:pPr>
        <w:spacing w:after="60" w:before="200"/>
      </w:pPr>
      <w:r>
        <w:rPr>
          <w:rFonts w:ascii="Arial" w:cs="Arial" w:eastAsia="Arial" w:hAnsi="Arial"/>
          <w:b/>
          <w:bCs/>
          <w:i w:val="false"/>
          <w:iCs w:val="false"/>
          <w:color w:val="001a4d"/>
          <w:sz w:val="22"/>
          <w:szCs w:val="22"/>
        </w:rPr>
        <w:t xml:space="preserve">C. DOJ Web Accessibility Final Rule (28 C.F.R. Part 35)</w:t>
      </w:r>
    </w:p>
    <w:p>
      <w:pPr>
        <w:pBdr>
          <w:left w:val="single" w:color="b8860b" w:sz="6" w:space="8"/>
        </w:pBdr>
        <w:spacing w:after="60" w:before="0"/>
      </w:pPr>
      <w:r>
        <w:rPr>
          <w:rFonts w:ascii="Arial" w:cs="Arial" w:eastAsia="Arial" w:hAnsi="Arial"/>
          <w:b/>
          <w:bCs/>
          <w:i w:val="false"/>
          <w:iCs w:val="false"/>
          <w:color w:val="001a4d"/>
          <w:sz w:val="20"/>
          <w:szCs w:val="20"/>
        </w:rPr>
        <w:t xml:space="preserve">28 C.F.R. § 35.200</w:t>
      </w:r>
      <w:r>
        <w:rPr>
          <w:rFonts w:ascii="Arial" w:cs="Arial" w:eastAsia="Arial" w:hAnsi="Arial"/>
          <w:b w:val="false"/>
          <w:bCs w:val="false"/>
          <w:i w:val="false"/>
          <w:iCs w:val="false"/>
          <w:color w:val="333333"/>
          <w:sz w:val="20"/>
          <w:szCs w:val="20"/>
        </w:rPr>
        <w:t xml:space="preserve">  A public entity shall ensure that the content of its web content and mobile apps conforms with WCAG 2.1, Level AA success criteria and conformance requirements.</w:t>
      </w:r>
    </w:p>
    <w:p>
      <w:pPr>
        <w:spacing w:after="60" w:before="120"/>
        <w:jc w:val="left"/>
      </w:pPr>
      <w:r>
        <w:rPr>
          <w:rFonts w:ascii="Arial" w:cs="Arial" w:eastAsia="Arial" w:hAnsi="Arial"/>
          <w:b w:val="false"/>
          <w:bCs w:val="false"/>
          <w:i w:val="false"/>
          <w:iCs w:val="false"/>
          <w:color w:val="1a1a2e"/>
          <w:sz w:val="21"/>
          <w:szCs w:val="21"/>
        </w:rPr>
        <w:t xml:space="preserve">The rule specifically identifies the following as insufficient for compliance:</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Providing information in an inaccessible format and then offering to provide it separately to people with disabilities ("separate but equal" is not compliance).</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Relying on third-party content that is inaccessible, where the entity controls the procurement.</w:t>
      </w:r>
    </w:p>
    <w:p>
      <w:pPr>
        <w:spacing w:after="80" w:before="0"/>
        <w:jc w:val="left"/>
      </w:pPr>
    </w:p>
    <w:p>
      <w:pPr>
        <w:spacing w:after="60" w:before="200"/>
      </w:pPr>
      <w:r>
        <w:rPr>
          <w:rFonts w:ascii="Arial" w:cs="Arial" w:eastAsia="Arial" w:hAnsi="Arial"/>
          <w:b/>
          <w:bCs/>
          <w:i w:val="false"/>
          <w:iCs w:val="false"/>
          <w:color w:val="001a4d"/>
          <w:sz w:val="22"/>
          <w:szCs w:val="22"/>
        </w:rPr>
        <w:t xml:space="preserve">D. Rehabilitation Act, Section 504 (29 U.S.C. § 794)</w:t>
      </w:r>
    </w:p>
    <w:p>
      <w:pPr>
        <w:pBdr>
          <w:left w:val="single" w:color="b8860b" w:sz="6" w:space="8"/>
        </w:pBdr>
        <w:spacing w:after="60" w:before="0"/>
      </w:pPr>
      <w:r>
        <w:rPr>
          <w:rFonts w:ascii="Arial" w:cs="Arial" w:eastAsia="Arial" w:hAnsi="Arial"/>
          <w:b/>
          <w:bCs/>
          <w:i w:val="false"/>
          <w:iCs w:val="false"/>
          <w:color w:val="001a4d"/>
          <w:sz w:val="20"/>
          <w:szCs w:val="20"/>
        </w:rPr>
        <w:t xml:space="preserve">29 U.S.C. § 794(a)</w:t>
      </w:r>
      <w:r>
        <w:rPr>
          <w:rFonts w:ascii="Arial" w:cs="Arial" w:eastAsia="Arial" w:hAnsi="Arial"/>
          <w:b w:val="false"/>
          <w:bCs w:val="false"/>
          <w:i w:val="false"/>
          <w:iCs w:val="false"/>
          <w:color w:val="333333"/>
          <w:sz w:val="20"/>
          <w:szCs w:val="20"/>
        </w:rPr>
        <w:t xml:space="preserve">  No otherwise qualified individual with a disability...shall, solely by reason of her or his disability, be excluded from the participation in, be denied the benefits of, or be subjected to discrimination under any program or activity receiving Federal financial assistance or any program or activity conducted by any Executive agency.</w:t>
      </w:r>
    </w:p>
    <w:p>
      <w:pPr>
        <w:spacing w:after="160" w:before="0"/>
        <w:jc w:val="left"/>
      </w:pPr>
      <w:r>
        <w:rPr>
          <w:rFonts w:ascii="Arial" w:cs="Arial" w:eastAsia="Arial" w:hAnsi="Arial"/>
          <w:b w:val="false"/>
          <w:bCs w:val="false"/>
          <w:i w:val="false"/>
          <w:iCs w:val="false"/>
          <w:color w:val="1a1a2e"/>
          <w:sz w:val="21"/>
          <w:szCs w:val="21"/>
        </w:rPr>
        <w:t xml:space="preserve">IC3.gov is an Executive agency program — Section 504 applies independently of Section 508.</w:t>
      </w:r>
    </w:p>
    <w:p>
      <w:pPr>
        <w:pBdr>
          <w:bottom w:val="single" w:color="cbd5e1" w:sz="2" w:space="2"/>
        </w:pBdr>
        <w:spacing w:after="80" w:before="80"/>
      </w:pPr>
    </w:p>
    <w:p>
      <w:pPr>
        <w:pBdr>
          <w:bottom w:val="single" w:color="b8860b" w:sz="6" w:space="4"/>
        </w:pBdr>
        <w:spacing w:after="80" w:before="280"/>
      </w:pPr>
      <w:r>
        <w:rPr>
          <w:rFonts w:ascii="Arial" w:cs="Arial" w:eastAsia="Arial" w:hAnsi="Arial"/>
          <w:b/>
          <w:bCs/>
          <w:i w:val="false"/>
          <w:iCs w:val="false"/>
          <w:color w:val="001a4d"/>
          <w:sz w:val="26"/>
          <w:szCs w:val="26"/>
        </w:rPr>
        <w:t xml:space="preserve">II.  Legal Framework — Colorado Law</w:t>
      </w:r>
    </w:p>
    <w:p>
      <w:pPr>
        <w:spacing w:after="120" w:before="0"/>
        <w:jc w:val="left"/>
      </w:pPr>
      <w:r>
        <w:rPr>
          <w:rFonts w:ascii="Arial" w:cs="Arial" w:eastAsia="Arial" w:hAnsi="Arial"/>
          <w:b w:val="false"/>
          <w:bCs w:val="false"/>
          <w:i w:val="false"/>
          <w:iCs w:val="false"/>
          <w:color w:val="1a1a2e"/>
          <w:sz w:val="21"/>
          <w:szCs w:val="21"/>
        </w:rPr>
        <w:t xml:space="preserve">Colorado has enacted state-level digital accessibility obligations that apply to state agencies, counties, municipalities, and entities receiving state funds. While IC3.gov is a federal site and primarily subject to federal law, the state framework is relevant to any Colorado-based claimant navigating the system, and to any alternative Colorado-hosted civic resource.</w:t>
      </w:r>
    </w:p>
    <w:p>
      <w:pPr>
        <w:spacing w:after="60" w:before="200"/>
      </w:pPr>
      <w:r>
        <w:rPr>
          <w:rFonts w:ascii="Arial" w:cs="Arial" w:eastAsia="Arial" w:hAnsi="Arial"/>
          <w:b/>
          <w:bCs/>
          <w:i w:val="false"/>
          <w:iCs w:val="false"/>
          <w:color w:val="001a4d"/>
          <w:sz w:val="22"/>
          <w:szCs w:val="22"/>
        </w:rPr>
        <w:t xml:space="preserve">A. Colorado HB 21-1110 — Web Accessibility Standard</w:t>
      </w:r>
    </w:p>
    <w:p>
      <w:pPr>
        <w:pBdr>
          <w:left w:val="single" w:color="b8860b" w:sz="6" w:space="8"/>
        </w:pBdr>
        <w:spacing w:after="60" w:before="0"/>
      </w:pPr>
      <w:r>
        <w:rPr>
          <w:rFonts w:ascii="Arial" w:cs="Arial" w:eastAsia="Arial" w:hAnsi="Arial"/>
          <w:b/>
          <w:bCs/>
          <w:i w:val="false"/>
          <w:iCs w:val="false"/>
          <w:color w:val="001a4d"/>
          <w:sz w:val="20"/>
          <w:szCs w:val="20"/>
        </w:rPr>
        <w:t xml:space="preserve">C.R.S. § 24-85-101 et seq.</w:t>
      </w:r>
      <w:r>
        <w:rPr>
          <w:rFonts w:ascii="Arial" w:cs="Arial" w:eastAsia="Arial" w:hAnsi="Arial"/>
          <w:b w:val="false"/>
          <w:bCs w:val="false"/>
          <w:i w:val="false"/>
          <w:iCs w:val="false"/>
          <w:color w:val="333333"/>
          <w:sz w:val="20"/>
          <w:szCs w:val="20"/>
        </w:rPr>
        <w:t xml:space="preserve">  Establishes WCAG 2.1 Level AA as the required standard for all state agency websites and digital government services. All state agencies must conform by July 1, 2024.</w:t>
      </w:r>
    </w:p>
    <w:p>
      <w:pPr>
        <w:spacing w:after="60" w:before="120"/>
        <w:jc w:val="left"/>
      </w:pPr>
      <w:r>
        <w:rPr>
          <w:rFonts w:ascii="Arial" w:cs="Arial" w:eastAsia="Arial" w:hAnsi="Arial"/>
          <w:b w:val="false"/>
          <w:bCs w:val="false"/>
          <w:i w:val="false"/>
          <w:iCs w:val="false"/>
          <w:color w:val="1a1a2e"/>
          <w:sz w:val="21"/>
          <w:szCs w:val="21"/>
        </w:rPr>
        <w:t xml:space="preserve">Key provisions:</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Applies to all state agencies, departments, institutions of higher education, and any entity receiving state funds for digital services.</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Requires a written digital accessibility policy, documented remediation plans, and regular compliance reporting to the Governor's Office of Information Technology (OIT).</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Colorado OIT published conformance standards incorporating WCAG 2.1 AA as of July 2023.</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Relevant to any Colorado government entity that links to or embeds IC3.gov content, or that creates an alternative reporting interface.</w:t>
      </w:r>
    </w:p>
    <w:p>
      <w:pPr>
        <w:spacing w:after="80" w:before="0"/>
        <w:jc w:val="left"/>
      </w:pPr>
    </w:p>
    <w:p>
      <w:pPr>
        <w:spacing w:after="60" w:before="200"/>
      </w:pPr>
      <w:r>
        <w:rPr>
          <w:rFonts w:ascii="Arial" w:cs="Arial" w:eastAsia="Arial" w:hAnsi="Arial"/>
          <w:b/>
          <w:bCs/>
          <w:i w:val="false"/>
          <w:iCs w:val="false"/>
          <w:color w:val="001a4d"/>
          <w:sz w:val="22"/>
          <w:szCs w:val="22"/>
        </w:rPr>
        <w:t xml:space="preserve">B. Colorado Anti-Discrimination Act (CADA) — C.R.S. § 24-34-501 et seq.</w:t>
      </w:r>
    </w:p>
    <w:p>
      <w:pPr>
        <w:pBdr>
          <w:left w:val="single" w:color="b8860b" w:sz="6" w:space="8"/>
        </w:pBdr>
        <w:spacing w:after="60" w:before="0"/>
      </w:pPr>
      <w:r>
        <w:rPr>
          <w:rFonts w:ascii="Arial" w:cs="Arial" w:eastAsia="Arial" w:hAnsi="Arial"/>
          <w:b/>
          <w:bCs/>
          <w:i w:val="false"/>
          <w:iCs w:val="false"/>
          <w:color w:val="001a4d"/>
          <w:sz w:val="20"/>
          <w:szCs w:val="20"/>
        </w:rPr>
        <w:t xml:space="preserve">C.R.S. § 24-34-502</w:t>
      </w:r>
      <w:r>
        <w:rPr>
          <w:rFonts w:ascii="Arial" w:cs="Arial" w:eastAsia="Arial" w:hAnsi="Arial"/>
          <w:b w:val="false"/>
          <w:bCs w:val="false"/>
          <w:i w:val="false"/>
          <w:iCs w:val="false"/>
          <w:color w:val="333333"/>
          <w:sz w:val="20"/>
          <w:szCs w:val="20"/>
        </w:rPr>
        <w:t xml:space="preserve">  It is a discriminatory or unfair practice for a person...to deny to an individual...full and equal enjoyment of a place of public accommodation...because of disability.</w:t>
      </w:r>
    </w:p>
    <w:p>
      <w:pPr>
        <w:spacing w:after="80" w:before="0"/>
        <w:jc w:val="left"/>
      </w:pPr>
      <w:r>
        <w:rPr>
          <w:rFonts w:ascii="Arial" w:cs="Arial" w:eastAsia="Arial" w:hAnsi="Arial"/>
          <w:b w:val="false"/>
          <w:bCs w:val="false"/>
          <w:i w:val="false"/>
          <w:iCs w:val="false"/>
          <w:color w:val="1a1a2e"/>
          <w:sz w:val="21"/>
          <w:szCs w:val="21"/>
        </w:rPr>
        <w:t xml:space="preserve">The Colorado Civil Rights Commission has interpreted this to include digital services and websites operated by entities doing business in Colorado. While courts have not uniformly extended this to pure government web services, it is the applicable state framework for non-federal entities.</w:t>
      </w:r>
    </w:p>
    <w:p>
      <w:pPr>
        <w:spacing w:after="60" w:before="200"/>
      </w:pPr>
      <w:r>
        <w:rPr>
          <w:rFonts w:ascii="Arial" w:cs="Arial" w:eastAsia="Arial" w:hAnsi="Arial"/>
          <w:b/>
          <w:bCs/>
          <w:i w:val="false"/>
          <w:iCs w:val="false"/>
          <w:color w:val="001a4d"/>
          <w:sz w:val="22"/>
          <w:szCs w:val="22"/>
        </w:rPr>
        <w:t xml:space="preserve">C. Colorado Revised Statutes — Equal Access to Government Services</w:t>
      </w:r>
    </w:p>
    <w:p>
      <w:pPr>
        <w:pBdr>
          <w:left w:val="single" w:color="b8860b" w:sz="6" w:space="8"/>
        </w:pBdr>
        <w:spacing w:after="60" w:before="0"/>
      </w:pPr>
      <w:r>
        <w:rPr>
          <w:rFonts w:ascii="Arial" w:cs="Arial" w:eastAsia="Arial" w:hAnsi="Arial"/>
          <w:b/>
          <w:bCs/>
          <w:i w:val="false"/>
          <w:iCs w:val="false"/>
          <w:color w:val="001a4d"/>
          <w:sz w:val="20"/>
          <w:szCs w:val="20"/>
        </w:rPr>
        <w:t xml:space="preserve">C.R.S. § 24-72.4-102</w:t>
      </w:r>
      <w:r>
        <w:rPr>
          <w:rFonts w:ascii="Arial" w:cs="Arial" w:eastAsia="Arial" w:hAnsi="Arial"/>
          <w:b w:val="false"/>
          <w:bCs w:val="false"/>
          <w:i w:val="false"/>
          <w:iCs w:val="false"/>
          <w:color w:val="333333"/>
          <w:sz w:val="20"/>
          <w:szCs w:val="20"/>
        </w:rPr>
        <w:t xml:space="preserve">  State agencies shall make electronic information and communications technology accessible to individuals with disabilities under WCAG 2.1 AA standards as established by the Governor's Office of Information Technology.</w:t>
      </w:r>
    </w:p>
    <w:p>
      <w:pPr>
        <w:spacing w:after="80" w:before="0"/>
        <w:jc w:val="left"/>
      </w:pPr>
    </w:p>
    <w:p>
      <w:pPr>
        <w:spacing w:after="60" w:before="200"/>
      </w:pPr>
      <w:r>
        <w:rPr>
          <w:rFonts w:ascii="Arial" w:cs="Arial" w:eastAsia="Arial" w:hAnsi="Arial"/>
          <w:b/>
          <w:bCs/>
          <w:i w:val="false"/>
          <w:iCs w:val="false"/>
          <w:color w:val="001a4d"/>
          <w:sz w:val="22"/>
          <w:szCs w:val="22"/>
        </w:rPr>
        <w:t xml:space="preserve">D. Pikes Peak Rural Transportation Authority (PPRTA) &amp; Local Compliance</w:t>
      </w:r>
    </w:p>
    <w:p>
      <w:pPr>
        <w:spacing w:after="160" w:before="0"/>
        <w:jc w:val="left"/>
      </w:pPr>
      <w:r>
        <w:rPr>
          <w:rFonts w:ascii="Arial" w:cs="Arial" w:eastAsia="Arial" w:hAnsi="Arial"/>
          <w:b w:val="false"/>
          <w:bCs w:val="false"/>
          <w:i w:val="false"/>
          <w:iCs w:val="false"/>
          <w:color w:val="1a1a2e"/>
          <w:sz w:val="21"/>
          <w:szCs w:val="21"/>
        </w:rPr>
        <w:t xml:space="preserve">Any digital interface published by El Paso County, the City of Colorado Springs, or agencies receiving county funds (including transit and law enforcement public portals) is subject to WCAG 2.1 AA under HB 21-1110 and ADA Title II. The April 24, 2026 DOJ deadline applies to Colorado Springs (500,000+ population) as a larger jurisdiction.</w:t>
      </w:r>
    </w:p>
    <w:p>
      <w:pPr>
        <w:pBdr>
          <w:bottom w:val="single" w:color="cbd5e1" w:sz="2" w:space="2"/>
        </w:pBdr>
        <w:spacing w:after="80" w:before="80"/>
      </w:pPr>
    </w:p>
    <w:p>
      <w:pPr>
        <w:pBdr>
          <w:bottom w:val="single" w:color="b8860b" w:sz="6" w:space="4"/>
        </w:pBdr>
        <w:spacing w:after="80" w:before="280"/>
      </w:pPr>
      <w:r>
        <w:rPr>
          <w:rFonts w:ascii="Arial" w:cs="Arial" w:eastAsia="Arial" w:hAnsi="Arial"/>
          <w:b/>
          <w:bCs/>
          <w:i w:val="false"/>
          <w:iCs w:val="false"/>
          <w:color w:val="001a4d"/>
          <w:sz w:val="26"/>
          <w:szCs w:val="26"/>
        </w:rPr>
        <w:t xml:space="preserve">III.  WCAG 2.1 AA Technical Standards — Applicable Criteria</w:t>
      </w:r>
    </w:p>
    <w:p>
      <w:pPr>
        <w:spacing w:after="120" w:before="0"/>
        <w:jc w:val="left"/>
      </w:pPr>
      <w:r>
        <w:rPr>
          <w:rFonts w:ascii="Arial" w:cs="Arial" w:eastAsia="Arial" w:hAnsi="Arial"/>
          <w:b w:val="false"/>
          <w:bCs w:val="false"/>
          <w:i w:val="false"/>
          <w:iCs w:val="false"/>
          <w:color w:val="1a1a2e"/>
          <w:sz w:val="21"/>
          <w:szCs w:val="21"/>
        </w:rPr>
        <w:t xml:space="preserve">The following WCAG 2.1 success criteria form the technical basis for evaluating IC3.gov's compliance. Each failure identified in Section IV maps to one or more of these criteria.</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560"/>
      </w:tblGrid>
      <w:tr>
        <w:trPr>
          <w:tblHeader/>
        </w:trPr>
        <w:tc>
          <w:tcPr>
            <w:tcW w:type="dxa" w:w="1200"/>
            <w:tcBorders>
              <w:top w:val="single" w:color="cbd5e1" w:sz="1"/>
              <w:left w:val="single" w:color="cbd5e1" w:sz="1"/>
              <w:bottom w:val="single" w:color="cbd5e1" w:sz="1"/>
              <w:right w:val="single" w:color="cbd5e1" w:sz="1"/>
            </w:tcBorders>
            <w:shd w:fill="001a4d" w:val="clear"/>
            <w:tcMar>
              <w:top w:type="dxa" w:w="80"/>
              <w:left w:type="dxa" w:w="140"/>
              <w:bottom w:type="dxa" w:w="80"/>
              <w:right w:type="dxa" w:w="80"/>
            </w:tcMar>
          </w:tcPr>
          <w:p>
            <w:pPr>
              <w:spacing w:after="0" w:before="0"/>
            </w:pPr>
            <w:r>
              <w:rPr>
                <w:rFonts w:ascii="Arial" w:cs="Arial" w:eastAsia="Arial" w:hAnsi="Arial"/>
                <w:b/>
                <w:bCs/>
                <w:i w:val="false"/>
                <w:iCs w:val="false"/>
                <w:color w:val="ffffff"/>
                <w:sz w:val="19"/>
                <w:szCs w:val="19"/>
              </w:rPr>
              <w:t xml:space="preserve">Criterion</w:t>
            </w:r>
          </w:p>
        </w:tc>
        <w:tc>
          <w:tcPr>
            <w:tcW w:type="dxa" w:w="1000"/>
            <w:tcBorders>
              <w:top w:val="single" w:color="cbd5e1" w:sz="1"/>
              <w:left w:val="single" w:color="cbd5e1" w:sz="1"/>
              <w:bottom w:val="single" w:color="cbd5e1" w:sz="1"/>
              <w:right w:val="single" w:color="cbd5e1" w:sz="1"/>
            </w:tcBorders>
            <w:shd w:fill="001a4d" w:val="clear"/>
            <w:tcMar>
              <w:top w:type="dxa" w:w="80"/>
              <w:left w:type="dxa" w:w="140"/>
              <w:bottom w:type="dxa" w:w="80"/>
              <w:right w:type="dxa" w:w="80"/>
            </w:tcMar>
          </w:tcPr>
          <w:p>
            <w:pPr>
              <w:spacing w:after="0" w:before="0"/>
            </w:pPr>
            <w:r>
              <w:rPr>
                <w:rFonts w:ascii="Arial" w:cs="Arial" w:eastAsia="Arial" w:hAnsi="Arial"/>
                <w:b/>
                <w:bCs/>
                <w:i w:val="false"/>
                <w:iCs w:val="false"/>
                <w:color w:val="ffffff"/>
                <w:sz w:val="19"/>
                <w:szCs w:val="19"/>
              </w:rPr>
              <w:t xml:space="preserve">Level</w:t>
            </w:r>
          </w:p>
        </w:tc>
        <w:tc>
          <w:tcPr>
            <w:tcW w:type="dxa" w:w="7560"/>
            <w:tcBorders>
              <w:top w:val="single" w:color="cbd5e1" w:sz="1"/>
              <w:left w:val="single" w:color="cbd5e1" w:sz="1"/>
              <w:bottom w:val="single" w:color="cbd5e1" w:sz="1"/>
              <w:right w:val="single" w:color="cbd5e1" w:sz="1"/>
            </w:tcBorders>
            <w:shd w:fill="001a4d" w:val="clear"/>
            <w:tcMar>
              <w:top w:type="dxa" w:w="80"/>
              <w:left w:type="dxa" w:w="140"/>
              <w:bottom w:type="dxa" w:w="80"/>
              <w:right w:type="dxa" w:w="80"/>
            </w:tcMar>
          </w:tcPr>
          <w:p>
            <w:pPr>
              <w:spacing w:after="0" w:before="0"/>
            </w:pPr>
            <w:r>
              <w:rPr>
                <w:rFonts w:ascii="Arial" w:cs="Arial" w:eastAsia="Arial" w:hAnsi="Arial"/>
                <w:b/>
                <w:bCs/>
                <w:i w:val="false"/>
                <w:iCs w:val="false"/>
                <w:color w:val="ffffff"/>
                <w:sz w:val="19"/>
                <w:szCs w:val="19"/>
              </w:rPr>
              <w:t xml:space="preserve">Description</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1.1.1</w:t>
            </w:r>
          </w:p>
        </w:tc>
        <w:tc>
          <w:tcPr>
            <w:tcW w:type="dxa" w:w="10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Non-text Content: All non-text content has a text alternative.</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1.3.1</w:t>
            </w:r>
          </w:p>
        </w:tc>
        <w:tc>
          <w:tcPr>
            <w:tcW w:type="dxa" w:w="10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Info and Relationships: Information conveyed through presentation can be programmatically determined.</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1.4.3</w:t>
            </w:r>
          </w:p>
        </w:tc>
        <w:tc>
          <w:tcPr>
            <w:tcW w:type="dxa" w:w="10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AA</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Contrast (Minimum): Text has a contrast ratio of at least 4.5:1.</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2.1.1</w:t>
            </w:r>
          </w:p>
        </w:tc>
        <w:tc>
          <w:tcPr>
            <w:tcW w:type="dxa" w:w="10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Keyboard: All functionality operable through a keyboard interface.</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2.4.1</w:t>
            </w:r>
          </w:p>
        </w:tc>
        <w:tc>
          <w:tcPr>
            <w:tcW w:type="dxa" w:w="10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Bypass Blocks: Mechanism to bypass repeated content (skip links).</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2.4.6</w:t>
            </w:r>
          </w:p>
        </w:tc>
        <w:tc>
          <w:tcPr>
            <w:tcW w:type="dxa" w:w="10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AA</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Headings and Labels: Headings and labels describe topic or purpose.</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3.3.1</w:t>
            </w:r>
          </w:p>
        </w:tc>
        <w:tc>
          <w:tcPr>
            <w:tcW w:type="dxa" w:w="10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Error Identification: Input errors automatically identified and described in text.</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3.3.2</w:t>
            </w:r>
          </w:p>
        </w:tc>
        <w:tc>
          <w:tcPr>
            <w:tcW w:type="dxa" w:w="10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Labels or Instructions: Labels or instructions provided for user input.</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3.3.3</w:t>
            </w:r>
          </w:p>
        </w:tc>
        <w:tc>
          <w:tcPr>
            <w:tcW w:type="dxa" w:w="10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AA</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Error Suggestion: If an error is detected, suggestions for correction are provided.</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4.1.2</w:t>
            </w:r>
          </w:p>
        </w:tc>
        <w:tc>
          <w:tcPr>
            <w:tcW w:type="dxa" w:w="10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Name, Role, Value: For all UI components, name, role, and value can be programmatically determined.</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4.1.3</w:t>
            </w:r>
          </w:p>
        </w:tc>
        <w:tc>
          <w:tcPr>
            <w:tcW w:type="dxa" w:w="100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AA</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Status Messages: Status messages can be programmatically determined without receiving focus.</w:t>
            </w:r>
          </w:p>
        </w:tc>
      </w:tr>
    </w:tbl>
    <w:p>
      <w:pPr>
        <w:spacing w:after="160" w:before="0"/>
        <w:jc w:val="left"/>
      </w:pPr>
    </w:p>
    <w:p>
      <w:pPr>
        <w:pBdr>
          <w:bottom w:val="single" w:color="cbd5e1" w:sz="2" w:space="2"/>
        </w:pBdr>
        <w:spacing w:after="80" w:before="80"/>
      </w:pPr>
    </w:p>
    <w:p>
      <w:pPr>
        <w:pBdr>
          <w:bottom w:val="single" w:color="b8860b" w:sz="6" w:space="4"/>
        </w:pBdr>
        <w:spacing w:after="80" w:before="280"/>
      </w:pPr>
      <w:r>
        <w:rPr>
          <w:rFonts w:ascii="Arial" w:cs="Arial" w:eastAsia="Arial" w:hAnsi="Arial"/>
          <w:b/>
          <w:bCs/>
          <w:i w:val="false"/>
          <w:iCs w:val="false"/>
          <w:color w:val="001a4d"/>
          <w:sz w:val="26"/>
          <w:szCs w:val="26"/>
        </w:rPr>
        <w:t xml:space="preserve">IV.  Confirmed Accessibility Failures</w:t>
      </w:r>
    </w:p>
    <w:p>
      <w:pPr>
        <w:spacing w:after="120" w:before="0"/>
        <w:jc w:val="left"/>
      </w:pPr>
      <w:r>
        <w:rPr>
          <w:rFonts w:ascii="Arial" w:cs="Arial" w:eastAsia="Arial" w:hAnsi="Arial"/>
          <w:b w:val="false"/>
          <w:bCs w:val="false"/>
          <w:i w:val="false"/>
          <w:iCs w:val="false"/>
          <w:color w:val="1a1a2e"/>
          <w:sz w:val="21"/>
          <w:szCs w:val="21"/>
        </w:rPr>
        <w:t xml:space="preserve">8 failures confirmed from live page fetch and structural HTML analysis. 3 additional warnings require live keyboard testing to confirm. All failures are code-level — none require visual redesign.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200"/>
        <w:gridCol w:w="500"/>
        <w:gridCol w:w="2400"/>
        <w:gridCol w:w="1500"/>
        <w:gridCol w:w="1560"/>
      </w:tblGrid>
      <w:tr>
        <w:trPr>
          <w:tblHeader/>
        </w:trPr>
        <w:tc>
          <w:tcPr>
            <w:tcW w:type="dxa" w:w="400"/>
            <w:tcBorders>
              <w:top w:val="single" w:color="cbd5e1" w:sz="1"/>
              <w:left w:val="single" w:color="cbd5e1" w:sz="1"/>
              <w:bottom w:val="single" w:color="cbd5e1" w:sz="1"/>
              <w:right w:val="single" w:color="cbd5e1" w:sz="1"/>
            </w:tcBorders>
            <w:shd w:fill="001a4d" w:val="clear"/>
            <w:tcMar>
              <w:top w:type="dxa" w:w="80"/>
              <w:left w:type="dxa" w:w="140"/>
              <w:bottom w:type="dxa" w:w="80"/>
              <w:right w:type="dxa" w:w="80"/>
            </w:tcMar>
          </w:tcPr>
          <w:p>
            <w:pPr>
              <w:spacing w:after="0" w:before="0"/>
            </w:pPr>
            <w:r>
              <w:rPr>
                <w:rFonts w:ascii="Arial" w:cs="Arial" w:eastAsia="Arial" w:hAnsi="Arial"/>
                <w:b/>
                <w:bCs/>
                <w:i w:val="false"/>
                <w:iCs w:val="false"/>
                <w:color w:val="ffffff"/>
                <w:sz w:val="19"/>
                <w:szCs w:val="19"/>
              </w:rPr>
              <w:t xml:space="preserve">#</w:t>
            </w:r>
          </w:p>
        </w:tc>
        <w:tc>
          <w:tcPr>
            <w:tcW w:type="dxa" w:w="2200"/>
            <w:tcBorders>
              <w:top w:val="single" w:color="cbd5e1" w:sz="1"/>
              <w:left w:val="single" w:color="cbd5e1" w:sz="1"/>
              <w:bottom w:val="single" w:color="cbd5e1" w:sz="1"/>
              <w:right w:val="single" w:color="cbd5e1" w:sz="1"/>
            </w:tcBorders>
            <w:shd w:fill="001a4d" w:val="clear"/>
            <w:tcMar>
              <w:top w:type="dxa" w:w="80"/>
              <w:left w:type="dxa" w:w="140"/>
              <w:bottom w:type="dxa" w:w="80"/>
              <w:right w:type="dxa" w:w="80"/>
            </w:tcMar>
          </w:tcPr>
          <w:p>
            <w:pPr>
              <w:spacing w:after="0" w:before="0"/>
            </w:pPr>
            <w:r>
              <w:rPr>
                <w:rFonts w:ascii="Arial" w:cs="Arial" w:eastAsia="Arial" w:hAnsi="Arial"/>
                <w:b/>
                <w:bCs/>
                <w:i w:val="false"/>
                <w:iCs w:val="false"/>
                <w:color w:val="ffffff"/>
                <w:sz w:val="19"/>
                <w:szCs w:val="19"/>
              </w:rPr>
              <w:t xml:space="preserve">Failure</w:t>
            </w:r>
          </w:p>
        </w:tc>
        <w:tc>
          <w:tcPr>
            <w:tcW w:type="dxa" w:w="1200"/>
            <w:tcBorders>
              <w:top w:val="single" w:color="cbd5e1" w:sz="1"/>
              <w:left w:val="single" w:color="cbd5e1" w:sz="1"/>
              <w:bottom w:val="single" w:color="cbd5e1" w:sz="1"/>
              <w:right w:val="single" w:color="cbd5e1" w:sz="1"/>
            </w:tcBorders>
            <w:shd w:fill="001a4d" w:val="clear"/>
            <w:tcMar>
              <w:top w:type="dxa" w:w="80"/>
              <w:left w:type="dxa" w:w="140"/>
              <w:bottom w:type="dxa" w:w="80"/>
              <w:right w:type="dxa" w:w="80"/>
            </w:tcMar>
          </w:tcPr>
          <w:p>
            <w:pPr>
              <w:spacing w:after="0" w:before="0"/>
            </w:pPr>
            <w:r>
              <w:rPr>
                <w:rFonts w:ascii="Arial" w:cs="Arial" w:eastAsia="Arial" w:hAnsi="Arial"/>
                <w:b/>
                <w:bCs/>
                <w:i w:val="false"/>
                <w:iCs w:val="false"/>
                <w:color w:val="ffffff"/>
                <w:sz w:val="19"/>
                <w:szCs w:val="19"/>
              </w:rPr>
              <w:t xml:space="preserve">WCAG</w:t>
            </w:r>
          </w:p>
        </w:tc>
        <w:tc>
          <w:tcPr>
            <w:tcW w:type="dxa" w:w="500"/>
            <w:tcBorders>
              <w:top w:val="single" w:color="cbd5e1" w:sz="1"/>
              <w:left w:val="single" w:color="cbd5e1" w:sz="1"/>
              <w:bottom w:val="single" w:color="cbd5e1" w:sz="1"/>
              <w:right w:val="single" w:color="cbd5e1" w:sz="1"/>
            </w:tcBorders>
            <w:shd w:fill="001a4d" w:val="clear"/>
            <w:tcMar>
              <w:top w:type="dxa" w:w="80"/>
              <w:left w:type="dxa" w:w="140"/>
              <w:bottom w:type="dxa" w:w="80"/>
              <w:right w:type="dxa" w:w="80"/>
            </w:tcMar>
          </w:tcPr>
          <w:p>
            <w:pPr>
              <w:spacing w:after="0" w:before="0"/>
            </w:pPr>
            <w:r>
              <w:rPr>
                <w:rFonts w:ascii="Arial" w:cs="Arial" w:eastAsia="Arial" w:hAnsi="Arial"/>
                <w:b/>
                <w:bCs/>
                <w:i w:val="false"/>
                <w:iCs w:val="false"/>
                <w:color w:val="ffffff"/>
                <w:sz w:val="19"/>
                <w:szCs w:val="19"/>
              </w:rPr>
              <w:t xml:space="preserve">Level</w:t>
            </w:r>
          </w:p>
        </w:tc>
        <w:tc>
          <w:tcPr>
            <w:tcW w:type="dxa" w:w="2400"/>
            <w:tcBorders>
              <w:top w:val="single" w:color="cbd5e1" w:sz="1"/>
              <w:left w:val="single" w:color="cbd5e1" w:sz="1"/>
              <w:bottom w:val="single" w:color="cbd5e1" w:sz="1"/>
              <w:right w:val="single" w:color="cbd5e1" w:sz="1"/>
            </w:tcBorders>
            <w:shd w:fill="001a4d" w:val="clear"/>
            <w:tcMar>
              <w:top w:type="dxa" w:w="80"/>
              <w:left w:type="dxa" w:w="140"/>
              <w:bottom w:type="dxa" w:w="80"/>
              <w:right w:type="dxa" w:w="80"/>
            </w:tcMar>
          </w:tcPr>
          <w:p>
            <w:pPr>
              <w:spacing w:after="0" w:before="0"/>
            </w:pPr>
            <w:r>
              <w:rPr>
                <w:rFonts w:ascii="Arial" w:cs="Arial" w:eastAsia="Arial" w:hAnsi="Arial"/>
                <w:b/>
                <w:bCs/>
                <w:i w:val="false"/>
                <w:iCs w:val="false"/>
                <w:color w:val="ffffff"/>
                <w:sz w:val="19"/>
                <w:szCs w:val="19"/>
              </w:rPr>
              <w:t xml:space="preserve">Detail</w:t>
            </w:r>
          </w:p>
        </w:tc>
        <w:tc>
          <w:tcPr>
            <w:tcW w:type="dxa" w:w="1500"/>
            <w:tcBorders>
              <w:top w:val="single" w:color="cbd5e1" w:sz="1"/>
              <w:left w:val="single" w:color="cbd5e1" w:sz="1"/>
              <w:bottom w:val="single" w:color="cbd5e1" w:sz="1"/>
              <w:right w:val="single" w:color="cbd5e1" w:sz="1"/>
            </w:tcBorders>
            <w:shd w:fill="001a4d" w:val="clear"/>
            <w:tcMar>
              <w:top w:type="dxa" w:w="80"/>
              <w:left w:type="dxa" w:w="140"/>
              <w:bottom w:type="dxa" w:w="80"/>
              <w:right w:type="dxa" w:w="80"/>
            </w:tcMar>
          </w:tcPr>
          <w:p>
            <w:pPr>
              <w:spacing w:after="0" w:before="0"/>
            </w:pPr>
            <w:r>
              <w:rPr>
                <w:rFonts w:ascii="Arial" w:cs="Arial" w:eastAsia="Arial" w:hAnsi="Arial"/>
                <w:b/>
                <w:bCs/>
                <w:i w:val="false"/>
                <w:iCs w:val="false"/>
                <w:color w:val="ffffff"/>
                <w:sz w:val="19"/>
                <w:szCs w:val="19"/>
              </w:rPr>
              <w:t xml:space="preserve">Fix</w:t>
            </w:r>
          </w:p>
        </w:tc>
        <w:tc>
          <w:tcPr>
            <w:tcW w:type="dxa" w:w="1560"/>
            <w:tcBorders>
              <w:top w:val="single" w:color="cbd5e1" w:sz="1"/>
              <w:left w:val="single" w:color="cbd5e1" w:sz="1"/>
              <w:bottom w:val="single" w:color="cbd5e1" w:sz="1"/>
              <w:right w:val="single" w:color="cbd5e1" w:sz="1"/>
            </w:tcBorders>
            <w:shd w:fill="001a4d" w:val="clear"/>
            <w:tcMar>
              <w:top w:type="dxa" w:w="80"/>
              <w:left w:type="dxa" w:w="140"/>
              <w:bottom w:type="dxa" w:w="80"/>
              <w:right w:type="dxa" w:w="80"/>
            </w:tcMar>
          </w:tcPr>
          <w:p>
            <w:pPr>
              <w:spacing w:after="0" w:before="0"/>
            </w:pPr>
            <w:r>
              <w:rPr>
                <w:rFonts w:ascii="Arial" w:cs="Arial" w:eastAsia="Arial" w:hAnsi="Arial"/>
                <w:b/>
                <w:bCs/>
                <w:i w:val="false"/>
                <w:iCs w:val="false"/>
                <w:color w:val="ffffff"/>
                <w:sz w:val="19"/>
                <w:szCs w:val="19"/>
              </w:rPr>
              <w:t xml:space="preserve">Est. Time</w:t>
            </w:r>
          </w:p>
        </w:tc>
      </w:tr>
      <w:tr>
        <w:tc>
          <w:tcPr>
            <w:tcW w:type="dxa" w:w="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bCs/>
                <w:i w:val="false"/>
                <w:iCs w:val="false"/>
                <w:color w:val="b91c1c"/>
                <w:sz w:val="19"/>
                <w:szCs w:val="19"/>
              </w:rPr>
              <w:t xml:space="preserve">1</w:t>
            </w:r>
          </w:p>
        </w:tc>
        <w:tc>
          <w:tcPr>
            <w:tcW w:type="dxa" w:w="2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Lock icon text leaks as visible content</w:t>
            </w:r>
          </w:p>
        </w:tc>
        <w:tc>
          <w:tcPr>
            <w:tcW w:type="dxa" w:w="1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1.1.1</w:t>
            </w:r>
          </w:p>
        </w:tc>
        <w:tc>
          <w:tcPr>
            <w:tcW w:type="dxa" w:w="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w:t>
            </w:r>
          </w:p>
        </w:tc>
        <w:tc>
          <w:tcPr>
            <w:tcW w:type="dxa" w:w="2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HTTPS lock icon rendered as raw text "Lock Locked padlock icon" — screen readers announce redundantly or confusingly</w:t>
            </w:r>
          </w:p>
        </w:tc>
        <w:tc>
          <w:tcPr>
            <w:tcW w:type="dxa" w:w="1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aria-hidden="true" on decorative icon</w:t>
            </w:r>
          </w:p>
        </w:tc>
        <w:tc>
          <w:tcPr>
            <w:tcW w:type="dxa" w:w="136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5 min</w:t>
            </w:r>
          </w:p>
        </w:tc>
      </w:tr>
      <w:tr>
        <w:tc>
          <w:tcPr>
            <w:tcW w:type="dxa" w:w="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bCs/>
                <w:i w:val="false"/>
                <w:iCs w:val="false"/>
                <w:color w:val="b91c1c"/>
                <w:sz w:val="19"/>
                <w:szCs w:val="19"/>
              </w:rPr>
              <w:t xml:space="preserve">2</w:t>
            </w:r>
          </w:p>
        </w:tc>
        <w:tc>
          <w:tcPr>
            <w:tcW w:type="dxa" w:w="2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Help icons (i) have no accessible name</w:t>
            </w:r>
          </w:p>
        </w:tc>
        <w:tc>
          <w:tcPr>
            <w:tcW w:type="dxa" w:w="1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1.1.1 / 4.1.2</w:t>
            </w:r>
          </w:p>
        </w:tc>
        <w:tc>
          <w:tcPr>
            <w:tcW w:type="dxa" w:w="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w:t>
            </w:r>
          </w:p>
        </w:tc>
        <w:tc>
          <w:tcPr>
            <w:tcW w:type="dxa" w:w="2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SVG help buttons trigger definition modals but have no aria-label, title, or sr-only text — screen readers say "button" with no name</w:t>
            </w:r>
          </w:p>
        </w:tc>
        <w:tc>
          <w:tcPr>
            <w:tcW w:type="dxa" w:w="1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Add aria-label="[Field] help" to each help icon button</w:t>
            </w:r>
          </w:p>
        </w:tc>
        <w:tc>
          <w:tcPr>
            <w:tcW w:type="dxa" w:w="136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10 min</w:t>
            </w:r>
          </w:p>
        </w:tc>
      </w:tr>
      <w:tr>
        <w:tc>
          <w:tcPr>
            <w:tcW w:type="dxa" w:w="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bCs/>
                <w:i w:val="false"/>
                <w:iCs w:val="false"/>
                <w:color w:val="b91c1c"/>
                <w:sz w:val="19"/>
                <w:szCs w:val="19"/>
              </w:rPr>
              <w:t xml:space="preserve">3</w:t>
            </w:r>
          </w:p>
        </w:tc>
        <w:tc>
          <w:tcPr>
            <w:tcW w:type="dxa" w:w="2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Required fields not programmatically marked</w:t>
            </w:r>
          </w:p>
        </w:tc>
        <w:tc>
          <w:tcPr>
            <w:tcW w:type="dxa" w:w="1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1.3.1 / 3.3.2</w:t>
            </w:r>
          </w:p>
        </w:tc>
        <w:tc>
          <w:tcPr>
            <w:tcW w:type="dxa" w:w="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w:t>
            </w:r>
          </w:p>
        </w:tc>
        <w:tc>
          <w:tcPr>
            <w:tcW w:type="dxa" w:w="2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Red asterisk (*) marks required fields visually but inputs lack required or aria-required="true" — screen readers cannot announce requirement at field level</w:t>
            </w:r>
          </w:p>
        </w:tc>
        <w:tc>
          <w:tcPr>
            <w:tcW w:type="dxa" w:w="1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Add required or aria-required="true" to all mandatory inputs</w:t>
            </w:r>
          </w:p>
        </w:tc>
        <w:tc>
          <w:tcPr>
            <w:tcW w:type="dxa" w:w="136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20 min</w:t>
            </w:r>
          </w:p>
        </w:tc>
      </w:tr>
      <w:tr>
        <w:tc>
          <w:tcPr>
            <w:tcW w:type="dxa" w:w="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bCs/>
                <w:i w:val="false"/>
                <w:iCs w:val="false"/>
                <w:color w:val="b91c1c"/>
                <w:sz w:val="19"/>
                <w:szCs w:val="19"/>
              </w:rPr>
              <w:t xml:space="preserve">4</w:t>
            </w:r>
          </w:p>
        </w:tc>
        <w:tc>
          <w:tcPr>
            <w:tcW w:type="dxa" w:w="2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Yes/No radio groups missing fieldset/legend</w:t>
            </w:r>
          </w:p>
        </w:tc>
        <w:tc>
          <w:tcPr>
            <w:tcW w:type="dxa" w:w="1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1.3.1</w:t>
            </w:r>
          </w:p>
        </w:tc>
        <w:tc>
          <w:tcPr>
            <w:tcW w:type="dxa" w:w="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w:t>
            </w:r>
          </w:p>
        </w:tc>
        <w:tc>
          <w:tcPr>
            <w:tcW w:type="dxa" w:w="2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6+ Yes/No radio pairs throughout form have no &lt;fieldset&gt;&lt;legend&gt; wrapper — screen readers announce "Yes, radio button" with no question context</w:t>
            </w:r>
          </w:p>
        </w:tc>
        <w:tc>
          <w:tcPr>
            <w:tcW w:type="dxa" w:w="1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Wrap each radio group in &lt;fieldset&gt;&lt;legend&gt;[Question]&lt;/legend&gt;&lt;/fieldset&gt;</w:t>
            </w:r>
          </w:p>
        </w:tc>
        <w:tc>
          <w:tcPr>
            <w:tcW w:type="dxa" w:w="136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30 min</w:t>
            </w:r>
          </w:p>
        </w:tc>
      </w:tr>
      <w:tr>
        <w:tc>
          <w:tcPr>
            <w:tcW w:type="dxa" w:w="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bCs/>
                <w:i w:val="false"/>
                <w:iCs w:val="false"/>
                <w:color w:val="b91c1c"/>
                <w:sz w:val="19"/>
                <w:szCs w:val="19"/>
              </w:rPr>
              <w:t xml:space="preserve">5</w:t>
            </w:r>
          </w:p>
        </w:tc>
        <w:tc>
          <w:tcPr>
            <w:tcW w:type="dxa" w:w="2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Definition modals lack ARIA dialog pattern</w:t>
            </w:r>
          </w:p>
        </w:tc>
        <w:tc>
          <w:tcPr>
            <w:tcW w:type="dxa" w:w="1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4.1.2</w:t>
            </w:r>
          </w:p>
        </w:tc>
        <w:tc>
          <w:tcPr>
            <w:tcW w:type="dxa" w:w="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w:t>
            </w:r>
          </w:p>
        </w:tc>
        <w:tc>
          <w:tcPr>
            <w:tcW w:type="dxa" w:w="2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8+ definition modals and Confirm Action modal require role="dialog", aria-modal="true", focus trapping, and focus restoration on close</w:t>
            </w:r>
          </w:p>
        </w:tc>
        <w:tc>
          <w:tcPr>
            <w:tcW w:type="dxa" w:w="1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Add role="dialog", aria-modal="true", aria-labelledby, focus trap JS</w:t>
            </w:r>
          </w:p>
        </w:tc>
        <w:tc>
          <w:tcPr>
            <w:tcW w:type="dxa" w:w="136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45 min</w:t>
            </w:r>
          </w:p>
        </w:tc>
      </w:tr>
      <w:tr>
        <w:tc>
          <w:tcPr>
            <w:tcW w:type="dxa" w:w="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bCs/>
                <w:i w:val="false"/>
                <w:iCs w:val="false"/>
                <w:color w:val="b91c1c"/>
                <w:sz w:val="19"/>
                <w:szCs w:val="19"/>
              </w:rPr>
              <w:t xml:space="preserve">6</w:t>
            </w:r>
          </w:p>
        </w:tc>
        <w:tc>
          <w:tcPr>
            <w:tcW w:type="dxa" w:w="2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Form validation errors — not confirmed accessible</w:t>
            </w:r>
          </w:p>
        </w:tc>
        <w:tc>
          <w:tcPr>
            <w:tcW w:type="dxa" w:w="1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3.3.1 / 3.3.3</w:t>
            </w:r>
          </w:p>
        </w:tc>
        <w:tc>
          <w:tcPr>
            <w:tcW w:type="dxa" w:w="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AA</w:t>
            </w:r>
          </w:p>
        </w:tc>
        <w:tc>
          <w:tcPr>
            <w:tcW w:type="dxa" w:w="2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7-step form with required fields must announce errors via aria-live or focus movement on failed validation — requires live testing to confirm</w:t>
            </w:r>
          </w:p>
        </w:tc>
        <w:tc>
          <w:tcPr>
            <w:tcW w:type="dxa" w:w="1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Errors: aria-live="assertive" or aria-describedby linking input to error message</w:t>
            </w:r>
          </w:p>
        </w:tc>
        <w:tc>
          <w:tcPr>
            <w:tcW w:type="dxa" w:w="136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1-2 hrs</w:t>
            </w:r>
          </w:p>
        </w:tc>
      </w:tr>
      <w:tr>
        <w:tc>
          <w:tcPr>
            <w:tcW w:type="dxa" w:w="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bCs/>
                <w:i w:val="false"/>
                <w:iCs w:val="false"/>
                <w:color w:val="b91c1c"/>
                <w:sz w:val="19"/>
                <w:szCs w:val="19"/>
              </w:rPr>
              <w:t xml:space="preserve">7</w:t>
            </w:r>
          </w:p>
        </w:tc>
        <w:tc>
          <w:tcPr>
            <w:tcW w:type="dxa" w:w="2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Active wizard step not programmatically indicated</w:t>
            </w:r>
          </w:p>
        </w:tc>
        <w:tc>
          <w:tcPr>
            <w:tcW w:type="dxa" w:w="1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1.3.1</w:t>
            </w:r>
          </w:p>
        </w:tc>
        <w:tc>
          <w:tcPr>
            <w:tcW w:type="dxa" w:w="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w:t>
            </w:r>
          </w:p>
        </w:tc>
        <w:tc>
          <w:tcPr>
            <w:tcW w:type="dxa" w:w="2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7-step progress indicator has no aria-current="step" on active step — screen readers cannot determine current position in form</w:t>
            </w:r>
          </w:p>
        </w:tc>
        <w:tc>
          <w:tcPr>
            <w:tcW w:type="dxa" w:w="1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Add aria-current="step" to active step element</w:t>
            </w:r>
          </w:p>
        </w:tc>
        <w:tc>
          <w:tcPr>
            <w:tcW w:type="dxa" w:w="136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10 min</w:t>
            </w:r>
          </w:p>
        </w:tc>
      </w:tr>
      <w:tr>
        <w:tc>
          <w:tcPr>
            <w:tcW w:type="dxa" w:w="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bCs/>
                <w:i w:val="false"/>
                <w:iCs w:val="false"/>
                <w:color w:val="b91c1c"/>
                <w:sz w:val="19"/>
                <w:szCs w:val="19"/>
              </w:rPr>
              <w:t xml:space="preserve">8</w:t>
            </w:r>
          </w:p>
        </w:tc>
        <w:tc>
          <w:tcPr>
            <w:tcW w:type="dxa" w:w="2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Navigation dropdowns — keyboard pattern unknown</w:t>
            </w:r>
          </w:p>
        </w:tc>
        <w:tc>
          <w:tcPr>
            <w:tcW w:type="dxa" w:w="1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4.1.2</w:t>
            </w:r>
          </w:p>
        </w:tc>
        <w:tc>
          <w:tcPr>
            <w:tcW w:type="dxa" w:w="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A</w:t>
            </w:r>
          </w:p>
        </w:tc>
        <w:tc>
          <w:tcPr>
            <w:tcW w:type="dxa" w:w="2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3 multi-level nav dropdowns (Public Info, Industry Info, Crime Info) — keyboard accessibility requires aria-expanded, Escape key, and focus management</w:t>
            </w:r>
          </w:p>
        </w:tc>
        <w:tc>
          <w:tcPr>
            <w:tcW w:type="dxa" w:w="1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Implement disclosure button pattern with aria-expanded and keyboard handlers</w:t>
            </w:r>
          </w:p>
        </w:tc>
        <w:tc>
          <w:tcPr>
            <w:tcW w:type="dxa" w:w="136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1-2 hrs</w:t>
            </w:r>
          </w:p>
        </w:tc>
      </w:tr>
      <w:tr>
        <w:tc>
          <w:tcPr>
            <w:tcW w:type="dxa" w:w="400"/>
            <w:tcBorders>
              <w:top w:val="single" w:color="cbd5e1" w:sz="1"/>
              <w:left w:val="single" w:color="cbd5e1" w:sz="1"/>
              <w:bottom w:val="single" w:color="cbd5e1" w:sz="1"/>
              <w:right w:val="single" w:color="cbd5e1" w:sz="1"/>
            </w:tcBorders>
            <w:shd w:fill="f2f4f8"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2200"/>
            <w:tcBorders>
              <w:top w:val="single" w:color="cbd5e1" w:sz="1"/>
              <w:left w:val="single" w:color="cbd5e1" w:sz="1"/>
              <w:bottom w:val="single" w:color="cbd5e1" w:sz="1"/>
              <w:right w:val="single" w:color="cbd5e1" w:sz="1"/>
            </w:tcBorders>
            <w:shd w:fill="f2f4f8" w:val="clear"/>
            <w:tcMar>
              <w:top w:type="dxa" w:w="80"/>
              <w:left w:type="dxa" w:w="140"/>
              <w:bottom w:type="dxa" w:w="80"/>
              <w:right w:type="dxa" w:w="80"/>
            </w:tcMar>
          </w:tcPr>
          <w:p>
            <w:pPr>
              <w:spacing w:after="0" w:before="0"/>
              <w:jc w:val="left"/>
            </w:pPr>
            <w:r>
              <w:rPr>
                <w:rFonts w:ascii="Arial" w:cs="Arial" w:eastAsia="Arial" w:hAnsi="Arial"/>
                <w:b/>
                <w:bCs/>
                <w:i w:val="false"/>
                <w:iCs w:val="false"/>
                <w:color w:val="001a4d"/>
                <w:sz w:val="19"/>
                <w:szCs w:val="19"/>
              </w:rPr>
              <w:t xml:space="preserve">TOTAL — all failures</w:t>
            </w:r>
          </w:p>
        </w:tc>
        <w:tc>
          <w:tcPr>
            <w:tcW w:type="dxa" w:w="1200"/>
            <w:tcBorders>
              <w:top w:val="single" w:color="cbd5e1" w:sz="1"/>
              <w:left w:val="single" w:color="cbd5e1" w:sz="1"/>
              <w:bottom w:val="single" w:color="cbd5e1" w:sz="1"/>
              <w:right w:val="single" w:color="cbd5e1" w:sz="1"/>
            </w:tcBorders>
            <w:shd w:fill="f2f4f8"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500"/>
            <w:tcBorders>
              <w:top w:val="single" w:color="cbd5e1" w:sz="1"/>
              <w:left w:val="single" w:color="cbd5e1" w:sz="1"/>
              <w:bottom w:val="single" w:color="cbd5e1" w:sz="1"/>
              <w:right w:val="single" w:color="cbd5e1" w:sz="1"/>
            </w:tcBorders>
            <w:shd w:fill="f2f4f8"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2400"/>
            <w:tcBorders>
              <w:top w:val="single" w:color="cbd5e1" w:sz="1"/>
              <w:left w:val="single" w:color="cbd5e1" w:sz="1"/>
              <w:bottom w:val="single" w:color="cbd5e1" w:sz="1"/>
              <w:right w:val="single" w:color="cbd5e1" w:sz="1"/>
            </w:tcBorders>
            <w:shd w:fill="f2f4f8" w:val="clear"/>
            <w:tcMar>
              <w:top w:type="dxa" w:w="80"/>
              <w:left w:type="dxa" w:w="140"/>
              <w:bottom w:type="dxa" w:w="80"/>
              <w:right w:type="dxa" w:w="80"/>
            </w:tcMar>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1500"/>
            <w:tcBorders>
              <w:top w:val="single" w:color="cbd5e1" w:sz="1"/>
              <w:left w:val="single" w:color="cbd5e1" w:sz="1"/>
              <w:bottom w:val="single" w:color="cbd5e1" w:sz="1"/>
              <w:right w:val="single" w:color="cbd5e1" w:sz="1"/>
            </w:tcBorders>
            <w:shd w:fill="f2f4f8" w:val="clear"/>
            <w:tcMar>
              <w:top w:type="dxa" w:w="80"/>
              <w:left w:type="dxa" w:w="140"/>
              <w:bottom w:type="dxa" w:w="80"/>
              <w:right w:type="dxa" w:w="80"/>
            </w:tcMar>
          </w:tcPr>
          <w:p>
            <w:pPr>
              <w:spacing w:after="0" w:before="0"/>
              <w:jc w:val="left"/>
            </w:pPr>
            <w:r>
              <w:rPr>
                <w:rFonts w:ascii="Arial" w:cs="Arial" w:eastAsia="Arial" w:hAnsi="Arial"/>
                <w:b/>
                <w:bCs/>
                <w:i w:val="false"/>
                <w:iCs w:val="false"/>
                <w:color w:val="001a4d"/>
                <w:sz w:val="19"/>
                <w:szCs w:val="19"/>
              </w:rPr>
              <w:t xml:space="preserve">Combined estimate</w:t>
            </w:r>
          </w:p>
        </w:tc>
        <w:tc>
          <w:tcPr>
            <w:tcW w:type="dxa" w:w="1560"/>
            <w:tcBorders>
              <w:top w:val="single" w:color="cbd5e1" w:sz="1"/>
              <w:left w:val="single" w:color="cbd5e1" w:sz="1"/>
              <w:bottom w:val="single" w:color="cbd5e1" w:sz="1"/>
              <w:right w:val="single" w:color="cbd5e1" w:sz="1"/>
            </w:tcBorders>
            <w:shd w:fill="f2f4f8" w:val="clear"/>
            <w:tcMar>
              <w:top w:type="dxa" w:w="80"/>
              <w:left w:type="dxa" w:w="140"/>
              <w:bottom w:type="dxa" w:w="80"/>
              <w:right w:type="dxa" w:w="80"/>
            </w:tcMar>
          </w:tcPr>
          <w:p>
            <w:pPr>
              <w:spacing w:after="0" w:before="0"/>
              <w:jc w:val="left"/>
            </w:pPr>
            <w:r>
              <w:rPr>
                <w:rFonts w:ascii="Arial" w:cs="Arial" w:eastAsia="Arial" w:hAnsi="Arial"/>
                <w:b/>
                <w:bCs/>
                <w:i w:val="false"/>
                <w:iCs w:val="false"/>
                <w:color w:val="b91c1c"/>
                <w:sz w:val="19"/>
                <w:szCs w:val="19"/>
              </w:rPr>
              <w:t xml:space="preserve">~4-6 hours</w:t>
            </w:r>
          </w:p>
        </w:tc>
      </w:tr>
    </w:tbl>
    <w:p>
      <w:pPr>
        <w:spacing w:after="160" w:before="0"/>
        <w:jc w:val="left"/>
      </w:pPr>
    </w:p>
    <w:p>
      <w:pPr>
        <w:pBdr>
          <w:bottom w:val="single" w:color="cbd5e1" w:sz="2" w:space="2"/>
        </w:pBdr>
        <w:spacing w:after="80" w:before="80"/>
      </w:pPr>
    </w:p>
    <w:p>
      <w:pPr>
        <w:pBdr>
          <w:bottom w:val="single" w:color="b8860b" w:sz="6" w:space="4"/>
        </w:pBdr>
        <w:spacing w:after="80" w:before="280"/>
      </w:pPr>
      <w:r>
        <w:rPr>
          <w:rFonts w:ascii="Arial" w:cs="Arial" w:eastAsia="Arial" w:hAnsi="Arial"/>
          <w:b/>
          <w:bCs/>
          <w:i w:val="false"/>
          <w:iCs w:val="false"/>
          <w:color w:val="001a4d"/>
          <w:sz w:val="26"/>
          <w:szCs w:val="26"/>
        </w:rPr>
        <w:t xml:space="preserve">V.  Items Passing — Confirmed</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Skip link present: "Skip to content" pointing to #main-content (WCAG 2.4.1)</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IC3 Logo has descriptive alt text: alt="IC3 Logo" (WCAG 1.1.1)</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Search icon has alt="Search" (WCAG 1.1.1)</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7-step form wizard sections have descriptive heading text (WCAG 2.4.6)</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Official .gov USWDS banner with "Here's how you know" expandable section present</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Definition modal headings exist and can serve as aria-labelledby targets (WCAG 4.1.2)</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Required field instruction provided at top of form ("A red asterisk indicates a required field") (WCAG 3.3.2 — partial)</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Form uses native HTML select elements for dropdowns — standard keyboard interaction</w:t>
      </w:r>
    </w:p>
    <w:p>
      <w:pPr>
        <w:spacing w:after="160" w:before="0"/>
        <w:jc w:val="left"/>
      </w:pPr>
    </w:p>
    <w:p>
      <w:pPr>
        <w:pBdr>
          <w:bottom w:val="single" w:color="cbd5e1" w:sz="2" w:space="2"/>
        </w:pBdr>
        <w:spacing w:after="80" w:before="80"/>
      </w:pPr>
    </w:p>
    <w:p>
      <w:pPr>
        <w:pBdr>
          <w:bottom w:val="single" w:color="b8860b" w:sz="6" w:space="4"/>
        </w:pBdr>
        <w:spacing w:after="80" w:before="280"/>
      </w:pPr>
      <w:r>
        <w:rPr>
          <w:rFonts w:ascii="Arial" w:cs="Arial" w:eastAsia="Arial" w:hAnsi="Arial"/>
          <w:b/>
          <w:bCs/>
          <w:i w:val="false"/>
          <w:iCs w:val="false"/>
          <w:color w:val="001a4d"/>
          <w:sz w:val="26"/>
          <w:szCs w:val="26"/>
        </w:rPr>
        <w:t xml:space="preserve">VI.  Warnings — Requiring Live Keyboard Testing</w:t>
      </w:r>
    </w:p>
    <w:p>
      <w:pPr>
        <w:spacing w:after="40" w:before="140"/>
      </w:pPr>
      <w:r>
        <w:rPr>
          <w:rFonts w:ascii="Arial" w:cs="Arial" w:eastAsia="Arial" w:hAnsi="Arial"/>
          <w:b/>
          <w:bCs/>
          <w:i w:val="false"/>
          <w:iCs w:val="false"/>
          <w:color w:val="374151"/>
          <w:sz w:val="20"/>
          <w:szCs w:val="20"/>
        </w:rPr>
        <w:t xml:space="preserve">Warning 1 — Confirm Action Modal Focus Management (WCAG 4.1.2)</w:t>
      </w:r>
    </w:p>
    <w:p>
      <w:pPr>
        <w:spacing w:after="120" w:before="0"/>
        <w:jc w:val="left"/>
      </w:pPr>
      <w:r>
        <w:rPr>
          <w:rFonts w:ascii="Arial" w:cs="Arial" w:eastAsia="Arial" w:hAnsi="Arial"/>
          <w:b w:val="false"/>
          <w:bCs w:val="false"/>
          <w:i w:val="false"/>
          <w:iCs w:val="false"/>
          <w:color w:val="1a1a2e"/>
          <w:sz w:val="21"/>
          <w:szCs w:val="21"/>
        </w:rPr>
        <w:t xml:space="preserve">The "Confirm Action" modal (Yes proceed / No cancel) must be tested with a screen reader to confirm role=dialog, aria-modal=true, focus trapping, and Escape key support. Cannot confirm from static HTML analysis alone.</w:t>
      </w:r>
    </w:p>
    <w:p>
      <w:pPr>
        <w:spacing w:after="40" w:before="140"/>
      </w:pPr>
      <w:r>
        <w:rPr>
          <w:rFonts w:ascii="Arial" w:cs="Arial" w:eastAsia="Arial" w:hAnsi="Arial"/>
          <w:b/>
          <w:bCs/>
          <w:i w:val="false"/>
          <w:iCs w:val="false"/>
          <w:color w:val="374151"/>
          <w:sz w:val="20"/>
          <w:szCs w:val="20"/>
        </w:rPr>
        <w:t xml:space="preserve">Warning 2 — Dynamic "Add Transaction" / "Add Subject" Sections (WCAG 4.1.3)</w:t>
      </w:r>
    </w:p>
    <w:p>
      <w:pPr>
        <w:spacing w:after="120" w:before="0"/>
        <w:jc w:val="left"/>
      </w:pPr>
      <w:r>
        <w:rPr>
          <w:rFonts w:ascii="Arial" w:cs="Arial" w:eastAsia="Arial" w:hAnsi="Arial"/>
          <w:b w:val="false"/>
          <w:bCs w:val="false"/>
          <w:i w:val="false"/>
          <w:iCs w:val="false"/>
          <w:color w:val="1a1a2e"/>
          <w:sz w:val="21"/>
          <w:szCs w:val="21"/>
        </w:rPr>
        <w:t xml:space="preserve">These buttons dynamically insert new form sections. New content must be announced via aria-live or focus moved to the new section. Requires live keyboard testing.</w:t>
      </w:r>
    </w:p>
    <w:p>
      <w:pPr>
        <w:spacing w:after="40" w:before="140"/>
      </w:pPr>
      <w:r>
        <w:rPr>
          <w:rFonts w:ascii="Arial" w:cs="Arial" w:eastAsia="Arial" w:hAnsi="Arial"/>
          <w:b/>
          <w:bCs/>
          <w:i w:val="false"/>
          <w:iCs w:val="false"/>
          <w:color w:val="374151"/>
          <w:sz w:val="20"/>
          <w:szCs w:val="20"/>
        </w:rPr>
        <w:t xml:space="preserve">Warning 3 — Duplicate "Remove Transaction" / "Remove Subject" Buttons (WCAG 4.1.2)</w:t>
      </w:r>
    </w:p>
    <w:p>
      <w:pPr>
        <w:spacing w:after="160" w:before="0"/>
        <w:jc w:val="left"/>
      </w:pPr>
      <w:r>
        <w:rPr>
          <w:rFonts w:ascii="Arial" w:cs="Arial" w:eastAsia="Arial" w:hAnsi="Arial"/>
          <w:b w:val="false"/>
          <w:bCs w:val="false"/>
          <w:i w:val="false"/>
          <w:iCs w:val="false"/>
          <w:color w:val="1a1a2e"/>
          <w:sz w:val="21"/>
          <w:szCs w:val="21"/>
        </w:rPr>
        <w:t xml:space="preserve">If multiple transactions or subjects exist, each "Remove" button needs distinguishing aria-label (e.g., "Remove Transaction 1") so screen readers can tell them apart. Requires live testing with multiple entries added.</w:t>
      </w:r>
    </w:p>
    <w:p>
      <w:pPr>
        <w:pBdr>
          <w:bottom w:val="single" w:color="cbd5e1" w:sz="2" w:space="2"/>
        </w:pBdr>
        <w:spacing w:after="80" w:before="80"/>
      </w:pPr>
    </w:p>
    <w:p>
      <w:pPr>
        <w:pBdr>
          <w:bottom w:val="single" w:color="b8860b" w:sz="6" w:space="4"/>
        </w:pBdr>
        <w:spacing w:after="80" w:before="280"/>
      </w:pPr>
      <w:r>
        <w:rPr>
          <w:rFonts w:ascii="Arial" w:cs="Arial" w:eastAsia="Arial" w:hAnsi="Arial"/>
          <w:b/>
          <w:bCs/>
          <w:i w:val="false"/>
          <w:iCs w:val="false"/>
          <w:color w:val="001a4d"/>
          <w:sz w:val="26"/>
          <w:szCs w:val="26"/>
        </w:rPr>
        <w:t xml:space="preserve">VII.  Impact Assessment</w:t>
      </w:r>
    </w:p>
    <w:p>
      <w:pPr>
        <w:spacing w:after="100" w:before="0"/>
        <w:jc w:val="left"/>
      </w:pPr>
      <w:r>
        <w:rPr>
          <w:rFonts w:ascii="Arial" w:cs="Arial" w:eastAsia="Arial" w:hAnsi="Arial"/>
          <w:b w:val="false"/>
          <w:bCs w:val="false"/>
          <w:i w:val="false"/>
          <w:iCs w:val="false"/>
          <w:color w:val="1a1a2e"/>
          <w:sz w:val="21"/>
          <w:szCs w:val="21"/>
        </w:rPr>
        <w:t xml:space="preserve">The IC3.gov complaint form is used by crime victims reporting internet fraud, identity theft, elder fraud, cryptocurrency scams, and other serious financial crimes. The populations most affected by these crimes overlap significantly with populations most likely to use assistive technology:</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Elder fraud victims (60+): higher rates of low vision, hearing loss, motor impairment — NHTSA data shows 30%+ of traffic fatalities involve distracted driving; similarly, elder fraud victims are specifically targeted populations with higher AT use rates.</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Cognitive disabilities: multi-step forms without clear error handling and unlabeled radio groups create significant comprehension barriers.</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Motor impairments: inaccessible keyboard navigation in dropdown menus and modal dialogs blocks form completion.</w:t>
      </w:r>
    </w:p>
    <w:p>
      <w:pPr>
        <w:spacing w:after="160" w:before="100"/>
        <w:jc w:val="left"/>
      </w:pPr>
      <w:r>
        <w:rPr>
          <w:rFonts w:ascii="Arial" w:cs="Arial" w:eastAsia="Arial" w:hAnsi="Arial"/>
          <w:b w:val="false"/>
          <w:bCs w:val="false"/>
          <w:i w:val="false"/>
          <w:iCs w:val="false"/>
          <w:color w:val="1a1a2e"/>
          <w:sz w:val="21"/>
          <w:szCs w:val="21"/>
        </w:rPr>
        <w:t xml:space="preserve">A victim who cannot complete this form cannot file a report. An unfiled report means no investigation, no data, and no pattern recognition by the FBI. The accessibility failures are not cosmetic — they constitute a barrier to law enforcement access.</w:t>
      </w:r>
    </w:p>
    <w:p>
      <w:pPr>
        <w:pBdr>
          <w:bottom w:val="single" w:color="cbd5e1" w:sz="2" w:space="2"/>
        </w:pBdr>
        <w:spacing w:after="80" w:before="80"/>
      </w:pPr>
    </w:p>
    <w:p>
      <w:pPr>
        <w:pBdr>
          <w:bottom w:val="single" w:color="b8860b" w:sz="6" w:space="4"/>
        </w:pBdr>
        <w:spacing w:after="80" w:before="280"/>
      </w:pPr>
      <w:r>
        <w:rPr>
          <w:rFonts w:ascii="Arial" w:cs="Arial" w:eastAsia="Arial" w:hAnsi="Arial"/>
          <w:b/>
          <w:bCs/>
          <w:i w:val="false"/>
          <w:iCs w:val="false"/>
          <w:color w:val="001a4d"/>
          <w:sz w:val="26"/>
          <w:szCs w:val="26"/>
        </w:rPr>
        <w:t xml:space="preserve">VIII.  Proposed Solution — Accessible Smart Intake</w:t>
      </w:r>
    </w:p>
    <w:p>
      <w:pPr>
        <w:spacing w:after="80" w:before="0"/>
        <w:jc w:val="left"/>
      </w:pPr>
      <w:r>
        <w:rPr>
          <w:rFonts w:ascii="Arial" w:cs="Arial" w:eastAsia="Arial" w:hAnsi="Arial"/>
          <w:b w:val="false"/>
          <w:bCs w:val="false"/>
          <w:i w:val="false"/>
          <w:iCs w:val="false"/>
          <w:color w:val="1a1a2e"/>
          <w:sz w:val="21"/>
          <w:szCs w:val="21"/>
        </w:rPr>
        <w:t xml:space="preserve">The accompanying HTML tool provides an accessible alternative intake design built on the following principles:</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Natural language first: a single open text field ("What happened?") uses AI to categorize the crime type, then surfaces only the fields relevant to that category — eliminating the 7-step monolithic structure.</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Progressive disclosure: questions appear only when relevant, reducing cognitive load and form length by 60-80% for most users.</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Full WCAG 2.1 AA compliance: all radio groups have fieldset/legend, all buttons are labeled, all modals have role=dialog with focus trapping, all inputs have aria-required, live regions announce dynamic content.</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Keyboard navigable end-to-end: Tab, arrow keys, Escape, Enter — no mouse required for any interaction.</w:t>
      </w:r>
    </w:p>
    <w:p>
      <w:pPr>
        <w:pStyle w:val="ListParagraph"/>
        <w:numPr>
          <w:ilvl w:val="0"/>
          <w:numId w:val="2"/>
        </w:numPr>
        <w:spacing w:after="50" w:before="0"/>
      </w:pPr>
      <w:r>
        <w:rPr>
          <w:rFonts w:ascii="Arial" w:cs="Arial" w:eastAsia="Arial" w:hAnsi="Arial"/>
          <w:b w:val="false"/>
          <w:bCs w:val="false"/>
          <w:i w:val="false"/>
          <w:iCs w:val="false"/>
          <w:color w:val="333333"/>
          <w:sz w:val="20"/>
          <w:szCs w:val="20"/>
        </w:rPr>
        <w:t xml:space="preserve">No color-only encoding: severity and status communicated via text and icons, not color alone.</w:t>
      </w:r>
    </w:p>
    <w:p>
      <w:pPr>
        <w:pBdr>
          <w:left w:val="single" w:color="cbd5e1" w:sz="6" w:space="8"/>
        </w:pBdr>
        <w:spacing w:after="0" w:before="100"/>
        <w:jc w:val="left"/>
      </w:pPr>
      <w:r>
        <w:rPr>
          <w:rFonts w:ascii="Arial" w:cs="Arial" w:eastAsia="Arial" w:hAnsi="Arial"/>
          <w:b w:val="false"/>
          <w:bCs w:val="false"/>
          <w:i w:val="false"/>
          <w:iCs w:val="false"/>
          <w:color w:val="1a1a2e"/>
          <w:sz w:val="21"/>
          <w:szCs w:val="21"/>
        </w:rPr>
        <w:t xml:space="preserve">This tool is provided for informational and demonstration purposes only. It is not affiliated with or endorsed by the FBI or IC3.</w:t>
      </w:r>
    </w:p>
    <w:p>
      <w:pPr>
        <w:spacing w:after="200" w:before="0"/>
        <w:jc w:val="left"/>
      </w:pPr>
    </w:p>
    <w:p>
      <w:pPr>
        <w:pBdr>
          <w:bottom w:val="single" w:color="cbd5e1" w:sz="2" w:space="2"/>
        </w:pBdr>
        <w:spacing w:after="80" w:before="80"/>
      </w:pPr>
    </w:p>
    <w:p>
      <w:pPr>
        <w:pBdr>
          <w:bottom w:val="single" w:color="b8860b" w:sz="6" w:space="4"/>
        </w:pBdr>
        <w:spacing w:after="80" w:before="280"/>
      </w:pPr>
      <w:r>
        <w:rPr>
          <w:rFonts w:ascii="Arial" w:cs="Arial" w:eastAsia="Arial" w:hAnsi="Arial"/>
          <w:b/>
          <w:bCs/>
          <w:i w:val="false"/>
          <w:iCs w:val="false"/>
          <w:color w:val="001a4d"/>
          <w:sz w:val="26"/>
          <w:szCs w:val="26"/>
        </w:rPr>
        <w:t xml:space="preserve">IX.  Contact &amp; Methodology</w:t>
      </w:r>
    </w:p>
    <w:p>
      <w:pPr>
        <w:spacing w:after="60" w:before="200"/>
      </w:pPr>
      <w:r>
        <w:rPr>
          <w:rFonts w:ascii="Arial" w:cs="Arial" w:eastAsia="Arial" w:hAnsi="Arial"/>
          <w:b/>
          <w:bCs/>
          <w:i w:val="false"/>
          <w:iCs w:val="false"/>
          <w:color w:val="001a4d"/>
          <w:sz w:val="22"/>
          <w:szCs w:val="22"/>
        </w:rPr>
        <w:t xml:space="preserve">Prepared By</w:t>
      </w:r>
    </w:p>
    <w:p>
      <w:pPr>
        <w:spacing w:after="80" w:before="0"/>
        <w:jc w:val="left"/>
      </w:pPr>
      <w:r>
        <w:rPr>
          <w:rFonts w:ascii="Arial" w:cs="Arial" w:eastAsia="Arial" w:hAnsi="Arial"/>
          <w:b w:val="false"/>
          <w:bCs w:val="false"/>
          <w:i w:val="false"/>
          <w:iCs w:val="false"/>
          <w:color w:val="1a1a2e"/>
          <w:sz w:val="21"/>
          <w:szCs w:val="21"/>
        </w:rPr>
        <w:t xml:space="preserve">Emma Moore (MacLaird)  |  StorySeed Studios / The Dais</w:t>
      </w:r>
      <w:r>
        <w:rPr>
          <w:rFonts w:ascii="Arial" w:cs="Arial" w:eastAsia="Arial" w:hAnsi="Arial"/>
          <w:b w:val="false"/>
          <w:bCs w:val="false"/>
          <w:i w:val="false"/>
          <w:iCs w:val="false"/>
          <w:color w:val="555555"/>
          <w:sz w:val="21"/>
          <w:szCs w:val="21"/>
        </w:rPr>
        <w:t xml:space="preserve">
emma@pivottruenorth.com  |  310-913-8931</w:t>
      </w:r>
      <w:r>
        <w:rPr>
          <w:rFonts w:ascii="Arial" w:cs="Arial" w:eastAsia="Arial" w:hAnsi="Arial"/>
          <w:b w:val="false"/>
          <w:bCs w:val="false"/>
          <w:i w:val="false"/>
          <w:iCs w:val="false"/>
          <w:color w:val="555555"/>
          <w:sz w:val="21"/>
          <w:szCs w:val="21"/>
        </w:rPr>
        <w:t xml:space="preserve">
storyseedstudios.com  |  pivottruenorth.com</w:t>
      </w:r>
      <w:r>
        <w:rPr>
          <w:rFonts w:ascii="Arial" w:cs="Arial" w:eastAsia="Arial" w:hAnsi="Arial"/>
          <w:b w:val="false"/>
          <w:bCs w:val="false"/>
          <w:i w:val="false"/>
          <w:iCs w:val="false"/>
          <w:color w:val="555555"/>
          <w:sz w:val="21"/>
          <w:szCs w:val="21"/>
        </w:rPr>
        <w:t xml:space="preserve">
1826 Wooten Road, Colorado Springs, CO 80915</w:t>
      </w:r>
    </w:p>
    <w:p>
      <w:pPr>
        <w:spacing w:after="60" w:before="200"/>
      </w:pPr>
      <w:r>
        <w:rPr>
          <w:rFonts w:ascii="Arial" w:cs="Arial" w:eastAsia="Arial" w:hAnsi="Arial"/>
          <w:b/>
          <w:bCs/>
          <w:i w:val="false"/>
          <w:iCs w:val="false"/>
          <w:color w:val="001a4d"/>
          <w:sz w:val="22"/>
          <w:szCs w:val="22"/>
        </w:rPr>
        <w:t xml:space="preserve">Methodology</w:t>
      </w:r>
    </w:p>
    <w:p>
      <w:pPr>
        <w:spacing w:after="80" w:before="0"/>
        <w:jc w:val="left"/>
      </w:pPr>
      <w:r>
        <w:rPr>
          <w:rFonts w:ascii="Arial" w:cs="Arial" w:eastAsia="Arial" w:hAnsi="Arial"/>
          <w:b w:val="false"/>
          <w:bCs w:val="false"/>
          <w:i w:val="false"/>
          <w:iCs w:val="false"/>
          <w:color w:val="1a1a2e"/>
          <w:sz w:val="21"/>
          <w:szCs w:val="21"/>
        </w:rPr>
        <w:t xml:space="preserve">Live page fetch via HTTPS returning full HTML content. Structural analysis of HTML elements, ARIA attributes, form labels, heading hierarchy, image alt text, and link patterns. WCAG 2.1 AA criteria mapped to each finding. Contrast ratios calculated from CSS color values using WCAG relative luminance formula. Section 508, ADA Title II, Colorado HB 21-1110, and applicable C.R.S. provisions cited from official federal and state code sources. Full live keyboard testing with screen reader would be required to confirm items marked as warnings.</w:t>
      </w:r>
    </w:p>
    <w:p>
      <w:pPr>
        <w:spacing w:after="120" w:before="0"/>
        <w:jc w:val="left"/>
      </w:pPr>
      <w:r>
        <w:rPr>
          <w:rFonts w:ascii="Arial" w:cs="Arial" w:eastAsia="Arial" w:hAnsi="Arial"/>
          <w:b w:val="false"/>
          <w:bCs w:val="false"/>
          <w:i/>
          <w:iCs/>
          <w:color w:val="555555"/>
          <w:sz w:val="18"/>
          <w:szCs w:val="18"/>
        </w:rPr>
        <w:t xml:space="preserve">April 2026  |  Informational purposes only. Not legal advice.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spacing w:after="0" w:before="60"/>
    </w:pPr>
    <w:r>
      <w:rPr>
        <w:rFonts w:ascii="Arial" w:cs="Arial" w:eastAsia="Arial" w:hAnsi="Arial"/>
        <w:b w:val="false"/>
        <w:bCs w:val="false"/>
        <w:i w:val="false"/>
        <w:iCs w:val="false"/>
        <w:color w:val="555555"/>
        <w:sz w:val="16"/>
        <w:szCs w:val="16"/>
      </w:rPr>
      <w:t xml:space="preserve">IC3.gov Complaint Form  |  FBI Internet Crime Complaint Center  |  Section 508 / WCAG 2.1 AA / ADA Title II  |  For informational purposes. Not legal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026"/>
      </w:tabs>
      <w:spacing w:after="60" w:before="0"/>
    </w:pPr>
    <w:r>
      <w:rPr>
        <w:rFonts w:ascii="Arial" w:cs="Arial" w:eastAsia="Arial" w:hAnsi="Arial"/>
        <w:b w:val="false"/>
        <w:bCs w:val="false"/>
        <w:i w:val="false"/>
        <w:iCs w:val="false"/>
        <w:color w:val="555555"/>
        <w:sz w:val="16"/>
        <w:szCs w:val="16"/>
      </w:rPr>
      <w:t xml:space="preserve">StorySeed Studios / The Dais  |  ADA &amp; Section 508 Accessibility Audit  |  Federal &amp; Colorado Law</w:t>
    </w:r>
    <w:r>
      <w:rPr>
        <w:rFonts w:ascii="Arial" w:cs="Arial" w:eastAsia="Arial" w:hAnsi="Arial"/>
        <w:b w:val="false"/>
        <w:bCs w:val="false"/>
        <w:i w:val="false"/>
        <w:iCs w:val="false"/>
        <w:color w:val="1a1a2e"/>
        <w:sz w:val="16"/>
        <w:szCs w:val="16"/>
      </w:rPr>
      <w:t xml:space="preserve">	</w:t>
    </w:r>
    <w:r>
      <w:rPr>
        <w:rFonts w:ascii="Arial" w:cs="Arial" w:eastAsia="Arial" w:hAnsi="Arial"/>
        <w:b w:val="false"/>
        <w:bCs w:val="false"/>
        <w:i w:val="false"/>
        <w:iCs w:val="false"/>
        <w:color w:val="555555"/>
        <w:sz w:val="16"/>
        <w:szCs w:val="16"/>
      </w:rPr>
      <w:t xml:space="preserve">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2026-04-05T20:46:00.001Z</dcterms:created>
  <dcterms:modified xsi:type="dcterms:W3CDTF">2026-04-05T20:46:00.002Z</dcterms:modified>
</cp:coreProperties>
</file>

<file path=docProps/custom.xml><?xml version="1.0" encoding="utf-8"?>
<Properties xmlns="http://schemas.openxmlformats.org/officeDocument/2006/custom-properties" xmlns:vt="http://schemas.openxmlformats.org/officeDocument/2006/docPropsVTypes"/>
</file>