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0B5F78"/>
          <w:spacing w:val="20"/>
          <w:sz w:val="20"/>
          <w:szCs w:val="20"/>
        </w:rPr>
        <w:t xml:space="preserve">ACCESSIBILITY COMPLIANCE AUDIT</w:t>
      </w:r>
    </w:p>
    <w:p>
      <w:pPr>
        <w:spacing w:after="120"/>
      </w:pPr>
      <w:r>
        <w:rPr>
          <w:rFonts w:ascii="Arial" w:cs="Arial" w:eastAsia="Arial" w:hAnsi="Arial"/>
          <w:b/>
          <w:bCs/>
          <w:color w:val="0D2340"/>
          <w:sz w:val="44"/>
          <w:szCs w:val="44"/>
        </w:rPr>
        <w:t xml:space="preserve">City of Colorado Springs</w:t>
      </w:r>
    </w:p>
    <w:p>
      <w:pPr>
        <w:spacing w:after="320"/>
      </w:pPr>
      <w:r>
        <w:rPr>
          <w:rFonts w:ascii="Arial" w:cs="Arial" w:eastAsia="Arial" w:hAnsi="Arial"/>
          <w:color w:val="5A6578"/>
          <w:sz w:val="24"/>
          <w:szCs w:val="24"/>
        </w:rPr>
        <w:t xml:space="preserve">Permits, Licenses, and Records portal — aca-prod.accela.com/COSPRINGS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0"/>
                <w:szCs w:val="20"/>
              </w:rPr>
              <w:t xml:space="preserve">Audit date</w:t>
            </w:r>
          </w:p>
        </w:tc>
        <w:tc>
          <w:tcPr>
            <w:tcW w:type="dxa" w:w="69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April 18, 2026</w:t>
            </w:r>
          </w:p>
        </w:tc>
      </w:tr>
      <w:tr>
        <w:tc>
          <w:tcPr>
            <w:tcW w:type="dxa" w:w="2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0"/>
                <w:szCs w:val="20"/>
              </w:rPr>
              <w:t xml:space="preserve">Standards applied</w:t>
            </w:r>
          </w:p>
        </w:tc>
        <w:tc>
          <w:tcPr>
            <w:tcW w:type="dxa" w:w="69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WCAG 2.1 Levels A and AA; ADA Title II digital-accessibility expectations</w:t>
            </w:r>
          </w:p>
        </w:tc>
      </w:tr>
      <w:tr>
        <w:tc>
          <w:tcPr>
            <w:tcW w:type="dxa" w:w="2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0"/>
                <w:szCs w:val="20"/>
              </w:rPr>
              <w:t xml:space="preserve">Testing method</w:t>
            </w:r>
          </w:p>
        </w:tc>
        <w:tc>
          <w:tcPr>
            <w:tcW w:type="dxa" w:w="69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 browser inspection; programmatic DOM and computed-style analysis; keyboard interaction testing; form submission testing</w:t>
            </w:r>
          </w:p>
        </w:tc>
      </w:tr>
      <w:tr>
        <w:tc>
          <w:tcPr>
            <w:tcW w:type="dxa" w:w="2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0"/>
                <w:szCs w:val="20"/>
              </w:rPr>
              <w:t xml:space="preserve">Scope</w:t>
            </w:r>
          </w:p>
        </w:tc>
        <w:tc>
          <w:tcPr>
            <w:tcW w:type="dxa" w:w="69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Public-facing account creation flow and main portal navigation (signed-out experience)</w:t>
            </w:r>
          </w:p>
        </w:tc>
      </w:tr>
      <w:tr>
        <w:tc>
          <w:tcPr>
            <w:tcW w:type="dxa" w:w="2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0"/>
                <w:szCs w:val="20"/>
              </w:rPr>
              <w:t xml:space="preserve">Prepared for</w:t>
            </w:r>
          </w:p>
        </w:tc>
        <w:tc>
          <w:tcPr>
            <w:tcW w:type="dxa" w:w="69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City of Colorado Springs IT / Digital Services</w:t>
            </w:r>
          </w:p>
        </w:tc>
      </w:tr>
    </w:tbl>
    <w:p>
      <w:r>
        <w:rPr>
          <w:rFonts w:ascii="Arial" w:cs="Arial" w:eastAsia="Arial" w:hAnsi="Arial"/>
        </w:rPr>
        <w:t xml:space="preserve"/>
      </w:r>
    </w:p>
    <w:p>
      <w:pPr>
        <w:pStyle w:val="Heading1"/>
      </w:pPr>
      <w:r>
        <w:t xml:space="preserve">Executive summary</w:t>
      </w:r>
    </w:p>
    <w:p>
      <w:pPr>
        <w:spacing w:after="120"/>
      </w:pPr>
      <w:r>
        <w:rPr>
          <w:rFonts w:ascii="Arial" w:cs="Arial" w:eastAsia="Arial" w:hAnsi="Arial"/>
        </w:rPr>
        <w:t xml:space="preserve">This audit evaluates the public-facing account creation flow and main portal navigation of the City of Colorado Springs Permits, Licenses, and Records portal, hosted on the Accela Citizen Access (ACA) platform. Testing was conducted on April 18, 2026, using live browser instrumentation against the production environment.</w:t>
      </w:r>
    </w:p>
    <w:p>
      <w:pPr>
        <w:spacing w:after="120"/>
      </w:pPr>
      <w:r>
        <w:rPr>
          <w:rFonts w:ascii="Arial" w:cs="Arial" w:eastAsia="Arial" w:hAnsi="Arial"/>
        </w:rPr>
        <w:t xml:space="preserve">Thirteen findings were identified. Three are classified as critical — meaning they block or severely impair use for residents who rely on assistive technology. The most consequential of these is that form validation errors are not announced to screen readers at all: a user who submits the account creation form with empty fields receives no programmatic signal that anything has gone wrong. Combined with the absence of any visible focus indicator on form fields, keyboard-only and screen-reader users cannot reliably complete registration.</w:t>
      </w:r>
    </w:p>
    <w:p>
      <w:pPr>
        <w:spacing w:after="120"/>
      </w:pPr>
      <w:r>
        <w:rPr>
          <w:rFonts w:ascii="Arial" w:cs="Arial" w:eastAsia="Arial" w:hAnsi="Arial"/>
        </w:rPr>
        <w:t xml:space="preserve">Four additional findings are Level AA violations including missing input-purpose metadata on credential fields, a 31-option "Contact Type" dropdown with no instructions or grouping, a registration flow that cannot recover from failed email delivery, and a step indicator that understates the number of steps required.</w:t>
      </w:r>
    </w:p>
    <w:p>
      <w:pPr>
        <w:spacing w:after="120"/>
      </w:pPr>
      <w:r>
        <w:rPr>
          <w:rFonts w:ascii="Arial" w:cs="Arial" w:eastAsia="Arial" w:hAnsi="Arial"/>
        </w:rPr>
        <w:t xml:space="preserve">Two findings involve administrative content leaked into public interfaces, including two dropdown options labeled "DO NOT CHANGE" that are visible to and selectable by residents. Selection of these options is a likely contributor to the account-lockout failures observed during testing.</w:t>
      </w:r>
    </w:p>
    <w:p>
      <w:pPr>
        <w:spacing w:after="120"/>
      </w:pPr>
      <w:r>
        <w:rPr>
          <w:rFonts w:ascii="Arial" w:cs="Arial" w:eastAsia="Arial" w:hAnsi="Arial"/>
        </w:rPr>
        <w:t xml:space="preserve">A real-world reproduction during the audit confirmed that a test registration became permanently stuck: the username was committed to storage, the confirmation email was not delivered, and the password-reset flow uses the same mail pipeline and is therefore also unavailable. Recovery requires staff intervention. This is not a theoretical concern — it occurred during testing and represents an ongoing barrier to service.</w:t>
      </w:r>
    </w:p>
    <w:p>
      <w:pPr>
        <w:pStyle w:val="Heading2"/>
      </w:pPr>
      <w:r>
        <w:t xml:space="preserve">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Severity</w:t>
            </w:r>
          </w:p>
        </w:tc>
        <w:tc>
          <w:tcPr>
            <w:tcW w:type="dxa" w:w="12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Count</w:t>
            </w:r>
          </w:p>
        </w:tc>
        <w:tc>
          <w:tcPr>
            <w:tcW w:type="dxa" w:w="636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Examples</w:t>
            </w:r>
          </w:p>
        </w:tc>
      </w:tr>
      <w:tr>
        <w:tc>
          <w:tcPr>
            <w:tcW w:type="dxa" w:w="18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B33A3A"/>
                <w:sz w:val="21"/>
                <w:szCs w:val="21"/>
              </w:rPr>
              <w:t xml:space="preserve">Critical</w:t>
            </w:r>
          </w:p>
        </w:tc>
        <w:tc>
          <w:tcPr>
            <w:tcW w:type="dxa" w:w="12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sz w:val="21"/>
                <w:szCs w:val="21"/>
              </w:rPr>
              <w:t xml:space="preserve">3</w:t>
            </w:r>
          </w:p>
        </w:tc>
        <w:tc>
          <w:tcPr>
            <w:tcW w:type="dxa" w:w="6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sz w:val="21"/>
                <w:szCs w:val="21"/>
              </w:rPr>
              <w:t xml:space="preserve">Errors not announced to AT; no visible focus; nav contrast 2.16:1</w:t>
            </w:r>
          </w:p>
        </w:tc>
      </w:tr>
      <w:tr>
        <w:tc>
          <w:tcPr>
            <w:tcW w:type="dxa" w:w="18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A06B1F"/>
                <w:sz w:val="21"/>
                <w:szCs w:val="21"/>
              </w:rPr>
              <w:t xml:space="preserve">Level AA</w:t>
            </w:r>
          </w:p>
        </w:tc>
        <w:tc>
          <w:tcPr>
            <w:tcW w:type="dxa" w:w="12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sz w:val="21"/>
                <w:szCs w:val="21"/>
              </w:rPr>
              <w:t xml:space="preserve">4</w:t>
            </w:r>
          </w:p>
        </w:tc>
        <w:tc>
          <w:tcPr>
            <w:tcW w:type="dxa" w:w="6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sz w:val="21"/>
                <w:szCs w:val="21"/>
              </w:rPr>
              <w:t xml:space="preserve">Missing autocomplete; 31-option dropdown; no error prevention; wrong step count</w:t>
            </w:r>
          </w:p>
        </w:tc>
      </w:tr>
      <w:tr>
        <w:tc>
          <w:tcPr>
            <w:tcW w:type="dxa" w:w="18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B5F78"/>
                <w:sz w:val="21"/>
                <w:szCs w:val="21"/>
              </w:rPr>
              <w:t xml:space="preserve">Level A</w:t>
            </w:r>
          </w:p>
        </w:tc>
        <w:tc>
          <w:tcPr>
            <w:tcW w:type="dxa" w:w="12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sz w:val="21"/>
                <w:szCs w:val="21"/>
              </w:rPr>
              <w:t xml:space="preserve">4</w:t>
            </w:r>
          </w:p>
        </w:tc>
        <w:tc>
          <w:tcPr>
            <w:tcW w:type="dxa" w:w="6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sz w:val="21"/>
                <w:szCs w:val="21"/>
              </w:rPr>
              <w:t xml:space="preserve">Broken skip link; asterisks not hidden; browser notice; admin strings leaked</w:t>
            </w:r>
          </w:p>
        </w:tc>
      </w:tr>
      <w:tr>
        <w:tc>
          <w:tcPr>
            <w:tcW w:type="dxa" w:w="18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5A6578"/>
                <w:sz w:val="21"/>
                <w:szCs w:val="21"/>
              </w:rPr>
              <w:t xml:space="preserve">Other</w:t>
            </w:r>
          </w:p>
        </w:tc>
        <w:tc>
          <w:tcPr>
            <w:tcW w:type="dxa" w:w="12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sz w:val="21"/>
                <w:szCs w:val="21"/>
              </w:rPr>
              <w:t xml:space="preserve">2</w:t>
            </w:r>
          </w:p>
        </w:tc>
        <w:tc>
          <w:tcPr>
            <w:tcW w:type="dxa" w:w="6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sz w:val="21"/>
                <w:szCs w:val="21"/>
              </w:rPr>
              <w:t xml:space="preserve">Form uses GET with passwords; excessive whitespace</w:t>
            </w:r>
          </w:p>
        </w:tc>
      </w:tr>
    </w:tbl>
    <w:p>
      <w:r>
        <w:rPr>
          <w:rFonts w:ascii="Arial" w:cs="Arial" w:eastAsia="Arial" w:hAnsi="Arial"/>
        </w:rPr>
        <w:t xml:space="preserve"/>
      </w:r>
    </w:p>
    <w:p>
      <w:pPr>
        <w:pStyle w:val="Heading1"/>
      </w:pPr>
      <w:r>
        <w:t xml:space="preserve">Scope and methodology</w:t>
      </w:r>
    </w:p>
    <w:p>
      <w:pPr>
        <w:pStyle w:val="Heading2"/>
      </w:pPr>
      <w:r>
        <w:t xml:space="preserve">Pages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Page</w:t>
            </w:r>
          </w:p>
        </w:tc>
        <w:tc>
          <w:tcPr>
            <w:tcW w:type="dxa" w:w="340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URL path</w:t>
            </w:r>
          </w:p>
        </w:tc>
        <w:tc>
          <w:tcPr>
            <w:tcW w:type="dxa" w:w="3260"/>
            <w:tcBorders>
              <w:top w:val="single" w:color="D0D5DC" w:sz="4"/>
              <w:left w:val="single" w:color="D0D5DC" w:sz="4"/>
              <w:bottom w:val="single" w:color="D0D5DC" w:sz="4"/>
              <w:right w:val="single" w:color="D0D5DC" w:sz="4"/>
            </w:tcBorders>
            <w:shd w:fill="E8EEF4" w:color="auto" w:val="clear"/>
            <w:tcMar>
              <w:top w:type="dxa" w:w="100"/>
              <w:left w:type="dxa" w:w="140"/>
              <w:bottom w:type="dxa" w:w="100"/>
              <w:right w:type="dxa" w:w="140"/>
            </w:tcMar>
          </w:tcPr>
          <w:p>
            <w:r>
              <w:rPr>
                <w:rFonts w:ascii="Arial" w:cs="Arial" w:eastAsia="Arial" w:hAnsi="Arial"/>
                <w:b/>
                <w:bCs/>
                <w:color w:val="0D2340"/>
                <w:sz w:val="22"/>
                <w:szCs w:val="22"/>
              </w:rPr>
              <w:t xml:space="preserve">Method</w:t>
            </w:r>
          </w:p>
        </w:tc>
      </w:tr>
      <w:tr>
        <w:trPr>
          <w:tblHeader w:val="false"/>
        </w:trPr>
        <w:tc>
          <w:tcPr>
            <w:tcW w:type="dxa" w:w="27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Account creation — step 1</w:t>
            </w:r>
          </w:p>
        </w:tc>
        <w:tc>
          <w:tcPr>
            <w:tcW w:type="dxa" w:w="34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/COSPRINGS/CommunityView/account/new</w:t>
            </w:r>
          </w:p>
        </w:tc>
        <w:tc>
          <w:tcPr>
            <w:tcW w:type="dxa" w:w="32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 DOM inspection, computed style analysis, form submission test</w:t>
            </w:r>
          </w:p>
        </w:tc>
      </w:tr>
      <w:tr>
        <w:trPr>
          <w:tblHeader w:val="false"/>
        </w:trPr>
        <w:tc>
          <w:tcPr>
            <w:tcW w:type="dxa" w:w="27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Contact detail — step 3</w:t>
            </w:r>
          </w:p>
        </w:tc>
        <w:tc>
          <w:tcPr>
            <w:tcW w:type="dxa" w:w="34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/COSPRINGS/CommunityView/account/register-contact-detail</w:t>
            </w:r>
          </w:p>
        </w:tc>
        <w:tc>
          <w:tcPr>
            <w:tcW w:type="dxa" w:w="32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 DOM inspection, dropdown enumeration, visual capture</w:t>
            </w:r>
          </w:p>
        </w:tc>
      </w:tr>
      <w:tr>
        <w:trPr>
          <w:tblHeader w:val="false"/>
        </w:trPr>
        <w:tc>
          <w:tcPr>
            <w:tcW w:type="dxa" w:w="27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Main portal</w:t>
            </w:r>
          </w:p>
        </w:tc>
        <w:tc>
          <w:tcPr>
            <w:tcW w:type="dxa" w:w="34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/cosprings/Default.aspx</w:t>
            </w:r>
          </w:p>
        </w:tc>
        <w:tc>
          <w:tcPr>
            <w:tcW w:type="dxa" w:w="32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Tab structure enumeration, sub-navigation catalogue</w:t>
            </w:r>
          </w:p>
        </w:tc>
      </w:tr>
      <w:tr>
        <w:trPr>
          <w:tblHeader w:val="false"/>
        </w:trPr>
        <w:tc>
          <w:tcPr>
            <w:tcW w:type="dxa" w:w="27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Building module</w:t>
            </w:r>
          </w:p>
        </w:tc>
        <w:tc>
          <w:tcPr>
            <w:tcW w:type="dxa" w:w="34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/COSPRINGS/Cap/CapHome.aspx?module=Building</w:t>
            </w:r>
          </w:p>
        </w:tc>
        <w:tc>
          <w:tcPr>
            <w:tcW w:type="dxa" w:w="32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Record type dropdown enumeration</w:t>
            </w:r>
          </w:p>
        </w:tc>
      </w:tr>
    </w:tbl>
    <w:p>
      <w:r>
        <w:rPr>
          <w:rFonts w:ascii="Arial" w:cs="Arial" w:eastAsia="Arial" w:hAnsi="Arial"/>
        </w:rPr>
        <w:t xml:space="preserve"/>
      </w:r>
    </w:p>
    <w:p>
      <w:pPr>
        <w:pStyle w:val="Heading2"/>
      </w:pPr>
      <w:r>
        <w:t xml:space="preserve">Methods</w:t>
      </w:r>
    </w:p>
    <w:p>
      <w:pPr>
        <w:spacing w:after="120"/>
      </w:pPr>
      <w:r>
        <w:rPr>
          <w:rFonts w:ascii="Arial" w:cs="Arial" w:eastAsia="Arial" w:hAnsi="Arial"/>
        </w:rPr>
        <w:t xml:space="preserve">The audit used live browser instrumentation to inspect the rendered Document Object Model (DOM) of each page under test. Findings are supported by direct measurement — computed CSS values, ARIA attribute presence or absence, contrast ratios calculated from actual foreground and background colors, and observed behavior after real interactions (form submission, keyboard focus, dropdown activation).</w:t>
      </w:r>
    </w:p>
    <w:p>
      <w:pPr>
        <w:pStyle w:val="ListParagraph"/>
        <w:numPr>
          <w:ilvl w:val="0"/>
          <w:numId w:val="2"/>
        </w:numPr>
      </w:pPr>
      <w:r>
        <w:rPr>
          <w:rFonts w:ascii="Arial" w:cs="Arial" w:eastAsia="Arial" w:hAnsi="Arial"/>
          <w:sz w:val="22"/>
          <w:szCs w:val="22"/>
        </w:rPr>
        <w:t xml:space="preserve">ARIA audit: confirmation that inputs carry aria-required, aria-invalid, aria-label, or aria-labelledby with valid reference targets.</w:t>
      </w:r>
    </w:p>
    <w:p>
      <w:pPr>
        <w:pStyle w:val="ListParagraph"/>
        <w:numPr>
          <w:ilvl w:val="0"/>
          <w:numId w:val="2"/>
        </w:numPr>
      </w:pPr>
      <w:r>
        <w:rPr>
          <w:rFonts w:ascii="Arial" w:cs="Arial" w:eastAsia="Arial" w:hAnsi="Arial"/>
          <w:sz w:val="22"/>
          <w:szCs w:val="22"/>
        </w:rPr>
        <w:t xml:space="preserve">Focus audit: programmatic focus on form fields followed by computed-style retrieval to confirm visible outline and/or box-shadow.</w:t>
      </w:r>
    </w:p>
    <w:p>
      <w:pPr>
        <w:pStyle w:val="ListParagraph"/>
        <w:numPr>
          <w:ilvl w:val="0"/>
          <w:numId w:val="2"/>
        </w:numPr>
      </w:pPr>
      <w:r>
        <w:rPr>
          <w:rFonts w:ascii="Arial" w:cs="Arial" w:eastAsia="Arial" w:hAnsi="Arial"/>
          <w:sz w:val="22"/>
          <w:szCs w:val="22"/>
        </w:rPr>
        <w:t xml:space="preserve">Contrast audit: foreground and background colors sampled directly from the DOM; WCAG-formula ratios calculated from sRGB luminance.</w:t>
      </w:r>
    </w:p>
    <w:p>
      <w:pPr>
        <w:pStyle w:val="ListParagraph"/>
        <w:numPr>
          <w:ilvl w:val="0"/>
          <w:numId w:val="2"/>
        </w:numPr>
      </w:pPr>
      <w:r>
        <w:rPr>
          <w:rFonts w:ascii="Arial" w:cs="Arial" w:eastAsia="Arial" w:hAnsi="Arial"/>
          <w:sz w:val="22"/>
          <w:szCs w:val="22"/>
        </w:rPr>
        <w:t xml:space="preserve">Error-handling audit: submission of the account creation form with all required fields empty; enumeration of resulting aria-live regions, role="alert" elements, and focus destination.</w:t>
      </w:r>
    </w:p>
    <w:p>
      <w:pPr>
        <w:pStyle w:val="ListParagraph"/>
        <w:numPr>
          <w:ilvl w:val="0"/>
          <w:numId w:val="2"/>
        </w:numPr>
      </w:pPr>
      <w:r>
        <w:rPr>
          <w:rFonts w:ascii="Arial" w:cs="Arial" w:eastAsia="Arial" w:hAnsi="Arial"/>
          <w:sz w:val="22"/>
          <w:szCs w:val="22"/>
        </w:rPr>
        <w:t xml:space="preserve">Dropdown audit: full enumeration of all 31 options in the "Contact Type" dropdown on the contact-detail page.</w:t>
      </w:r>
    </w:p>
    <w:p>
      <w:pPr>
        <w:pStyle w:val="ListParagraph"/>
        <w:numPr>
          <w:ilvl w:val="0"/>
          <w:numId w:val="2"/>
        </w:numPr>
      </w:pPr>
      <w:r>
        <w:rPr>
          <w:rFonts w:ascii="Arial" w:cs="Arial" w:eastAsia="Arial" w:hAnsi="Arial"/>
          <w:sz w:val="22"/>
          <w:szCs w:val="22"/>
        </w:rPr>
        <w:t xml:space="preserve">Live user reproduction: observation of an actual registration attempt conducted during the audit window that resulted in a permanently stuck account state.</w:t>
      </w:r>
    </w:p>
    <w:p>
      <w:r>
        <w:rPr>
          <w:rFonts w:ascii="Arial" w:cs="Arial" w:eastAsia="Arial" w:hAnsi="Arial"/>
        </w:rPr>
        <w:t xml:space="preserve"/>
      </w:r>
    </w:p>
    <w:p>
      <w:pPr>
        <w:pStyle w:val="Heading2"/>
      </w:pPr>
      <w:r>
        <w:t xml:space="preserve">Standards applied</w:t>
      </w:r>
    </w:p>
    <w:p>
      <w:pPr>
        <w:spacing w:after="120"/>
      </w:pPr>
      <w:r>
        <w:rPr>
          <w:rFonts w:ascii="Arial" w:cs="Arial" w:eastAsia="Arial" w:hAnsi="Arial"/>
        </w:rPr>
        <w:t xml:space="preserve">Findings are mapped to specific Web Content Accessibility Guidelines (WCAG) 2.1 success criteria at Levels A and AA. WCAG 2.1 is the operative standard referenced by ADA Title II digital-accessibility expectations for public entities in the United States. Where an issue is not a strict WCAG failure but represents a usability, security, or data-quality concern with accessibility impact, it is classified as "Best Practice" and documented separately.</w:t>
      </w:r>
    </w:p>
    <w:p>
      <w:r>
        <w:br w:type="page"/>
      </w:r>
    </w:p>
    <w:p>
      <w:pPr>
        <w:pStyle w:val="Heading1"/>
      </w:pPr>
      <w:r>
        <w:t xml:space="preserve">Detailed findings</w:t>
      </w:r>
    </w:p>
    <w:p>
      <w:pPr>
        <w:spacing w:after="120"/>
      </w:pPr>
      <w:r>
        <w:rPr>
          <w:rFonts w:ascii="Arial" w:cs="Arial" w:eastAsia="Arial" w:hAnsi="Arial"/>
        </w:rPr>
        <w:t xml:space="preserve">The thirteen findings below are numbered in priority order for remediation. Critical findings appear first, followed by Level AA, Level A, and best-practice concerns.</w:t>
      </w:r>
    </w:p>
    <w:p>
      <w:pPr>
        <w:keepNext/>
        <w:spacing w:after="80" w:before="320"/>
      </w:pPr>
      <w:r>
        <w:rPr>
          <w:rFonts w:ascii="Arial" w:cs="Arial" w:eastAsia="Arial" w:hAnsi="Arial"/>
          <w:b/>
          <w:bCs/>
          <w:color w:val="0D2340"/>
          <w:sz w:val="26"/>
          <w:szCs w:val="26"/>
        </w:rPr>
        <w:t xml:space="preserve">1. </w:t>
      </w:r>
      <w:r>
        <w:rPr>
          <w:rFonts w:ascii="Arial" w:cs="Arial" w:eastAsia="Arial" w:hAnsi="Arial"/>
          <w:b/>
          <w:bCs/>
          <w:color w:val="0D2340"/>
          <w:sz w:val="26"/>
          <w:szCs w:val="26"/>
        </w:rPr>
        <w:t xml:space="preserve">Error handling is invisible to assistive technology</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B33A3A"/>
          <w:sz w:val="20"/>
          <w:szCs w:val="20"/>
        </w:rPr>
        <w:t xml:space="preserve">Critical</w:t>
      </w:r>
      <w:r>
        <w:rPr>
          <w:rFonts w:ascii="Arial" w:cs="Arial" w:eastAsia="Arial" w:hAnsi="Arial"/>
          <w:color w:val="D0D5DC"/>
          <w:sz w:val="20"/>
          <w:szCs w:val="20"/>
        </w:rPr>
        <w:t xml:space="preserve">   ·   </w:t>
      </w:r>
      <w:r>
        <w:rPr>
          <w:rFonts w:ascii="Arial" w:cs="Arial" w:eastAsia="Arial" w:hAnsi="Arial"/>
          <w:color w:val="5A6578"/>
          <w:sz w:val="20"/>
          <w:szCs w:val="20"/>
        </w:rPr>
        <w:t xml:space="preserve">WCAG 3.3.1 Error Identification (Level A) · 4.1.3 Status Messages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Account creation (step 1), Contact detail (step 3)</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Live DOM inspection on April 18, 2026. Submitted the account-creation form with empty required fields. Results: zero elements with aria-live attribute; zero elements with role="alert"; zero inputs received aria-invalid="true". Validation messages ("Must enter a Username:") rendered as plain &lt;small&gt; elements with no aria-describedby linking them to their respective inputs. After the failed submission, document.activeElement was &lt;body&gt;, not the first invalid field. Only one field's error appeared despite four required fields being empty.</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A resident using a screen reader submits the form, hears no response, and has no programmatic signal that validation failed, which field failed, or how to correct it. This is a fundamental barrier — the user cannot complete registration.</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Add role="alert" or aria-live="assertive" to the error message container. Set aria-invalid="true" on each failed input. Use aria-describedby to link inputs to their error messages. Move focus to the first invalid field on submit. Validate all required fields simultaneously, not sequentially.</w:t>
      </w:r>
    </w:p>
    <w:p>
      <w:pPr>
        <w:keepNext/>
        <w:spacing w:after="80" w:before="320"/>
      </w:pPr>
      <w:r>
        <w:rPr>
          <w:rFonts w:ascii="Arial" w:cs="Arial" w:eastAsia="Arial" w:hAnsi="Arial"/>
          <w:b/>
          <w:bCs/>
          <w:color w:val="0D2340"/>
          <w:sz w:val="26"/>
          <w:szCs w:val="26"/>
        </w:rPr>
        <w:t xml:space="preserve">2. </w:t>
      </w:r>
      <w:r>
        <w:rPr>
          <w:rFonts w:ascii="Arial" w:cs="Arial" w:eastAsia="Arial" w:hAnsi="Arial"/>
          <w:b/>
          <w:bCs/>
          <w:color w:val="0D2340"/>
          <w:sz w:val="26"/>
          <w:szCs w:val="26"/>
        </w:rPr>
        <w:t xml:space="preserve">No visible focus indicator on form fields</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B33A3A"/>
          <w:sz w:val="20"/>
          <w:szCs w:val="20"/>
        </w:rPr>
        <w:t xml:space="preserve">Critical</w:t>
      </w:r>
      <w:r>
        <w:rPr>
          <w:rFonts w:ascii="Arial" w:cs="Arial" w:eastAsia="Arial" w:hAnsi="Arial"/>
          <w:color w:val="D0D5DC"/>
          <w:sz w:val="20"/>
          <w:szCs w:val="20"/>
        </w:rPr>
        <w:t xml:space="preserve">   ·   </w:t>
      </w:r>
      <w:r>
        <w:rPr>
          <w:rFonts w:ascii="Arial" w:cs="Arial" w:eastAsia="Arial" w:hAnsi="Arial"/>
          <w:color w:val="5A6578"/>
          <w:sz w:val="20"/>
          <w:szCs w:val="20"/>
        </w:rPr>
        <w:t xml:space="preserve">WCAG 2.4.7 Focus Visible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All pages</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Programmatically focused the Username input and queried computed style. Returned: outline: rgb(65, 74, 86) none 0px; outline-width: 0px; outline-style: none; box-shadow: rgba(0,0,0,0) 0px 0px 0px 0px. Border color did not change from its unfocused rgb(182, 182, 182).</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A sighted keyboard-only user cannot see which field currently holds focus. Tab navigation becomes guesswork. This affects users with motor impairments, users without a mouse, and users who prefer keyboard navigation.</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Implement a global :focus-visible style with a minimum 2px solid outline and at least 3:1 contrast against the background. Recommended: outline: 2px solid #0b5f78; outline-offset: 0; plus a matching box-shadow enhancement.</w:t>
      </w:r>
    </w:p>
    <w:p>
      <w:pPr>
        <w:keepNext/>
        <w:spacing w:after="80" w:before="320"/>
      </w:pPr>
      <w:r>
        <w:rPr>
          <w:rFonts w:ascii="Arial" w:cs="Arial" w:eastAsia="Arial" w:hAnsi="Arial"/>
          <w:b/>
          <w:bCs/>
          <w:color w:val="0D2340"/>
          <w:sz w:val="26"/>
          <w:szCs w:val="26"/>
        </w:rPr>
        <w:t xml:space="preserve">3. </w:t>
      </w:r>
      <w:r>
        <w:rPr>
          <w:rFonts w:ascii="Arial" w:cs="Arial" w:eastAsia="Arial" w:hAnsi="Arial"/>
          <w:b/>
          <w:bCs/>
          <w:color w:val="0D2340"/>
          <w:sz w:val="26"/>
          <w:szCs w:val="26"/>
        </w:rPr>
        <w:t xml:space="preserve">Contrast failures on primary navigation links</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B33A3A"/>
          <w:sz w:val="20"/>
          <w:szCs w:val="20"/>
        </w:rPr>
        <w:t xml:space="preserve">Critical</w:t>
      </w:r>
      <w:r>
        <w:rPr>
          <w:rFonts w:ascii="Arial" w:cs="Arial" w:eastAsia="Arial" w:hAnsi="Arial"/>
          <w:color w:val="D0D5DC"/>
          <w:sz w:val="20"/>
          <w:szCs w:val="20"/>
        </w:rPr>
        <w:t xml:space="preserve">   ·   </w:t>
      </w:r>
      <w:r>
        <w:rPr>
          <w:rFonts w:ascii="Arial" w:cs="Arial" w:eastAsia="Arial" w:hAnsi="Arial"/>
          <w:color w:val="5A6578"/>
          <w:sz w:val="20"/>
          <w:szCs w:val="20"/>
        </w:rPr>
        <w:t xml:space="preserve">WCAG 1.4.3 Contrast (Minimum)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All pages</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Three top-right navigation links — "Login", "Register for an Account", and "Announcements" — render with foreground rgb(33, 188, 255) on background rgb(255, 255, 255). Computed contrast ratio: 2.16:1. WCAG minimum for normal text (under 18pt or under 14pt bold) is 4.5:1.</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Users with low vision, color-vision deficiencies, or viewing on low-contrast displays (outdoor sun, older monitors) cannot reliably read the three primary entry-point links. These are the most-used links on the page.</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Darken link color to meet the 4.5:1 threshold. A color of approximately #0077B3 or darker passes at normal weight. Alternatively, combine a slightly lighter color with a bold weight (which allows 3:1 for 14pt bold).</w:t>
      </w:r>
    </w:p>
    <w:p>
      <w:pPr>
        <w:keepNext/>
        <w:spacing w:after="80" w:before="320"/>
      </w:pPr>
      <w:r>
        <w:rPr>
          <w:rFonts w:ascii="Arial" w:cs="Arial" w:eastAsia="Arial" w:hAnsi="Arial"/>
          <w:b/>
          <w:bCs/>
          <w:color w:val="0D2340"/>
          <w:sz w:val="26"/>
          <w:szCs w:val="26"/>
        </w:rPr>
        <w:t xml:space="preserve">4. </w:t>
      </w:r>
      <w:r>
        <w:rPr>
          <w:rFonts w:ascii="Arial" w:cs="Arial" w:eastAsia="Arial" w:hAnsi="Arial"/>
          <w:b/>
          <w:bCs/>
          <w:color w:val="0D2340"/>
          <w:sz w:val="26"/>
          <w:szCs w:val="26"/>
        </w:rPr>
        <w:t xml:space="preserve">No autocomplete attributes on credential form fields</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A06B1F"/>
          <w:sz w:val="20"/>
          <w:szCs w:val="20"/>
        </w:rPr>
        <w:t xml:space="preserve">Level AA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1.3.5 Identify Input Purpose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Account creation (step 1)</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All four credential inputs inspected: Username (txbUserName), Email (txbEmail), Password (txbPassword1), Confirm Password (txbPassword2). All four return null for the autocomplete attribute.</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Users relying on password managers, cognitive assistance tools, or browser autofill cannot benefit from standardized input-purpose hints. This particularly affects users with memory impairments, motor impairments who rely on autofill to reduce typing, and users who reuse or manage credentials via assistive software.</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Add standard autocomplete tokens: autocomplete="username" on username, autocomplete="email" on email, autocomplete="new-password" on both password fields.</w:t>
      </w:r>
    </w:p>
    <w:p>
      <w:pPr>
        <w:keepNext/>
        <w:spacing w:after="80" w:before="320"/>
      </w:pPr>
      <w:r>
        <w:rPr>
          <w:rFonts w:ascii="Arial" w:cs="Arial" w:eastAsia="Arial" w:hAnsi="Arial"/>
          <w:b/>
          <w:bCs/>
          <w:color w:val="0D2340"/>
          <w:sz w:val="26"/>
          <w:szCs w:val="26"/>
        </w:rPr>
        <w:t xml:space="preserve">5. </w:t>
      </w:r>
      <w:r>
        <w:rPr>
          <w:rFonts w:ascii="Arial" w:cs="Arial" w:eastAsia="Arial" w:hAnsi="Arial"/>
          <w:b/>
          <w:bCs/>
          <w:color w:val="0D2340"/>
          <w:sz w:val="26"/>
          <w:szCs w:val="26"/>
        </w:rPr>
        <w:t xml:space="preserve">Contact Type dropdown lacks instructions for a 31-option list</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A06B1F"/>
          <w:sz w:val="20"/>
          <w:szCs w:val="20"/>
        </w:rPr>
        <w:t xml:space="preserve">Level AA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3.3.2 Labels or Instructions (Level A) · escalated to Critical-adjacent because of abandonment risk</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Contact detail (step 3)</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A single p-dropdown element presents 31 unsorted options with no help text, no grouping, and no explanation. aria-label on the dropdown is null. Options include legal terms ("Resident Agent for Service"), administrative placeholders ("Member", "Principal"), and seventeen Fire-Department-specific roles. The dropdown is presented with only a visible label ("CONTACT DETAILS FOR:") and no description.</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A non-expert resident has no basis on which to choose an option. Field testing by a current resident (April 18, 2026) confirmed the user abandoned the form at this step. Many users select incorrectly, triggering downstream routing errors. The field is the single most common abandonment point in the registration flow.</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(1) Provide help text below the label describing what "Contact Type" means for residents. (2) Group options by audience ("Residents", "Business Owners", "Contractors", "Legal / Corporate", "Fire Department"). (3) Remove the two admin-only options containing "DO NOT CHANGE" from the public-facing list — these are internal configuration records leaked to the public. (4) Consider inferring contact type from verified identity and parcel ownership rather than asking the resident to self-classify.</w:t>
      </w:r>
    </w:p>
    <w:p>
      <w:pPr>
        <w:keepNext/>
        <w:spacing w:after="80" w:before="320"/>
      </w:pPr>
      <w:r>
        <w:rPr>
          <w:rFonts w:ascii="Arial" w:cs="Arial" w:eastAsia="Arial" w:hAnsi="Arial"/>
          <w:b/>
          <w:bCs/>
          <w:color w:val="0D2340"/>
          <w:sz w:val="26"/>
          <w:szCs w:val="26"/>
        </w:rPr>
        <w:t xml:space="preserve">6. </w:t>
      </w:r>
      <w:r>
        <w:rPr>
          <w:rFonts w:ascii="Arial" w:cs="Arial" w:eastAsia="Arial" w:hAnsi="Arial"/>
          <w:b/>
          <w:bCs/>
          <w:color w:val="0D2340"/>
          <w:sz w:val="26"/>
          <w:szCs w:val="26"/>
        </w:rPr>
        <w:t xml:space="preserve">Registration state is not reversible when email delivery fails</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A06B1F"/>
          <w:sz w:val="20"/>
          <w:szCs w:val="20"/>
        </w:rPr>
        <w:t xml:space="preserve">Level AA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3.3.4 Error Prevention (Legal, Financial, Data)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Registration flow (system-level)</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The username field submitted in step 1 is committed to the backend database before email confirmation occurs. When the confirmation email fails to deliver (verified real-world case: April 18, 2026), the user cannot log in (no password verification), cannot reset the password (same email pipeline), and cannot re-register (username is taken). The only recovery path is manual staff intervention. No self-service "resend confirmation" exists, or it is not functional.</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A failed email delivery — which can happen due to spam filtering, SMTP misconfiguration, or expired sender-domain authentication — locks a resident out of their own account with no recovery. The problem is especially severe because the same failure mode blocks both initial registration and password recovery, eliminating both self-service paths simultaneously.</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Do not commit the username to durable storage until email verification succeeds. Use a pending-verification record that expires in 24 hours. Implement a functional self-service "resend confirmation" and "forgot username" flow. Add outbound mail monitoring with alerting on delivery failures.</w:t>
      </w:r>
    </w:p>
    <w:p>
      <w:pPr>
        <w:keepNext/>
        <w:spacing w:after="80" w:before="320"/>
      </w:pPr>
      <w:r>
        <w:rPr>
          <w:rFonts w:ascii="Arial" w:cs="Arial" w:eastAsia="Arial" w:hAnsi="Arial"/>
          <w:b/>
          <w:bCs/>
          <w:color w:val="0D2340"/>
          <w:sz w:val="26"/>
          <w:szCs w:val="26"/>
        </w:rPr>
        <w:t xml:space="preserve">7. </w:t>
      </w:r>
      <w:r>
        <w:rPr>
          <w:rFonts w:ascii="Arial" w:cs="Arial" w:eastAsia="Arial" w:hAnsi="Arial"/>
          <w:b/>
          <w:bCs/>
          <w:color w:val="0D2340"/>
          <w:sz w:val="26"/>
          <w:szCs w:val="26"/>
        </w:rPr>
        <w:t xml:space="preserve">Primary skip link does not bypass anything</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0B5F78"/>
          <w:sz w:val="20"/>
          <w:szCs w:val="20"/>
        </w:rPr>
        <w:t xml:space="preserve">Level 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2.4.1 Bypass Blocks (Level 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All pages</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The primary skip link has href="#" and reloads to the page top rather than bypassing repeated navigation. A secondary skip link targets #FirstAnchorInACAMainContent which does resolve. Both skip links are image-based, and the first image's alt text reads: "Skip to main content. Please make sure the Accessibility Support check box is marked."</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Keyboard users cannot efficiently skip repeated navigation elements. The alt text also implies that accessibility requires the user to enable an "Accessibility Support" checkbox — a gating pattern that is itself a WCAG failure. Users of assistive technology should not have to declare themselves to receive a functional interface.</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Replace the broken skip link with a text-based &lt;a href="#main"&gt; targeting a valid id="main" on the primary content region. Remove the "Accessibility Support" opt-in framing entirely. Implement accessibility as the default, not as an opt-in mode.</w:t>
      </w:r>
    </w:p>
    <w:p>
      <w:pPr>
        <w:keepNext/>
        <w:spacing w:after="80" w:before="320"/>
      </w:pPr>
      <w:r>
        <w:rPr>
          <w:rFonts w:ascii="Arial" w:cs="Arial" w:eastAsia="Arial" w:hAnsi="Arial"/>
          <w:b/>
          <w:bCs/>
          <w:color w:val="0D2340"/>
          <w:sz w:val="26"/>
          <w:szCs w:val="26"/>
        </w:rPr>
        <w:t xml:space="preserve">8. </w:t>
      </w:r>
      <w:r>
        <w:rPr>
          <w:rFonts w:ascii="Arial" w:cs="Arial" w:eastAsia="Arial" w:hAnsi="Arial"/>
          <w:b/>
          <w:bCs/>
          <w:color w:val="0D2340"/>
          <w:sz w:val="26"/>
          <w:szCs w:val="26"/>
        </w:rPr>
        <w:t xml:space="preserve">Step indicator misrepresents the actual flow length</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A06B1F"/>
          <w:sz w:val="20"/>
          <w:szCs w:val="20"/>
        </w:rPr>
        <w:t xml:space="preserve">Level AA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3.2.4 Consistent Identification (Level AA)</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Registration (multi-page flow)</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The account creation page identifies itself as "Step 1 of 2". The subsequent contact-detail page identifies itself as "Step 2 of 2". However, an email confirmation step sits between them that is not numbered in the indicator. Users therefore experience three required steps while the interface claims two.</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Users abandon the process when they reach the contact-detail page believing it to be the final step, only to encounter additional work. Users also cannot accurately assess how much time the registration will take.</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Rename to "Step 1 of 3 — Account Details", "Step 2 of 3 — Email Confirmation", "Step 3 of 3 — Contact Details" to match actual flow. Alternatively, restructure the flow to eliminate the separate contact-detail step for residents (inferring from parcel ownership).</w:t>
      </w:r>
    </w:p>
    <w:p>
      <w:pPr>
        <w:keepNext/>
        <w:spacing w:after="80" w:before="320"/>
      </w:pPr>
      <w:r>
        <w:rPr>
          <w:rFonts w:ascii="Arial" w:cs="Arial" w:eastAsia="Arial" w:hAnsi="Arial"/>
          <w:b/>
          <w:bCs/>
          <w:color w:val="0D2340"/>
          <w:sz w:val="26"/>
          <w:szCs w:val="26"/>
        </w:rPr>
        <w:t xml:space="preserve">9. </w:t>
      </w:r>
      <w:r>
        <w:rPr>
          <w:rFonts w:ascii="Arial" w:cs="Arial" w:eastAsia="Arial" w:hAnsi="Arial"/>
          <w:b/>
          <w:bCs/>
          <w:color w:val="0D2340"/>
          <w:sz w:val="26"/>
          <w:szCs w:val="26"/>
        </w:rPr>
        <w:t xml:space="preserve">Required-field asterisks announced as "star" by screen readers</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0B5F78"/>
          <w:sz w:val="20"/>
          <w:szCs w:val="20"/>
        </w:rPr>
        <w:t xml:space="preserve">Level A</w:t>
      </w:r>
      <w:r>
        <w:rPr>
          <w:rFonts w:ascii="Arial" w:cs="Arial" w:eastAsia="Arial" w:hAnsi="Arial"/>
          <w:color w:val="D0D5DC"/>
          <w:sz w:val="20"/>
          <w:szCs w:val="20"/>
        </w:rPr>
        <w:t xml:space="preserve">   ·   </w:t>
      </w:r>
      <w:r>
        <w:rPr>
          <w:rFonts w:ascii="Arial" w:cs="Arial" w:eastAsia="Arial" w:hAnsi="Arial"/>
          <w:color w:val="5A6578"/>
          <w:sz w:val="20"/>
          <w:szCs w:val="20"/>
        </w:rPr>
        <w:t xml:space="preserve">Best practice (redundancy with aria-required)</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All pages</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Each &lt;span class="required"&gt;*&lt;/span&gt; element has aria-hidden: null. Inputs also have aria-required="true" set correctly. Screen readers announce both states, producing redundant audio output such as "username required star".</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Cluttered screen-reader output. Not a WCAG violation strictly, but degrades the usability of the form for assistive-technology users and suggests insufficient attention to screen-reader testing.</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Add aria-hidden="true" to the visual asterisk spans. Rely on aria-required="true" for programmatic communication.</w:t>
      </w:r>
    </w:p>
    <w:p>
      <w:pPr>
        <w:keepNext/>
        <w:spacing w:after="80" w:before="320"/>
      </w:pPr>
      <w:r>
        <w:rPr>
          <w:rFonts w:ascii="Arial" w:cs="Arial" w:eastAsia="Arial" w:hAnsi="Arial"/>
          <w:b/>
          <w:bCs/>
          <w:color w:val="0D2340"/>
          <w:sz w:val="26"/>
          <w:szCs w:val="26"/>
        </w:rPr>
        <w:t xml:space="preserve">10. </w:t>
      </w:r>
      <w:r>
        <w:rPr>
          <w:rFonts w:ascii="Arial" w:cs="Arial" w:eastAsia="Arial" w:hAnsi="Arial"/>
          <w:b/>
          <w:bCs/>
          <w:color w:val="0D2340"/>
          <w:sz w:val="26"/>
          <w:szCs w:val="26"/>
        </w:rPr>
        <w:t xml:space="preserve">Static browser-requirement notice implies restricted support</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0B5F78"/>
          <w:sz w:val="20"/>
          <w:szCs w:val="20"/>
        </w:rPr>
        <w:t xml:space="preserve">Level A</w:t>
      </w:r>
      <w:r>
        <w:rPr>
          <w:rFonts w:ascii="Arial" w:cs="Arial" w:eastAsia="Arial" w:hAnsi="Arial"/>
          <w:color w:val="D0D5DC"/>
          <w:sz w:val="20"/>
          <w:szCs w:val="20"/>
        </w:rPr>
        <w:t xml:space="preserve">   ·   </w:t>
      </w:r>
      <w:r>
        <w:rPr>
          <w:rFonts w:ascii="Arial" w:cs="Arial" w:eastAsia="Arial" w:hAnsi="Arial"/>
          <w:color w:val="5A6578"/>
          <w:sz w:val="20"/>
          <w:szCs w:val="20"/>
        </w:rPr>
        <w:t xml:space="preserve">WCAG 4.1 Compatible (principle); platform-independence expectation</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All pages</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Static text displayed on every page: "For best results this site should be used via Chrome or Edge." Sibling Accela deployments on the same platform display stronger statements such as "This site does not support Internet Explorer" and "To upload files, you will need to install Silverlight."</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Implies a constrained user-agent requirement. Users on Firefox, Safari, or mobile browsers may believe they cannot use the service, or may encounter real functional issues. The presence of the notice itself is a signal that the platform was not built to web standards.</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Remove the notice. Verify cross-browser functionality (Chrome, Edge, Firefox, Safari, mobile Chrome, mobile Safari) and publish a tested support matrix with specific version numbers only if genuine incompatibilities exist.</w:t>
      </w:r>
    </w:p>
    <w:p>
      <w:pPr>
        <w:keepNext/>
        <w:spacing w:after="80" w:before="320"/>
      </w:pPr>
      <w:r>
        <w:rPr>
          <w:rFonts w:ascii="Arial" w:cs="Arial" w:eastAsia="Arial" w:hAnsi="Arial"/>
          <w:b/>
          <w:bCs/>
          <w:color w:val="0D2340"/>
          <w:sz w:val="26"/>
          <w:szCs w:val="26"/>
        </w:rPr>
        <w:t xml:space="preserve">11. </w:t>
      </w:r>
      <w:r>
        <w:rPr>
          <w:rFonts w:ascii="Arial" w:cs="Arial" w:eastAsia="Arial" w:hAnsi="Arial"/>
          <w:b/>
          <w:bCs/>
          <w:color w:val="0D2340"/>
          <w:sz w:val="26"/>
          <w:szCs w:val="26"/>
        </w:rPr>
        <w:t xml:space="preserve">Administrative placeholder records leaked into public-facing dropdown</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0B5F78"/>
          <w:sz w:val="20"/>
          <w:szCs w:val="20"/>
        </w:rPr>
        <w:t xml:space="preserve">Level A</w:t>
      </w:r>
      <w:r>
        <w:rPr>
          <w:rFonts w:ascii="Arial" w:cs="Arial" w:eastAsia="Arial" w:hAnsi="Arial"/>
          <w:color w:val="D0D5DC"/>
          <w:sz w:val="20"/>
          <w:szCs w:val="20"/>
        </w:rPr>
        <w:t xml:space="preserve">   ·   </w:t>
      </w:r>
      <w:r>
        <w:rPr>
          <w:rFonts w:ascii="Arial" w:cs="Arial" w:eastAsia="Arial" w:hAnsi="Arial"/>
          <w:color w:val="5A6578"/>
          <w:sz w:val="20"/>
          <w:szCs w:val="20"/>
        </w:rPr>
        <w:t xml:space="preserve">Data quality / best practice</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Contact detail (step 3)</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Two of the 31 Contact Type options are labeled with internal administrator instructions: "Fire - Billing - DO NOT CHANGE" and "Fire - Permit - DO NOT CHANGE". These are system-configuration records not intended for public selection.</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Residents selecting these options are routed to administrative-only queues, trigger incorrect workflows, or cause their accounts to enter unrecoverable states. This is a likely contributor to the account-lockout problem documented in Finding 6.</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Filter administrative configuration records from public-facing dropdowns using a visibility or audience flag. Audit all public-facing configuration for similar leaks (e.g., record types, status values, role labels).</w:t>
      </w:r>
    </w:p>
    <w:p>
      <w:pPr>
        <w:keepNext/>
        <w:spacing w:after="80" w:before="320"/>
      </w:pPr>
      <w:r>
        <w:rPr>
          <w:rFonts w:ascii="Arial" w:cs="Arial" w:eastAsia="Arial" w:hAnsi="Arial"/>
          <w:b/>
          <w:bCs/>
          <w:color w:val="0D2340"/>
          <w:sz w:val="26"/>
          <w:szCs w:val="26"/>
        </w:rPr>
        <w:t xml:space="preserve">12. </w:t>
      </w:r>
      <w:r>
        <w:rPr>
          <w:rFonts w:ascii="Arial" w:cs="Arial" w:eastAsia="Arial" w:hAnsi="Arial"/>
          <w:b/>
          <w:bCs/>
          <w:color w:val="0D2340"/>
          <w:sz w:val="26"/>
          <w:szCs w:val="26"/>
        </w:rPr>
        <w:t xml:space="preserve">Credential form declared with HTTP GET method</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0B5F78"/>
          <w:sz w:val="20"/>
          <w:szCs w:val="20"/>
        </w:rPr>
        <w:t xml:space="preserve">Level A</w:t>
      </w:r>
      <w:r>
        <w:rPr>
          <w:rFonts w:ascii="Arial" w:cs="Arial" w:eastAsia="Arial" w:hAnsi="Arial"/>
          <w:color w:val="D0D5DC"/>
          <w:sz w:val="20"/>
          <w:szCs w:val="20"/>
        </w:rPr>
        <w:t xml:space="preserve">   ·   </w:t>
      </w:r>
      <w:r>
        <w:rPr>
          <w:rFonts w:ascii="Arial" w:cs="Arial" w:eastAsia="Arial" w:hAnsi="Arial"/>
          <w:color w:val="5A6578"/>
          <w:sz w:val="20"/>
          <w:szCs w:val="20"/>
        </w:rPr>
        <w:t xml:space="preserve">Security-adjacent; impacts data privacy</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Account creation (step 1)</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The registration form element carries method="get" with action targeting the registration endpoint. The form contains two password inputs. Actual submission occurs via JavaScript (XHR), but the declarative fallback would transmit credentials in URL query strings if JavaScript failed or were disabled.</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If JavaScript fails, user credentials would be transmitted in URL parameters — exposing them in browser history, server access logs, referrer headers, and proxy logs. Accessibility and security overlap here: users with assistive technology often run older browsers or JavaScript-constrained environments.</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Change the form method to POST regardless of submission pattern. Do not rely on JavaScript to prevent the declarative fallback.</w:t>
      </w:r>
    </w:p>
    <w:p>
      <w:pPr>
        <w:keepNext/>
        <w:spacing w:after="80" w:before="320"/>
      </w:pPr>
      <w:r>
        <w:rPr>
          <w:rFonts w:ascii="Arial" w:cs="Arial" w:eastAsia="Arial" w:hAnsi="Arial"/>
          <w:b/>
          <w:bCs/>
          <w:color w:val="0D2340"/>
          <w:sz w:val="26"/>
          <w:szCs w:val="26"/>
        </w:rPr>
        <w:t xml:space="preserve">13. </w:t>
      </w:r>
      <w:r>
        <w:rPr>
          <w:rFonts w:ascii="Arial" w:cs="Arial" w:eastAsia="Arial" w:hAnsi="Arial"/>
          <w:b/>
          <w:bCs/>
          <w:color w:val="0D2340"/>
          <w:sz w:val="26"/>
          <w:szCs w:val="26"/>
        </w:rPr>
        <w:t xml:space="preserve">Excessive blank whitespace above form content</w:t>
      </w:r>
    </w:p>
    <w:p>
      <w:pPr>
        <w:keepNext/>
        <w:spacing w:after="80"/>
      </w:pPr>
      <w:r>
        <w:rPr>
          <w:rFonts w:ascii="Arial" w:cs="Arial" w:eastAsia="Arial" w:hAnsi="Arial"/>
          <w:b/>
          <w:bCs/>
          <w:color w:val="5A6578"/>
          <w:sz w:val="20"/>
          <w:szCs w:val="20"/>
        </w:rPr>
        <w:t xml:space="preserve">Severity: </w:t>
      </w:r>
      <w:r>
        <w:rPr>
          <w:rFonts w:ascii="Arial" w:cs="Arial" w:eastAsia="Arial" w:hAnsi="Arial"/>
          <w:b/>
          <w:bCs/>
          <w:color w:val="5A6578"/>
          <w:sz w:val="20"/>
          <w:szCs w:val="20"/>
        </w:rPr>
        <w:t xml:space="preserve">Best Practice</w:t>
      </w:r>
      <w:r>
        <w:rPr>
          <w:rFonts w:ascii="Arial" w:cs="Arial" w:eastAsia="Arial" w:hAnsi="Arial"/>
          <w:color w:val="D0D5DC"/>
          <w:sz w:val="20"/>
          <w:szCs w:val="20"/>
        </w:rPr>
        <w:t xml:space="preserve">   ·   </w:t>
      </w:r>
      <w:r>
        <w:rPr>
          <w:rFonts w:ascii="Arial" w:cs="Arial" w:eastAsia="Arial" w:hAnsi="Arial"/>
          <w:color w:val="5A6578"/>
          <w:sz w:val="20"/>
          <w:szCs w:val="20"/>
        </w:rPr>
        <w:t xml:space="preserve">Usability; indirect WCAG impact</w:t>
      </w:r>
    </w:p>
    <w:p>
      <w:pPr>
        <w:keepNext/>
        <w:spacing w:after="160"/>
      </w:pPr>
      <w:r>
        <w:rPr>
          <w:rFonts w:ascii="Arial" w:cs="Arial" w:eastAsia="Arial" w:hAnsi="Arial"/>
          <w:b/>
          <w:bCs/>
          <w:color w:val="5A6578"/>
          <w:sz w:val="20"/>
          <w:szCs w:val="20"/>
        </w:rPr>
        <w:t xml:space="preserve">Pages affected: </w:t>
      </w:r>
      <w:r>
        <w:rPr>
          <w:rFonts w:ascii="Arial" w:cs="Arial" w:eastAsia="Arial" w:hAnsi="Arial"/>
          <w:color w:val="5A6578"/>
          <w:sz w:val="20"/>
          <w:szCs w:val="20"/>
        </w:rPr>
        <w:t xml:space="preserve">Account creation (step 1)</w:t>
      </w:r>
    </w:p>
    <w:p>
      <w:pPr>
        <w:keepNext/>
        <w:spacing w:after="40"/>
      </w:pPr>
      <w:r>
        <w:rPr>
          <w:rFonts w:ascii="Arial" w:cs="Arial" w:eastAsia="Arial" w:hAnsi="Arial"/>
          <w:b/>
          <w:bCs/>
          <w:color w:val="0D2340"/>
          <w:sz w:val="21"/>
          <w:szCs w:val="21"/>
        </w:rPr>
        <w:t xml:space="preserve">Evidence</w:t>
      </w:r>
    </w:p>
    <w:p>
      <w:pPr>
        <w:spacing w:after="160"/>
      </w:pPr>
      <w:r>
        <w:rPr>
          <w:rFonts w:ascii="Arial" w:cs="Arial" w:eastAsia="Arial" w:hAnsi="Arial"/>
          <w:sz w:val="21"/>
          <w:szCs w:val="21"/>
        </w:rPr>
        <w:t xml:space="preserve">Form top measured at y = 1012px on a total page height of 1771px. Viewport height on a standard desktop display is approximately 810px. Users must scroll through roughly one and a half screens of empty whitespace before reaching the first field.</w:t>
      </w:r>
    </w:p>
    <w:p>
      <w:pPr>
        <w:keepNext/>
        <w:spacing w:after="40"/>
      </w:pPr>
      <w:r>
        <w:rPr>
          <w:rFonts w:ascii="Arial" w:cs="Arial" w:eastAsia="Arial" w:hAnsi="Arial"/>
          <w:b/>
          <w:bCs/>
          <w:color w:val="0D2340"/>
          <w:sz w:val="21"/>
          <w:szCs w:val="21"/>
        </w:rPr>
        <w:t xml:space="preserve">Impact on residents</w:t>
      </w:r>
    </w:p>
    <w:p>
      <w:pPr>
        <w:spacing w:after="160"/>
      </w:pPr>
      <w:r>
        <w:rPr>
          <w:rFonts w:ascii="Arial" w:cs="Arial" w:eastAsia="Arial" w:hAnsi="Arial"/>
          <w:sz w:val="21"/>
          <w:szCs w:val="21"/>
        </w:rPr>
        <w:t xml:space="preserve">Screen magnifier users, mobile users, and users unfamiliar with the site may believe the page is broken, blank, or still loading. Increases abandonment at the very start of the flow.</w:t>
      </w:r>
    </w:p>
    <w:p>
      <w:pPr>
        <w:keepNext/>
        <w:spacing w:after="40"/>
      </w:pPr>
      <w:r>
        <w:rPr>
          <w:rFonts w:ascii="Arial" w:cs="Arial" w:eastAsia="Arial" w:hAnsi="Arial"/>
          <w:b/>
          <w:bCs/>
          <w:color w:val="0D2340"/>
          <w:sz w:val="21"/>
          <w:szCs w:val="21"/>
        </w:rPr>
        <w:t xml:space="preserve">Recommended remediation</w:t>
      </w:r>
    </w:p>
    <w:p>
      <w:pPr>
        <w:spacing w:after="160"/>
      </w:pPr>
      <w:r>
        <w:rPr>
          <w:rFonts w:ascii="Arial" w:cs="Arial" w:eastAsia="Arial" w:hAnsi="Arial"/>
          <w:sz w:val="21"/>
          <w:szCs w:val="21"/>
        </w:rPr>
        <w:t xml:space="preserve">Remove the empty layout rows. Move form content up to begin within the first viewport.</w:t>
      </w:r>
    </w:p>
    <w:p>
      <w:r>
        <w:br w:type="page"/>
      </w:r>
    </w:p>
    <w:p>
      <w:pPr>
        <w:pStyle w:val="Heading1"/>
      </w:pPr>
      <w:r>
        <w:t xml:space="preserve">Recommended remediation priority</w:t>
      </w:r>
    </w:p>
    <w:p>
      <w:pPr>
        <w:spacing w:after="120"/>
      </w:pPr>
      <w:r>
        <w:rPr>
          <w:rFonts w:ascii="Arial" w:cs="Arial" w:eastAsia="Arial" w:hAnsi="Arial"/>
        </w:rPr>
        <w:t xml:space="preserve">The following sequence is recommended for remediation. Finding numbers correspond to the detailed findings above.</w:t>
      </w:r>
    </w:p>
    <w:p>
      <w:pPr>
        <w:pStyle w:val="Heading2"/>
      </w:pPr>
      <w:r>
        <w:t xml:space="preserve">Phase 1 — immediate (blocks legal compliance and basic use)</w:t>
      </w:r>
    </w:p>
    <w:p>
      <w:pPr>
        <w:pStyle w:val="ListParagraph"/>
        <w:numPr>
          <w:ilvl w:val="0"/>
          <w:numId w:val="2"/>
        </w:numPr>
      </w:pPr>
      <w:r>
        <w:rPr>
          <w:rFonts w:ascii="Arial" w:cs="Arial" w:eastAsia="Arial" w:hAnsi="Arial"/>
          <w:sz w:val="22"/>
          <w:szCs w:val="22"/>
        </w:rPr>
        <w:t xml:space="preserve">Finding 1: Implement aria-live error announcement and focus-to-error pattern. Single CSS and JavaScript change.</w:t>
      </w:r>
    </w:p>
    <w:p>
      <w:pPr>
        <w:pStyle w:val="ListParagraph"/>
        <w:numPr>
          <w:ilvl w:val="0"/>
          <w:numId w:val="2"/>
        </w:numPr>
      </w:pPr>
      <w:r>
        <w:rPr>
          <w:rFonts w:ascii="Arial" w:cs="Arial" w:eastAsia="Arial" w:hAnsi="Arial"/>
          <w:sz w:val="22"/>
          <w:szCs w:val="22"/>
        </w:rPr>
        <w:t xml:space="preserve">Finding 2: Restore global :focus-visible outline style. Single CSS rule.</w:t>
      </w:r>
    </w:p>
    <w:p>
      <w:pPr>
        <w:pStyle w:val="ListParagraph"/>
        <w:numPr>
          <w:ilvl w:val="0"/>
          <w:numId w:val="2"/>
        </w:numPr>
      </w:pPr>
      <w:r>
        <w:rPr>
          <w:rFonts w:ascii="Arial" w:cs="Arial" w:eastAsia="Arial" w:hAnsi="Arial"/>
          <w:sz w:val="22"/>
          <w:szCs w:val="22"/>
        </w:rPr>
        <w:t xml:space="preserve">Finding 3: Darken the three failing nav link colors. Three CSS color values.</w:t>
      </w:r>
    </w:p>
    <w:p>
      <w:pPr>
        <w:pStyle w:val="ListParagraph"/>
        <w:numPr>
          <w:ilvl w:val="0"/>
          <w:numId w:val="2"/>
        </w:numPr>
      </w:pPr>
      <w:r>
        <w:rPr>
          <w:rFonts w:ascii="Arial" w:cs="Arial" w:eastAsia="Arial" w:hAnsi="Arial"/>
          <w:sz w:val="22"/>
          <w:szCs w:val="22"/>
        </w:rPr>
        <w:t xml:space="preserve">Finding 11: Remove the two "DO NOT CHANGE" administrative records from the public-facing Contact Type dropdown. Configuration change, no code.</w:t>
      </w:r>
    </w:p>
    <w:p>
      <w:pPr>
        <w:pStyle w:val="Heading2"/>
      </w:pPr>
      <w:r>
        <w:t xml:space="preserve">Phase 2 — near term (reduces abandonment and unblocks stuck accounts)</w:t>
      </w:r>
    </w:p>
    <w:p>
      <w:pPr>
        <w:pStyle w:val="ListParagraph"/>
        <w:numPr>
          <w:ilvl w:val="0"/>
          <w:numId w:val="2"/>
        </w:numPr>
      </w:pPr>
      <w:r>
        <w:rPr>
          <w:rFonts w:ascii="Arial" w:cs="Arial" w:eastAsia="Arial" w:hAnsi="Arial"/>
          <w:sz w:val="22"/>
          <w:szCs w:val="22"/>
        </w:rPr>
        <w:t xml:space="preserve">Finding 6: Change registration to hold the username in a pending-verification state until email is confirmed. Provide a functional resend-confirmation path. Requires backend work.</w:t>
      </w:r>
    </w:p>
    <w:p>
      <w:pPr>
        <w:pStyle w:val="ListParagraph"/>
        <w:numPr>
          <w:ilvl w:val="0"/>
          <w:numId w:val="2"/>
        </w:numPr>
      </w:pPr>
      <w:r>
        <w:rPr>
          <w:rFonts w:ascii="Arial" w:cs="Arial" w:eastAsia="Arial" w:hAnsi="Arial"/>
          <w:sz w:val="22"/>
          <w:szCs w:val="22"/>
        </w:rPr>
        <w:t xml:space="preserve">Finding 5: Add help text and grouping to the Contact Type dropdown. Consider inferring contact type from parcel ownership rather than asking.</w:t>
      </w:r>
    </w:p>
    <w:p>
      <w:pPr>
        <w:pStyle w:val="ListParagraph"/>
        <w:numPr>
          <w:ilvl w:val="0"/>
          <w:numId w:val="2"/>
        </w:numPr>
      </w:pPr>
      <w:r>
        <w:rPr>
          <w:rFonts w:ascii="Arial" w:cs="Arial" w:eastAsia="Arial" w:hAnsi="Arial"/>
          <w:sz w:val="22"/>
          <w:szCs w:val="22"/>
        </w:rPr>
        <w:t xml:space="preserve">Finding 4: Add autocomplete attributes to all credential inputs. Four HTML attribute additions.</w:t>
      </w:r>
    </w:p>
    <w:p>
      <w:pPr>
        <w:pStyle w:val="ListParagraph"/>
        <w:numPr>
          <w:ilvl w:val="0"/>
          <w:numId w:val="2"/>
        </w:numPr>
      </w:pPr>
      <w:r>
        <w:rPr>
          <w:rFonts w:ascii="Arial" w:cs="Arial" w:eastAsia="Arial" w:hAnsi="Arial"/>
          <w:sz w:val="22"/>
          <w:szCs w:val="22"/>
        </w:rPr>
        <w:t xml:space="preserve">Finding 7: Fix the broken skip link and convert both skip links to text. Remove the "Accessibility Support" opt-in language.</w:t>
      </w:r>
    </w:p>
    <w:p>
      <w:pPr>
        <w:pStyle w:val="Heading2"/>
      </w:pPr>
      <w:r>
        <w:t xml:space="preserve">Phase 3 — correcting degraded quality</w:t>
      </w:r>
    </w:p>
    <w:p>
      <w:pPr>
        <w:pStyle w:val="ListParagraph"/>
        <w:numPr>
          <w:ilvl w:val="0"/>
          <w:numId w:val="2"/>
        </w:numPr>
      </w:pPr>
      <w:r>
        <w:rPr>
          <w:rFonts w:ascii="Arial" w:cs="Arial" w:eastAsia="Arial" w:hAnsi="Arial"/>
          <w:sz w:val="22"/>
          <w:szCs w:val="22"/>
        </w:rPr>
        <w:t xml:space="preserve">Finding 8: Correct the step indicator to reflect the actual three-step flow.</w:t>
      </w:r>
    </w:p>
    <w:p>
      <w:pPr>
        <w:pStyle w:val="ListParagraph"/>
        <w:numPr>
          <w:ilvl w:val="0"/>
          <w:numId w:val="2"/>
        </w:numPr>
      </w:pPr>
      <w:r>
        <w:rPr>
          <w:rFonts w:ascii="Arial" w:cs="Arial" w:eastAsia="Arial" w:hAnsi="Arial"/>
          <w:sz w:val="22"/>
          <w:szCs w:val="22"/>
        </w:rPr>
        <w:t xml:space="preserve">Finding 9: Add aria-hidden="true" to decorative asterisk markers.</w:t>
      </w:r>
    </w:p>
    <w:p>
      <w:pPr>
        <w:pStyle w:val="ListParagraph"/>
        <w:numPr>
          <w:ilvl w:val="0"/>
          <w:numId w:val="2"/>
        </w:numPr>
      </w:pPr>
      <w:r>
        <w:rPr>
          <w:rFonts w:ascii="Arial" w:cs="Arial" w:eastAsia="Arial" w:hAnsi="Arial"/>
          <w:sz w:val="22"/>
          <w:szCs w:val="22"/>
        </w:rPr>
        <w:t xml:space="preserve">Finding 10: Remove the unverified browser-requirement notice or replace with a tested support matrix.</w:t>
      </w:r>
    </w:p>
    <w:p>
      <w:pPr>
        <w:pStyle w:val="ListParagraph"/>
        <w:numPr>
          <w:ilvl w:val="0"/>
          <w:numId w:val="2"/>
        </w:numPr>
      </w:pPr>
      <w:r>
        <w:rPr>
          <w:rFonts w:ascii="Arial" w:cs="Arial" w:eastAsia="Arial" w:hAnsi="Arial"/>
          <w:sz w:val="22"/>
          <w:szCs w:val="22"/>
        </w:rPr>
        <w:t xml:space="preserve">Finding 12: Change the registration form method from GET to POST.</w:t>
      </w:r>
    </w:p>
    <w:p>
      <w:pPr>
        <w:pStyle w:val="ListParagraph"/>
        <w:numPr>
          <w:ilvl w:val="0"/>
          <w:numId w:val="2"/>
        </w:numPr>
      </w:pPr>
      <w:r>
        <w:rPr>
          <w:rFonts w:ascii="Arial" w:cs="Arial" w:eastAsia="Arial" w:hAnsi="Arial"/>
          <w:sz w:val="22"/>
          <w:szCs w:val="22"/>
        </w:rPr>
        <w:t xml:space="preserve">Finding 13: Reduce the whitespace above form content.</w:t>
      </w:r>
    </w:p>
    <w:p>
      <w:r>
        <w:rPr>
          <w:rFonts w:ascii="Arial" w:cs="Arial" w:eastAsia="Arial" w:hAnsi="Arial"/>
        </w:rPr>
        <w:t xml:space="preserve"/>
      </w:r>
    </w:p>
    <w:p>
      <w:pPr>
        <w:pStyle w:val="Heading2"/>
      </w:pPr>
      <w:r>
        <w:t xml:space="preserve">Operational note</w:t>
      </w:r>
    </w:p>
    <w:p>
      <w:pPr>
        <w:spacing w:after="120"/>
      </w:pPr>
      <w:r>
        <w:rPr>
          <w:rFonts w:ascii="Arial" w:cs="Arial" w:eastAsia="Arial" w:hAnsi="Arial"/>
        </w:rPr>
        <w:t xml:space="preserve">The City is positioned at the start of a platform modernization effort that will eventually replace the current Accela Citizen Access interface. That effort should not serve as a reason to defer the remediations in Phase 1. The most serious findings in this audit — the invisible focus indicator, the unannounced errors, and the nav contrast failure — are each fixable within a sprint and reduce legal exposure and user harm immediately, independent of platform strategy.</w:t>
      </w:r>
    </w:p>
    <w:p>
      <w:r>
        <w:br w:type="page"/>
      </w:r>
    </w:p>
    <w:p>
      <w:pPr>
        <w:pStyle w:val="Heading1"/>
      </w:pPr>
      <w:r>
        <w:t xml:space="preserve">Appendix A — Testing environment</w:t>
      </w:r>
    </w:p>
    <w:p>
      <w:pPr>
        <w:pStyle w:val="ListParagraph"/>
        <w:numPr>
          <w:ilvl w:val="0"/>
          <w:numId w:val="2"/>
        </w:numPr>
      </w:pPr>
      <w:r>
        <w:rPr>
          <w:rFonts w:ascii="Arial" w:cs="Arial" w:eastAsia="Arial" w:hAnsi="Arial"/>
          <w:sz w:val="22"/>
          <w:szCs w:val="22"/>
        </w:rPr>
        <w:t xml:space="preserve">Browser: Google Chrome (latest stable), Chromium-based instrumentation.</w:t>
      </w:r>
    </w:p>
    <w:p>
      <w:pPr>
        <w:pStyle w:val="ListParagraph"/>
        <w:numPr>
          <w:ilvl w:val="0"/>
          <w:numId w:val="2"/>
        </w:numPr>
      </w:pPr>
      <w:r>
        <w:rPr>
          <w:rFonts w:ascii="Arial" w:cs="Arial" w:eastAsia="Arial" w:hAnsi="Arial"/>
          <w:sz w:val="22"/>
          <w:szCs w:val="22"/>
        </w:rPr>
        <w:t xml:space="preserve">Operating system: Desktop Linux, 1698×810 viewport, devicePixelRatio 2.</w:t>
      </w:r>
    </w:p>
    <w:p>
      <w:pPr>
        <w:pStyle w:val="ListParagraph"/>
        <w:numPr>
          <w:ilvl w:val="0"/>
          <w:numId w:val="2"/>
        </w:numPr>
      </w:pPr>
      <w:r>
        <w:rPr>
          <w:rFonts w:ascii="Arial" w:cs="Arial" w:eastAsia="Arial" w:hAnsi="Arial"/>
          <w:sz w:val="22"/>
          <w:szCs w:val="22"/>
        </w:rPr>
        <w:t xml:space="preserve">Test date: April 18, 2026.</w:t>
      </w:r>
    </w:p>
    <w:p>
      <w:pPr>
        <w:pStyle w:val="ListParagraph"/>
        <w:numPr>
          <w:ilvl w:val="0"/>
          <w:numId w:val="2"/>
        </w:numPr>
      </w:pPr>
      <w:r>
        <w:rPr>
          <w:rFonts w:ascii="Arial" w:cs="Arial" w:eastAsia="Arial" w:hAnsi="Arial"/>
          <w:sz w:val="22"/>
          <w:szCs w:val="22"/>
        </w:rPr>
        <w:t xml:space="preserve">Test environment: production (aca-prod.accela.com).</w:t>
      </w:r>
    </w:p>
    <w:p>
      <w:pPr>
        <w:pStyle w:val="ListParagraph"/>
        <w:numPr>
          <w:ilvl w:val="0"/>
          <w:numId w:val="2"/>
        </w:numPr>
      </w:pPr>
      <w:r>
        <w:rPr>
          <w:rFonts w:ascii="Arial" w:cs="Arial" w:eastAsia="Arial" w:hAnsi="Arial"/>
          <w:sz w:val="22"/>
          <w:szCs w:val="22"/>
        </w:rPr>
        <w:t xml:space="preserve">Authentication state: signed out; account creation initiated but not completed due to the flow defect documented in Finding 6.</w:t>
      </w:r>
    </w:p>
    <w:p>
      <w:r>
        <w:rPr>
          <w:rFonts w:ascii="Arial" w:cs="Arial" w:eastAsia="Arial" w:hAnsi="Arial"/>
        </w:rPr>
        <w:t xml:space="preserve"/>
      </w:r>
    </w:p>
    <w:p>
      <w:pPr>
        <w:pStyle w:val="Heading1"/>
      </w:pPr>
      <w:r>
        <w:t xml:space="preserve">Appendix B — Glossary of WCAG criteria 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D2340"/>
                <w:sz w:val="20"/>
                <w:szCs w:val="20"/>
              </w:rPr>
              <w:t xml:space="preserve">1.3.5 Identify Input Purpose (AA)</w:t>
            </w:r>
          </w:p>
        </w:tc>
        <w:tc>
          <w:tcPr>
            <w:tcW w:type="dxa" w:w="60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Input fields collecting user information about the user should be programmatically identifiable via autocomplete tokens.</w:t>
            </w:r>
          </w:p>
        </w:tc>
      </w:tr>
      <w:tr>
        <w:tc>
          <w:tcPr>
            <w:tcW w:type="dxa" w:w="3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0D2340"/>
                <w:sz w:val="20"/>
                <w:szCs w:val="20"/>
              </w:rPr>
              <w:t xml:space="preserve">1.4.3 Contrast (Minimum) (AA)</w:t>
            </w:r>
          </w:p>
        </w:tc>
        <w:tc>
          <w:tcPr>
            <w:tcW w:type="dxa" w:w="60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Text and images of text must have a contrast ratio of at least 4.5:1 against their background (3:1 for large text).</w:t>
            </w:r>
          </w:p>
        </w:tc>
      </w:tr>
      <w:tr>
        <w:tc>
          <w:tcPr>
            <w:tcW w:type="dxa" w:w="3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D2340"/>
                <w:sz w:val="20"/>
                <w:szCs w:val="20"/>
              </w:rPr>
              <w:t xml:space="preserve">2.4.1 Bypass Blocks (A)</w:t>
            </w:r>
          </w:p>
        </w:tc>
        <w:tc>
          <w:tcPr>
            <w:tcW w:type="dxa" w:w="60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mechanism must exist to bypass blocks of content that are repeated on multiple pages.</w:t>
            </w:r>
          </w:p>
        </w:tc>
      </w:tr>
      <w:tr>
        <w:tc>
          <w:tcPr>
            <w:tcW w:type="dxa" w:w="3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0D2340"/>
                <w:sz w:val="20"/>
                <w:szCs w:val="20"/>
              </w:rPr>
              <w:t xml:space="preserve">2.4.7 Focus Visible (AA)</w:t>
            </w:r>
          </w:p>
        </w:tc>
        <w:tc>
          <w:tcPr>
            <w:tcW w:type="dxa" w:w="60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Any keyboard-operable user interface must have a mode of operation where the focus indicator is visible.</w:t>
            </w:r>
          </w:p>
        </w:tc>
      </w:tr>
      <w:tr>
        <w:tc>
          <w:tcPr>
            <w:tcW w:type="dxa" w:w="3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D2340"/>
                <w:sz w:val="20"/>
                <w:szCs w:val="20"/>
              </w:rPr>
              <w:t xml:space="preserve">3.2.4 Consistent Identification (AA)</w:t>
            </w:r>
          </w:p>
        </w:tc>
        <w:tc>
          <w:tcPr>
            <w:tcW w:type="dxa" w:w="60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Components with the same functionality within a set of pages are identified consistently.</w:t>
            </w:r>
          </w:p>
        </w:tc>
      </w:tr>
      <w:tr>
        <w:tc>
          <w:tcPr>
            <w:tcW w:type="dxa" w:w="3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0D2340"/>
                <w:sz w:val="20"/>
                <w:szCs w:val="20"/>
              </w:rPr>
              <w:t xml:space="preserve">3.3.1 Error Identification (A)</w:t>
            </w:r>
          </w:p>
        </w:tc>
        <w:tc>
          <w:tcPr>
            <w:tcW w:type="dxa" w:w="60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If an input error is detected, the item in error is identified and described to the user in text.</w:t>
            </w:r>
          </w:p>
        </w:tc>
      </w:tr>
      <w:tr>
        <w:tc>
          <w:tcPr>
            <w:tcW w:type="dxa" w:w="3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D2340"/>
                <w:sz w:val="20"/>
                <w:szCs w:val="20"/>
              </w:rPr>
              <w:t xml:space="preserve">3.3.2 Labels or Instructions (A)</w:t>
            </w:r>
          </w:p>
        </w:tc>
        <w:tc>
          <w:tcPr>
            <w:tcW w:type="dxa" w:w="60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Labels or instructions are provided when content requires user input.</w:t>
            </w:r>
          </w:p>
        </w:tc>
      </w:tr>
      <w:tr>
        <w:tc>
          <w:tcPr>
            <w:tcW w:type="dxa" w:w="336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bCs/>
                <w:color w:val="0D2340"/>
                <w:sz w:val="20"/>
                <w:szCs w:val="20"/>
              </w:rPr>
              <w:t xml:space="preserve">3.3.4 Error Prevention (Legal, Financial, Data) (AA)</w:t>
            </w:r>
          </w:p>
        </w:tc>
        <w:tc>
          <w:tcPr>
            <w:tcW w:type="dxa" w:w="6000"/>
            <w:tcBorders>
              <w:top w:val="single" w:color="D0D5DC" w:sz="4"/>
              <w:left w:val="single" w:color="D0D5DC" w:sz="4"/>
              <w:bottom w:val="single" w:color="D0D5DC" w:sz="4"/>
              <w:right w:val="single" w:color="D0D5DC" w:sz="4"/>
            </w:tcBorders>
            <w:shd w:fill="F5F7FA"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For pages that cause legal commitments, financial transactions, or modify user-controlled data, submissions are reversible, checked, or confirmed.</w:t>
            </w:r>
          </w:p>
        </w:tc>
      </w:tr>
      <w:tr>
        <w:tc>
          <w:tcPr>
            <w:tcW w:type="dxa" w:w="336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bCs/>
                <w:color w:val="0D2340"/>
                <w:sz w:val="20"/>
                <w:szCs w:val="20"/>
              </w:rPr>
              <w:t xml:space="preserve">4.1.3 Status Messages (AA)</w:t>
            </w:r>
          </w:p>
        </w:tc>
        <w:tc>
          <w:tcPr>
            <w:tcW w:type="dxa" w:w="6000"/>
            <w:tcBorders>
              <w:top w:val="single" w:color="D0D5DC" w:sz="4"/>
              <w:left w:val="single" w:color="D0D5DC" w:sz="4"/>
              <w:bottom w:val="single" w:color="D0D5DC" w:sz="4"/>
              <w:right w:val="single" w:color="D0D5DC" w:sz="4"/>
            </w:tcBorders>
            <w:shd w:fill="FFFFFF" w:color="auto"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Status messages can be programmatically determined through role or properties so that they can be presented to the user by assistive technologies without receiving focus.</w:t>
            </w:r>
          </w:p>
        </w:tc>
      </w:tr>
    </w:tbl>
    <w:p>
      <w:r>
        <w:rPr>
          <w:rFonts w:ascii="Arial" w:cs="Arial" w:eastAsia="Arial" w:hAnsi="Arial"/>
        </w:rPr>
        <w:t xml:space="preserve"/>
      </w:r>
    </w:p>
    <w:p>
      <w:pPr>
        <w:spacing w:before="480"/>
      </w:pPr>
      <w:r>
        <w:rPr>
          <w:rFonts w:ascii="Arial" w:cs="Arial" w:eastAsia="Arial" w:hAnsi="Arial"/>
          <w:i/>
          <w:iCs/>
          <w:color w:val="5A6578"/>
          <w:sz w:val="20"/>
          <w:szCs w:val="20"/>
        </w:rPr>
        <w:t xml:space="preserve">End of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578"/>
        <w:sz w:val="16"/>
        <w:szCs w:val="16"/>
      </w:rPr>
      <w:t xml:space="preserve">Page </w:t>
    </w:r>
    <w:r>
      <w:rPr>
        <w:rFonts w:ascii="Arial" w:cs="Arial" w:eastAsia="Arial" w:hAnsi="Arial"/>
        <w:color w:val="5A6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578"/>
        <w:sz w:val="16"/>
        <w:szCs w:val="16"/>
      </w:rPr>
      <w:t xml:space="preserve">Accessibility audit · Colorado Springs permit portal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234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234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B5F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 WCAG 2.1 Audit — City of Colorado Springs Permits Portal</dc:title>
  <dc:creator>City of Colorado Springs accessibility audit</dc:creator>
  <cp:lastModifiedBy>Un-named</cp:lastModifiedBy>
  <cp:revision>1</cp:revision>
  <dcterms:created xsi:type="dcterms:W3CDTF">2026-04-18T23:14:13.471Z</dcterms:created>
  <dcterms:modified xsi:type="dcterms:W3CDTF">2026-04-18T23:14:13.471Z</dcterms:modified>
</cp:coreProperties>
</file>

<file path=docProps/custom.xml><?xml version="1.0" encoding="utf-8"?>
<Properties xmlns="http://schemas.openxmlformats.org/officeDocument/2006/custom-properties" xmlns:vt="http://schemas.openxmlformats.org/officeDocument/2006/docPropsVTypes"/>
</file>