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Technology Accessibility Audit</w:t>
      </w:r>
    </w:p>
    <w:p>
      <w:pPr>
        <w:spacing w:after="240" w:before="0"/>
        <w:jc w:val="center"/>
      </w:pPr>
      <w:r>
        <w:rPr>
          <w:color w:val="0563C1"/>
          <w:sz w:val="32"/>
          <w:szCs w:val="32"/>
        </w:rPr>
        <w:t xml:space="preserve">leg.colorado.gov</w:t>
      </w:r>
    </w:p>
    <w:p>
      <w:pPr>
        <w:spacing w:after="600" w:before="0"/>
        <w:jc w:val="center"/>
      </w:pPr>
      <w:r>
        <w:rPr>
          <w:i/>
          <w:iCs/>
          <w:sz w:val="24"/>
          <w:szCs w:val="24"/>
        </w:rPr>
        <w:t xml:space="preserve">Colorado General Assembly Website</w:t>
      </w:r>
    </w:p>
    <w:p>
      <w:pPr>
        <w:jc w:val="center"/>
      </w:pPr>
      <w:r>
        <w:rPr>
          <w:sz w:val="24"/>
          <w:szCs w:val="24"/>
        </w:rPr>
        <w:t xml:space="preserve">Preliminary Structural Review</w:t>
      </w:r>
    </w:p>
    <w:p>
      <w:pPr>
        <w:spacing w:after="2400" w:before="120"/>
        <w:jc w:val="center"/>
      </w:pPr>
      <w:r>
        <w:rPr>
          <w:color w:val="595959"/>
          <w:sz w:val="22"/>
          <w:szCs w:val="22"/>
        </w:rPr>
        <w:t xml:space="preserve">WCAG 2.1 AA • Section 508 • 8 CCR 1501-11 • ADA Title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b/>
                <w:bCs/>
                <w:sz w:val="20"/>
                <w:szCs w:val="20"/>
              </w:rPr>
              <w:t xml:space="preserve">Site audited</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b w:val="false"/>
                <w:bCs w:val="false"/>
                <w:sz w:val="20"/>
                <w:szCs w:val="20"/>
              </w:rPr>
              <w:t xml:space="preserve">https://leg.colorado.gov</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b/>
                <w:bCs/>
                <w:sz w:val="20"/>
                <w:szCs w:val="20"/>
              </w:rPr>
              <w:t xml:space="preserve">Audit date</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b w:val="false"/>
                <w:bCs w:val="false"/>
                <w:sz w:val="20"/>
                <w:szCs w:val="20"/>
              </w:rPr>
              <w:t xml:space="preserve">April 22, 2026</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b/>
                <w:bCs/>
                <w:sz w:val="20"/>
                <w:szCs w:val="20"/>
              </w:rPr>
              <w:t xml:space="preserve">Audit type</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b w:val="false"/>
                <w:bCs w:val="false"/>
                <w:sz w:val="20"/>
                <w:szCs w:val="20"/>
              </w:rPr>
              <w:t xml:space="preserve">Preliminary structural review (not a full WCAG conformance test)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b/>
                <w:bCs/>
                <w:sz w:val="20"/>
                <w:szCs w:val="20"/>
              </w:rPr>
              <w:t xml:space="preserve">Pages reviewed</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b w:val="false"/>
                <w:bCs w:val="false"/>
                <w:sz w:val="20"/>
                <w:szCs w:val="20"/>
              </w:rPr>
              <w:t xml:space="preserve">Homepage, Find My Legislator, Legislators index, Accessibility Statement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b/>
                <w:bCs/>
                <w:sz w:val="20"/>
                <w:szCs w:val="20"/>
              </w:rPr>
              <w:t xml:space="preserve">Standards referenced</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before="0"/>
            </w:pPr>
            <w:r>
              <w:rPr>
                <w:b w:val="false"/>
                <w:bCs w:val="false"/>
                <w:sz w:val="20"/>
                <w:szCs w:val="20"/>
              </w:rPr>
              <w:t xml:space="preserve">WCAG 2.1 AA, Section 508, 8 CCR 1501-11, PDF/UA-1</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b/>
                <w:bCs/>
                <w:sz w:val="20"/>
                <w:szCs w:val="20"/>
              </w:rPr>
              <w:t xml:space="preserve">Legal context</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b w:val="false"/>
                <w:bCs w:val="false"/>
                <w:sz w:val="20"/>
                <w:szCs w:val="20"/>
              </w:rPr>
              <w:t xml:space="preserve">DOJ ADA Title II final rule (2024); WCAG 2.1 AA compliance deadline April 2026 for jurisdictions serving 50,000+</w:t>
            </w:r>
          </w:p>
        </w:tc>
      </w:tr>
    </w:tbl>
    <w:p>
      <w:pPr>
        <w:pageBreakBefore/>
      </w:pPr>
      <w:r>
        <w:br/>
        <w:t xml:space="preserve"/>
      </w:r>
    </w:p>
    <w:p>
      <w:pPr>
        <w:pStyle w:val="Heading1"/>
      </w:pPr>
      <w:r>
        <w:t xml:space="preserve">1. Executive Summary</w:t>
      </w:r>
    </w:p>
    <w:p>
      <w:pPr>
        <w:spacing w:after="80" w:before="80"/>
      </w:pPr>
      <w:r>
        <w:t xml:space="preserve">The Colorado General Assembly website demonstrates a meaningful institutional commitment to accessibility: it publishes a technology accessibility statement, maintains an ADA Coordinator, provides HTML alternatives to PDF calendars, offers translated content (Libro azul), and has committed to third-party manual testing and document remediation. These are the markers of an organization that has invested in accessibility as a program, not just a policy page.</w:t>
      </w:r>
    </w:p>
    <w:p>
      <w:pPr>
        <w:spacing w:after="80" w:before="80"/>
      </w:pPr>
      <w:r>
        <w:t xml:space="preserve">However, publication of an accessibility statement is not the same as conformance. This review identified several likely barriers on the pages examined that would, if confirmed by live DOM and assistive-technology testing, constitute WCAG 2.1 AA failures. The three most significant concerns are:</w:t>
      </w:r>
    </w:p>
    <w:p>
      <w:pPr>
        <w:pStyle w:val="ListParagraph"/>
        <w:numPr>
          <w:ilvl w:val="0"/>
          <w:numId w:val="2"/>
        </w:numPr>
        <w:spacing w:after="40" w:before="40"/>
      </w:pPr>
      <w:r>
        <w:rPr>
          <w:b/>
          <w:bCs/>
        </w:rPr>
        <w:t xml:space="preserve">Primary-navigation disclosure pattern </w:t>
      </w:r>
      <w:r>
        <w:t xml:space="preserve">— top-level menu items (Bills, Laws, Legislators, etc.) appear to use href="#" anchor elements rather than button elements, which is a common Name/Role/Value failure (WCAG 4.1.2) and a likely keyboard-operability failure (WCAG 2.1.1).</w:t>
      </w:r>
    </w:p>
    <w:p>
      <w:pPr>
        <w:pStyle w:val="ListParagraph"/>
        <w:numPr>
          <w:ilvl w:val="0"/>
          <w:numId w:val="2"/>
        </w:numPr>
        <w:spacing w:after="40" w:before="40"/>
      </w:pPr>
      <w:r>
        <w:rPr>
          <w:b/>
          <w:bCs/>
        </w:rPr>
        <w:t xml:space="preserve">Interactive map on Find My Legislator </w:t>
      </w:r>
      <w:r>
        <w:t xml:space="preserve">— the map widget itself is unlikely to be keyboard- or screen-reader-accessible, though a textual search alternative is provided. The presence of a textual alternative substantially mitigates the risk, provided the alternative is itself fully accessible.</w:t>
      </w:r>
    </w:p>
    <w:p>
      <w:pPr>
        <w:pStyle w:val="ListParagraph"/>
        <w:numPr>
          <w:ilvl w:val="0"/>
          <w:numId w:val="2"/>
        </w:numPr>
        <w:spacing w:after="40" w:before="40"/>
      </w:pPr>
      <w:r>
        <w:rPr>
          <w:b/>
          <w:bCs/>
        </w:rPr>
        <w:t xml:space="preserve">Legislative PDF corpus </w:t>
      </w:r>
      <w:r>
        <w:t xml:space="preserve">— statehouse sites accumulate thousands of bills, fiscal notes, journals, and publications. The Accessibility Statement acknowledges that pre-July-2024 documents are classified as archived and remediated only upon request. This is legally defensible under 8 CCR 1501-11 § 11.4 but represents a significant accessibility gap for anyone researching historical legislation.</w:t>
      </w:r>
    </w:p>
    <w:p>
      <w:pPr>
        <w:spacing w:after="80" w:before="80"/>
      </w:pPr>
      <w:r>
        <w:t xml:space="default"/>
      </w:r>
    </w:p>
    <w:p>
      <w:pPr>
        <w:pStyle w:val="Heading1"/>
      </w:pPr>
      <w:r>
        <w:t xml:space="preserve">2. Methodology and Limitations</w:t>
      </w:r>
    </w:p>
    <w:p>
      <w:pPr>
        <w:pStyle w:val="Heading2"/>
      </w:pPr>
      <w:r>
        <w:t xml:space="preserve">2.1 What this audit is</w:t>
      </w:r>
    </w:p>
    <w:p>
      <w:pPr>
        <w:spacing w:after="80" w:before="80"/>
      </w:pPr>
      <w:r>
        <w:t xml:space="preserve">A structural review of rendered page content for four representative pages on leg.colorado.gov, evaluated against WCAG 2.1 Level AA success criteria and informed by the Colorado General Assembly's own Technology Accessibility Statement. This review identifies likely conformance issues and good practices that are observable from the published content, headings, link text, stated functionality, and page structure.</w:t>
      </w:r>
    </w:p>
    <w:p>
      <w:pPr>
        <w:pStyle w:val="Heading2"/>
      </w:pPr>
      <w:r>
        <w:t xml:space="preserve">2.2 What this audit is not</w:t>
      </w:r>
    </w:p>
    <w:p>
      <w:pPr>
        <w:spacing w:after="80" w:before="80"/>
      </w:pPr>
      <w:r>
        <w:t xml:space="preserve">This is not a full WCAG 2.1 AA conformance test. Producing a complete conformance report would require the additional tests listed below. Each limitation is called out explicitly so that readers can understand the evidentiary basis of each finding.</w:t>
      </w:r>
    </w:p>
    <w:p>
      <w:pPr>
        <w:pStyle w:val="ListParagraph"/>
        <w:numPr>
          <w:ilvl w:val="0"/>
          <w:numId w:val="2"/>
        </w:numPr>
        <w:spacing w:after="40" w:before="40"/>
      </w:pPr>
      <w:r>
        <w:rPr>
          <w:b/>
          <w:bCs/>
        </w:rPr>
        <w:t xml:space="preserve">Automated accessibility scan </w:t>
      </w:r>
      <w:r>
        <w:t xml:space="preserve">(axe-core, Lighthouse, WAVE) — not performed; requires live browser.</w:t>
      </w:r>
    </w:p>
    <w:p>
      <w:pPr>
        <w:pStyle w:val="ListParagraph"/>
        <w:numPr>
          <w:ilvl w:val="0"/>
          <w:numId w:val="2"/>
        </w:numPr>
        <w:spacing w:after="40" w:before="40"/>
      </w:pPr>
      <w:r>
        <w:rPr>
          <w:b/>
          <w:bCs/>
        </w:rPr>
        <w:t xml:space="preserve">Color contrast verification </w:t>
      </w:r>
      <w:r>
        <w:t xml:space="preserve">(WCAG 1.4.3, 1.4.11) — not performed; requires computed styles against rendered colors.</w:t>
      </w:r>
    </w:p>
    <w:p>
      <w:pPr>
        <w:pStyle w:val="ListParagraph"/>
        <w:numPr>
          <w:ilvl w:val="0"/>
          <w:numId w:val="2"/>
        </w:numPr>
        <w:spacing w:after="40" w:before="40"/>
      </w:pPr>
      <w:r>
        <w:rPr>
          <w:b/>
          <w:bCs/>
        </w:rPr>
        <w:t xml:space="preserve">Keyboard-only operability walkthrough </w:t>
      </w:r>
      <w:r>
        <w:t xml:space="preserve">(WCAG 2.1.1, 2.1.2, 2.4.3, 2.4.7) — not performed; requires interactive browser session.</w:t>
      </w:r>
    </w:p>
    <w:p>
      <w:pPr>
        <w:pStyle w:val="ListParagraph"/>
        <w:numPr>
          <w:ilvl w:val="0"/>
          <w:numId w:val="2"/>
        </w:numPr>
        <w:spacing w:after="40" w:before="40"/>
      </w:pPr>
      <w:r>
        <w:rPr>
          <w:b/>
          <w:bCs/>
        </w:rPr>
        <w:t xml:space="preserve">Screen-reader testing </w:t>
      </w:r>
      <w:r>
        <w:t xml:space="preserve">with NVDA, JAWS, and VoiceOver — not performed; required for any definitive conformance statement.</w:t>
      </w:r>
    </w:p>
    <w:p>
      <w:pPr>
        <w:pStyle w:val="ListParagraph"/>
        <w:numPr>
          <w:ilvl w:val="0"/>
          <w:numId w:val="2"/>
        </w:numPr>
        <w:spacing w:after="40" w:before="40"/>
      </w:pPr>
      <w:r>
        <w:rPr>
          <w:b/>
          <w:bCs/>
        </w:rPr>
        <w:t xml:space="preserve">Mobile and reflow testing </w:t>
      </w:r>
      <w:r>
        <w:t xml:space="preserve">(WCAG 1.4.10) at 320 CSS px and 400% zoom — not performed.</w:t>
      </w:r>
    </w:p>
    <w:p>
      <w:pPr>
        <w:pStyle w:val="ListParagraph"/>
        <w:numPr>
          <w:ilvl w:val="0"/>
          <w:numId w:val="2"/>
        </w:numPr>
        <w:spacing w:after="40" w:before="40"/>
      </w:pPr>
      <w:r>
        <w:rPr>
          <w:b/>
          <w:bCs/>
        </w:rPr>
        <w:t xml:space="preserve">PDF accessibility sampling </w:t>
      </w:r>
      <w:r>
        <w:t xml:space="preserve">against PDF/UA-1 and ISO 14289-1 — not performed; requires PDF/UA checker run against a representative sample.</w:t>
      </w:r>
    </w:p>
    <w:p>
      <w:pPr>
        <w:pStyle w:val="ListParagraph"/>
        <w:numPr>
          <w:ilvl w:val="0"/>
          <w:numId w:val="2"/>
        </w:numPr>
        <w:spacing w:after="40" w:before="40"/>
      </w:pPr>
      <w:r>
        <w:rPr>
          <w:b/>
          <w:bCs/>
        </w:rPr>
        <w:t xml:space="preserve">Raw HTML inspection </w:t>
      </w:r>
      <w:r>
        <w:t xml:space="preserve">— the site's origin server was not reachable from the audit environment; this review is based on the content as rendered and extracted.</w:t>
      </w:r>
    </w:p>
    <w:p>
      <w:pPr>
        <w:pStyle w:val="Heading2"/>
      </w:pPr>
      <w:r>
        <w:t xml:space="preserve">2.3 Severity classification</w:t>
      </w:r>
    </w:p>
    <w:p>
      <w:pPr>
        <w:spacing w:after="80" w:before="80"/>
      </w:pPr>
      <w:r>
        <w:t xml:space="preserve">Findings are classified into three levels:</w:t>
      </w:r>
    </w:p>
    <w:p>
      <w:pPr>
        <w:pStyle w:val="ListParagraph"/>
        <w:numPr>
          <w:ilvl w:val="0"/>
          <w:numId w:val="2"/>
        </w:numPr>
        <w:spacing w:after="40" w:before="40"/>
      </w:pPr>
      <w:r>
        <w:rPr>
          <w:b/>
          <w:bCs/>
        </w:rPr>
        <w:t xml:space="preserve">Critical </w:t>
      </w:r>
      <w:r>
        <w:t xml:space="preserve">— confirmed or highly likely WCAG 2.1 AA failure that creates a blocker for users of assistive technology.</w:t>
      </w:r>
    </w:p>
    <w:p>
      <w:pPr>
        <w:pStyle w:val="ListParagraph"/>
        <w:numPr>
          <w:ilvl w:val="0"/>
          <w:numId w:val="2"/>
        </w:numPr>
        <w:spacing w:after="40" w:before="40"/>
      </w:pPr>
      <w:r>
        <w:rPr>
          <w:b/>
          <w:bCs/>
        </w:rPr>
        <w:t xml:space="preserve">Significant </w:t>
      </w:r>
      <w:r>
        <w:t xml:space="preserve">— likely WCAG 2.1 AA failure that degrades but does not block access; or a critical-severity issue that requires live testing to confirm.</w:t>
      </w:r>
    </w:p>
    <w:p>
      <w:pPr>
        <w:pStyle w:val="ListParagraph"/>
        <w:numPr>
          <w:ilvl w:val="0"/>
          <w:numId w:val="2"/>
        </w:numPr>
        <w:spacing w:after="40" w:before="40"/>
      </w:pPr>
      <w:r>
        <w:rPr>
          <w:b/>
          <w:bCs/>
        </w:rPr>
        <w:t xml:space="preserve">Advisory </w:t>
      </w:r>
      <w:r>
        <w:t xml:space="preserve">— best-practice improvement; may not constitute a conformance failure on its own.</w:t>
      </w:r>
    </w:p>
    <w:p>
      <w:pPr>
        <w:pStyle w:val="Heading1"/>
      </w:pPr>
      <w:r>
        <w:t xml:space="preserve">3. Scope of Pages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0" w:before="0"/>
            </w:pPr>
            <w:r>
              <w:rPr>
                <w:b/>
                <w:bCs/>
                <w:sz w:val="20"/>
                <w:szCs w:val="20"/>
              </w:rPr>
              <w:t xml:space="preserve">Page</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0" w:before="0"/>
            </w:pPr>
            <w:r>
              <w:rPr>
                <w:b/>
                <w:bCs/>
                <w:sz w:val="20"/>
                <w:szCs w:val="20"/>
              </w:rPr>
              <w:t xml:space="preserve">URL</w:t>
            </w:r>
          </w:p>
        </w:tc>
        <w:tc>
          <w:tcPr>
            <w:tcW w:type="dxa" w:w="3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0" w:before="0"/>
            </w:pPr>
            <w:r>
              <w:rPr>
                <w:b/>
                <w:bCs/>
                <w:sz w:val="20"/>
                <w:szCs w:val="20"/>
              </w:rPr>
              <w:t xml:space="preserve">Why included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Homepage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leg.colorado.gov</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Primary entry point; tests global nav, search, schedule tables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Find My Legislator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leg.colorado.gov/find-my-legislator</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Interactive map widget; key constituent-service journey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Legislators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leg.colorado.gov/legislators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Large data table with filters and sort; alternative to the map</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Accessibility Statement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content.leg.colorado.gov/accessibility</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Establishes standards the site commits to and feedback channels</w:t>
            </w:r>
          </w:p>
        </w:tc>
      </w:tr>
    </w:tbl>
    <w:p>
      <w:pPr>
        <w:pageBreakBefore/>
      </w:pPr>
      <w:r>
        <w:br/>
        <w:t xml:space="preserve"/>
      </w:r>
    </w:p>
    <w:p>
      <w:pPr>
        <w:pStyle w:val="Heading1"/>
      </w:pPr>
      <w:r>
        <w:t xml:space="preserve">4. Findings by WCAG Principle</w:t>
      </w:r>
    </w:p>
    <w:p>
      <w:pPr>
        <w:pStyle w:val="Heading2"/>
      </w:pPr>
      <w:r>
        <w:t xml:space="preserve">4.1 Perceivable</w:t>
      </w:r>
    </w:p>
    <w:p>
      <w:pPr>
        <w:pStyle w:val="Heading3"/>
      </w:pPr>
      <w:r>
        <w:t xml:space="preserve">Finding 4.1.1 — Image alt text on leadership portraits (Advisory)</w:t>
      </w:r>
    </w:p>
    <w:p>
      <w:pPr>
        <w:spacing w:after="80" w:before="80"/>
      </w:pPr>
      <w:r>
        <w:t xml:space="default"/>
      </w:r>
    </w:p>
    <w:p>
      <w:pPr>
        <w:spacing w:after="80" w:before="80"/>
      </w:pPr>
      <w:r>
        <w:t xml:space="default"/>
      </w:r>
    </w:p>
    <w:p>
      <w:pPr>
        <w:spacing w:after="80" w:before="80"/>
      </w:pPr>
      <w:r>
        <w:t xml:space="default"/>
      </w:r>
    </w:p>
    <w:p>
      <w:pPr>
        <w:pStyle w:val="Heading3"/>
      </w:pPr>
      <w:r>
        <w:t xml:space="preserve">Finding 4.1.2 — Color contrast not yet verified (Significant, needs confirmation)</w:t>
      </w:r>
    </w:p>
    <w:p>
      <w:pPr>
        <w:spacing w:after="80" w:before="80"/>
      </w:pPr>
      <w:r>
        <w:t xml:space="default"/>
      </w:r>
    </w:p>
    <w:p>
      <w:pPr>
        <w:spacing w:after="80" w:before="80"/>
      </w:pPr>
      <w:r>
        <w:t xml:space="default"/>
      </w:r>
    </w:p>
    <w:p>
      <w:pPr>
        <w:spacing w:after="80" w:before="80"/>
      </w:pPr>
      <w:r>
        <w:t xml:space="default"/>
      </w:r>
    </w:p>
    <w:p>
      <w:pPr>
        <w:pStyle w:val="Heading3"/>
      </w:pPr>
      <w:r>
        <w:t xml:space="preserve">Finding 4.1.3 — Reflow at 320 CSS pixels (Significant, needs confirmation)</w:t>
      </w:r>
    </w:p>
    <w:p>
      <w:pPr>
        <w:spacing w:after="80" w:before="80"/>
      </w:pPr>
      <w:r>
        <w:t xml:space="default"/>
      </w:r>
    </w:p>
    <w:p>
      <w:pPr>
        <w:spacing w:after="80" w:before="80"/>
      </w:pPr>
      <w:r>
        <w:t xml:space="default"/>
      </w:r>
    </w:p>
    <w:p>
      <w:pPr>
        <w:spacing w:after="80" w:before="80"/>
      </w:pPr>
      <w:r>
        <w:t xml:space="default"/>
      </w:r>
    </w:p>
    <w:p>
      <w:pPr>
        <w:pStyle w:val="Heading2"/>
      </w:pPr>
      <w:r>
        <w:t xml:space="preserve">4.2 Operable</w:t>
      </w:r>
    </w:p>
    <w:p>
      <w:pPr>
        <w:pStyle w:val="Heading3"/>
      </w:pPr>
      <w:r>
        <w:t xml:space="preserve">Finding 4.2.1 — Top-nav dropdown controls likely use href="#" anchors (Critical)</w:t>
      </w:r>
    </w:p>
    <w:p>
      <w:pPr>
        <w:spacing w:after="80" w:before="80"/>
      </w:pPr>
      <w:r>
        <w:t xml:space="default"/>
      </w:r>
    </w:p>
    <w:p>
      <w:pPr>
        <w:spacing w:after="80" w:before="80"/>
      </w:pPr>
      <w:r>
        <w:t xml:space="default"/>
      </w:r>
    </w:p>
    <w:p>
      <w:pPr>
        <w:spacing w:after="80" w:before="80"/>
      </w:pPr>
      <w:r>
        <w:t xml:space="default"/>
      </w:r>
    </w:p>
    <w:p>
      <w:pPr>
        <w:spacing w:after="80" w:before="80"/>
      </w:pPr>
      <w:r>
        <w:t xml:space="default"/>
      </w:r>
    </w:p>
    <w:p>
      <w:pPr>
        <w:pStyle w:val="Heading3"/>
      </w:pPr>
      <w:r>
        <w:t xml:space="preserve">Finding 4.2.2 — Search and Menu toggles (Critical, needs confirmation)</w:t>
      </w:r>
    </w:p>
    <w:p>
      <w:pPr>
        <w:spacing w:after="80" w:before="80"/>
      </w:pPr>
      <w:r>
        <w:t xml:space="default"/>
      </w:r>
    </w:p>
    <w:p>
      <w:pPr>
        <w:spacing w:after="80" w:before="80"/>
      </w:pPr>
      <w:r>
        <w:t xml:space="default"/>
      </w:r>
    </w:p>
    <w:p>
      <w:pPr>
        <w:spacing w:after="80" w:before="80"/>
      </w:pPr>
      <w:r>
        <w:t xml:space="default"/>
      </w:r>
    </w:p>
    <w:p>
      <w:pPr>
        <w:pStyle w:val="Heading3"/>
      </w:pPr>
      <w:r>
        <w:t xml:space="preserve">Finding 4.2.3 — Skip link present (Good practice)</w:t>
      </w:r>
    </w:p>
    <w:p>
      <w:pPr>
        <w:spacing w:after="80" w:before="80"/>
      </w:pPr>
      <w:r>
        <w:t xml:space="default"/>
      </w:r>
    </w:p>
    <w:p>
      <w:pPr>
        <w:spacing w:after="80" w:before="80"/>
      </w:pPr>
      <w:r>
        <w:t xml:space="default"/>
      </w:r>
    </w:p>
    <w:p>
      <w:pPr>
        <w:pStyle w:val="Heading3"/>
      </w:pPr>
      <w:r>
        <w:t xml:space="preserve">Finding 4.2.4 — "Back to top" link (Good practice)</w:t>
      </w:r>
    </w:p>
    <w:p>
      <w:pPr>
        <w:spacing w:after="80" w:before="80"/>
      </w:pPr>
      <w:r>
        <w:t xml:space="default"/>
      </w:r>
    </w:p>
    <w:p>
      <w:pPr>
        <w:spacing w:after="80" w:before="80"/>
      </w:pPr>
      <w:r>
        <w:t xml:space="default"/>
      </w:r>
    </w:p>
    <w:p>
      <w:pPr>
        <w:pStyle w:val="Heading3"/>
      </w:pPr>
      <w:r>
        <w:t xml:space="preserve">Finding 4.2.5 — Footer accordion triggers (Significant, needs confirmation)</w:t>
      </w:r>
    </w:p>
    <w:p>
      <w:pPr>
        <w:spacing w:after="80" w:before="80"/>
      </w:pPr>
      <w:r>
        <w:t xml:space="default"/>
      </w:r>
    </w:p>
    <w:p>
      <w:pPr>
        <w:spacing w:after="80" w:before="80"/>
      </w:pPr>
      <w:r>
        <w:t xml:space="default"/>
      </w:r>
    </w:p>
    <w:p>
      <w:pPr>
        <w:pStyle w:val="Heading3"/>
      </w:pPr>
      <w:r>
        <w:t xml:space="preserve">Finding 4.2.6 — Interactive map on Find My Legislator (Significant)</w:t>
      </w:r>
    </w:p>
    <w:p>
      <w:pPr>
        <w:spacing w:after="80" w:before="80"/>
      </w:pPr>
      <w:r>
        <w:t xml:space="default"/>
      </w:r>
    </w:p>
    <w:p>
      <w:pPr>
        <w:spacing w:after="80" w:before="80"/>
      </w:pPr>
      <w:r>
        <w:t xml:space="default"/>
      </w:r>
    </w:p>
    <w:p>
      <w:pPr>
        <w:spacing w:after="80" w:before="80"/>
      </w:pPr>
      <w:r>
        <w:t xml:space="default"/>
      </w:r>
    </w:p>
    <w:p>
      <w:pPr>
        <w:spacing w:after="80" w:before="80"/>
      </w:pPr>
      <w:r>
        <w:t xml:space="default"/>
      </w:r>
    </w:p>
    <w:p>
      <w:pPr>
        <w:pStyle w:val="Heading2"/>
      </w:pPr>
      <w:r>
        <w:t xml:space="preserve">4.3 Understandable</w:t>
      </w:r>
    </w:p>
    <w:p>
      <w:pPr>
        <w:pStyle w:val="Heading3"/>
      </w:pPr>
      <w:r>
        <w:t xml:space="preserve">Finding 4.3.1 — Language attribute (needs confirmation)</w:t>
      </w:r>
    </w:p>
    <w:p>
      <w:pPr>
        <w:spacing w:after="80" w:before="80"/>
      </w:pPr>
      <w:r>
        <w:t xml:space="default"/>
      </w:r>
    </w:p>
    <w:p>
      <w:pPr>
        <w:spacing w:after="80" w:before="80"/>
      </w:pPr>
      <w:r>
        <w:t xml:space="default"/>
      </w:r>
    </w:p>
    <w:p>
      <w:pPr>
        <w:spacing w:after="80" w:before="80"/>
      </w:pPr>
      <w:r>
        <w:t xml:space="default"/>
      </w:r>
    </w:p>
    <w:p>
      <w:pPr>
        <w:pStyle w:val="Heading3"/>
      </w:pPr>
      <w:r>
        <w:t xml:space="preserve">Finding 4.3.2 — Filter and sort dropdowns cause page refresh (Advisory)</w:t>
      </w:r>
    </w:p>
    <w:p>
      <w:pPr>
        <w:spacing w:after="80" w:before="80"/>
      </w:pPr>
      <w:r>
        <w:t xml:space="default"/>
      </w:r>
    </w:p>
    <w:p>
      <w:pPr>
        <w:spacing w:after="80" w:before="80"/>
      </w:pPr>
      <w:r>
        <w:t xml:space="default"/>
      </w:r>
    </w:p>
    <w:p>
      <w:pPr>
        <w:pStyle w:val="Heading2"/>
      </w:pPr>
      <w:r>
        <w:t xml:space="preserve">4.4 Robust</w:t>
      </w:r>
    </w:p>
    <w:p>
      <w:pPr>
        <w:pStyle w:val="Heading3"/>
      </w:pPr>
      <w:r>
        <w:t xml:space="preserve">Finding 4.4.1 — Form labels on search inputs (Critical, needs confirmation)</w:t>
      </w:r>
    </w:p>
    <w:p>
      <w:pPr>
        <w:spacing w:after="80" w:before="80"/>
      </w:pPr>
      <w:r>
        <w:t xml:space="default"/>
      </w:r>
    </w:p>
    <w:p>
      <w:pPr>
        <w:spacing w:after="80" w:before="80"/>
      </w:pPr>
      <w:r>
        <w:t xml:space="default"/>
      </w:r>
    </w:p>
    <w:p>
      <w:pPr>
        <w:spacing w:after="80" w:before="80"/>
      </w:pPr>
      <w:r>
        <w:t xml:space="default"/>
      </w:r>
    </w:p>
    <w:p>
      <w:pPr>
        <w:pStyle w:val="Heading3"/>
      </w:pPr>
      <w:r>
        <w:t xml:space="preserve">Finding 4.4.2 — Landmark structure (needs confirmation)</w:t>
      </w:r>
    </w:p>
    <w:p>
      <w:pPr>
        <w:spacing w:after="80" w:before="80"/>
      </w:pPr>
      <w:r>
        <w:t xml:space="default"/>
      </w:r>
    </w:p>
    <w:p>
      <w:pPr>
        <w:spacing w:after="80" w:before="80"/>
      </w:pPr>
      <w:r>
        <w:t xml:space="default"/>
      </w:r>
    </w:p>
    <w:p>
      <w:pPr>
        <w:pageBreakBefore/>
      </w:pPr>
      <w:r>
        <w:br/>
        <w:t xml:space="preserve"/>
      </w:r>
    </w:p>
    <w:p>
      <w:pPr>
        <w:pStyle w:val="Heading1"/>
      </w:pPr>
      <w:r>
        <w:t xml:space="preserve">5. Map Accessibility — Detailed Analysis</w:t>
      </w:r>
    </w:p>
    <w:p>
      <w:pPr>
        <w:spacing w:after="80" w:before="80"/>
      </w:pPr>
      <w:r>
        <w:t xml:space="preserve">Interactive maps are one of the hardest-to-remediate accessibility patterns on government websites. The typical technical stack — a canvas or SVG rendered by Leaflet or Esri ArcGIS, driven by mouse events — does not produce a keyboard-operable, screen-reader-comprehensible experience by default. WCAG and the DOJ's ADA Title II rule do not prohibit interactive maps; they require that the information conveyed by the map be available through an accessible alternative.</w:t>
      </w:r>
    </w:p>
    <w:p>
      <w:pPr>
        <w:pStyle w:val="Heading2"/>
      </w:pPr>
      <w:r>
        <w:t xml:space="preserve">5.1 Is the leg.colorado.gov map ADA compliant?</w:t>
      </w:r>
    </w:p>
    <w:p>
      <w:pPr>
        <w:spacing w:after="80" w:before="80"/>
      </w:pPr>
      <w:r>
        <w:t xml:space="preserve">A definitive yes/no is not possible from a structural review. What can be said with confidence:</w:t>
      </w:r>
    </w:p>
    <w:p>
      <w:pPr>
        <w:pStyle w:val="ListParagraph"/>
        <w:numPr>
          <w:ilvl w:val="0"/>
          <w:numId w:val="2"/>
        </w:numPr>
        <w:spacing w:after="40" w:before="40"/>
      </w:pPr>
      <w:r>
        <w:rPr>
          <w:b/>
          <w:bCs/>
        </w:rPr>
        <w:t xml:space="preserve">The map widget itself is almost certainly not independently WCAG 2.1 AA conformant </w:t>
      </w:r>
      <w:r>
        <w:t xml:space="preserve">without custom accessibility work on the mapping library. This is the default state of Leaflet, ArcGIS, and similar libraries.</w:t>
      </w:r>
    </w:p>
    <w:p>
      <w:pPr>
        <w:pStyle w:val="ListParagraph"/>
        <w:numPr>
          <w:ilvl w:val="0"/>
          <w:numId w:val="2"/>
        </w:numPr>
        <w:spacing w:after="40" w:before="40"/>
      </w:pPr>
      <w:r>
        <w:rPr>
          <w:b/>
          <w:bCs/>
        </w:rPr>
        <w:t xml:space="preserve">The page provides textual alternatives </w:t>
      </w:r>
      <w:r>
        <w:t xml:space="preserve">(address search, district-number search, legislator-name search) that, if implemented accessibly, satisfy the underlying legal requirement. Conformance depends on the quality of that textual implementation, which was not testable here.</w:t>
      </w:r>
    </w:p>
    <w:p>
      <w:pPr>
        <w:pStyle w:val="ListParagraph"/>
        <w:numPr>
          <w:ilvl w:val="0"/>
          <w:numId w:val="2"/>
        </w:numPr>
        <w:spacing w:after="40" w:before="40"/>
      </w:pPr>
      <w:r>
        <w:rPr>
          <w:b/>
          <w:bCs/>
        </w:rPr>
        <w:t xml:space="preserve">The Help panel explicitly documents the textual paths </w:t>
      </w:r>
      <w:r>
        <w:t xml:space="preserve">to reach the same information. This is a strong signal that the design anticipates users who cannot use the map directly.</w:t>
      </w:r>
    </w:p>
    <w:p>
      <w:pPr>
        <w:spacing w:after="80" w:before="80"/>
      </w:pPr>
      <w:r>
        <w:t xml:space="default"/>
      </w:r>
    </w:p>
    <w:p>
      <w:pPr>
        <w:pStyle w:val="Heading2"/>
      </w:pPr>
      <w:r>
        <w:t xml:space="preserve">5.2 What a fully accessible alternative looks like</w:t>
      </w:r>
    </w:p>
    <w:p>
      <w:pPr>
        <w:spacing w:after="80" w:before="80"/>
      </w:pPr>
      <w:r>
        <w:t xml:space="preserve">The accompanying HTML artifact — "Find My Legislator: Accessible Search &amp; Discovery" — demonstrates a reference implementation of an accessible alternative to the map-based lookup. It uses:</w:t>
      </w:r>
    </w:p>
    <w:p>
      <w:pPr>
        <w:pStyle w:val="ListParagraph"/>
        <w:numPr>
          <w:ilvl w:val="0"/>
          <w:numId w:val="2"/>
        </w:numPr>
        <w:spacing w:after="40" w:before="40"/>
      </w:pPr>
      <w:r>
        <w:t xml:space="preserve">Semantic HTML (form, label, fieldset, legend, button, table with scope)</w:t>
      </w:r>
    </w:p>
    <w:p>
      <w:pPr>
        <w:pStyle w:val="ListParagraph"/>
        <w:numPr>
          <w:ilvl w:val="0"/>
          <w:numId w:val="2"/>
        </w:numPr>
        <w:spacing w:after="40" w:before="40"/>
      </w:pPr>
      <w:r>
        <w:t xml:space="preserve">ARIA live regions (role="status", aria-live="polite") to announce result counts and selection changes</w:t>
      </w:r>
    </w:p>
    <w:p>
      <w:pPr>
        <w:pStyle w:val="ListParagraph"/>
        <w:numPr>
          <w:ilvl w:val="0"/>
          <w:numId w:val="2"/>
        </w:numPr>
        <w:spacing w:after="40" w:before="40"/>
      </w:pPr>
      <w:r>
        <w:t xml:space="preserve">Three explicit, labeled search modes: by legislator name, by chamber + district number, and by city filter</w:t>
      </w:r>
    </w:p>
    <w:p>
      <w:pPr>
        <w:pStyle w:val="ListParagraph"/>
        <w:numPr>
          <w:ilvl w:val="0"/>
          <w:numId w:val="2"/>
        </w:numPr>
        <w:spacing w:after="40" w:before="40"/>
      </w:pPr>
      <w:r>
        <w:t xml:space="preserve">Full keyboard operability (tab, Enter, Escape, arrow keys where applicable)</w:t>
      </w:r>
    </w:p>
    <w:p>
      <w:pPr>
        <w:pStyle w:val="ListParagraph"/>
        <w:numPr>
          <w:ilvl w:val="0"/>
          <w:numId w:val="2"/>
        </w:numPr>
        <w:spacing w:after="40" w:before="40"/>
      </w:pPr>
      <w:r>
        <w:t xml:space="preserve">Visible focus indicators with 3:1 minimum contrast against adjacent colors</w:t>
      </w:r>
    </w:p>
    <w:p>
      <w:pPr>
        <w:pStyle w:val="ListParagraph"/>
        <w:numPr>
          <w:ilvl w:val="0"/>
          <w:numId w:val="2"/>
        </w:numPr>
        <w:spacing w:after="40" w:before="40"/>
      </w:pPr>
      <w:r>
        <w:t xml:space="preserve">Sufficient color contrast (4.5:1 for body text, 3:1 for UI components)</w:t>
      </w:r>
    </w:p>
    <w:p>
      <w:pPr>
        <w:pStyle w:val="ListParagraph"/>
        <w:numPr>
          <w:ilvl w:val="0"/>
          <w:numId w:val="2"/>
        </w:numPr>
        <w:spacing w:after="40" w:before="40"/>
      </w:pPr>
      <w:r>
        <w:t xml:space="preserve">Result cards that are fully readable without the map and include direct action links (phone, email, detail page)</w:t>
      </w:r>
    </w:p>
    <w:p>
      <w:pPr>
        <w:pStyle w:val="ListParagraph"/>
        <w:numPr>
          <w:ilvl w:val="0"/>
          <w:numId w:val="2"/>
        </w:numPr>
        <w:spacing w:after="40" w:before="40"/>
      </w:pPr>
      <w:r>
        <w:t xml:space="preserve">A stated one-to-one correspondence with what the map provides, so a user can rely on it as their primary path</w:t>
      </w:r>
    </w:p>
    <w:p>
      <w:pPr>
        <w:spacing w:after="80" w:before="80"/>
      </w:pPr>
      <w:r>
        <w:t xml:space="default"/>
      </w:r>
    </w:p>
    <w:p>
      <w:pPr>
        <w:pageBreakBefore/>
      </w:pPr>
      <w:r>
        <w:br/>
        <w:t xml:space="preserve"/>
      </w:r>
    </w:p>
    <w:p>
      <w:pPr>
        <w:pStyle w:val="Heading1"/>
      </w:pPr>
      <w:r>
        <w:t xml:space="preserve">6. PDF and Document Accessibility</w:t>
      </w:r>
    </w:p>
    <w:p>
      <w:pPr>
        <w:spacing w:after="80" w:before="80"/>
      </w:pPr>
      <w:r>
        <w:t xml:space="preserve">Legislative websites are, by volume, dominated by PDFs — bill text, fiscal notes, journals, calendars, committee reports, publications. The number of PDFs served by leg.colorado.gov is in the tens of thousands. A full audit would sample 20 to 30 of these and run each through a PDF/UA checker such as PAC 2024, veraPDF, or Adobe Acrobat Pro's Accessibility Checker.</w:t>
      </w:r>
    </w:p>
    <w:p>
      <w:pPr>
        <w:spacing w:after="80" w:before="80"/>
      </w:pPr>
      <w:r>
        <w:t xml:space="preserve">The Technology Accessibility Statement addresses this directly: documents in active use and those published on or after July 1, 2024 are remediated to meet applicable accessibility standards. Older archived documents are only remediated on request via the accommodation process. This is compliant with 8 CCR 1501-11 § 11.4 but does leave a large body of historical legislative content in an unknown state of accessibility.</w:t>
      </w:r>
    </w:p>
    <w:p>
      <w:pPr>
        <w:pStyle w:val="Heading2"/>
      </w:pPr>
      <w:r>
        <w:t xml:space="preserve">6.1 Good practice observed</w:t>
      </w:r>
    </w:p>
    <w:p>
      <w:pPr>
        <w:spacing w:after="80" w:before="80"/>
      </w:pPr>
      <w:r>
        <w:t xml:space="default"/>
      </w:r>
    </w:p>
    <w:p>
      <w:pPr>
        <w:pStyle w:val="Heading2"/>
      </w:pPr>
      <w:r>
        <w:t xml:space="preserve">6.2 Recommended actions</w:t>
      </w:r>
    </w:p>
    <w:p>
      <w:pPr>
        <w:pStyle w:val="ListParagraph"/>
        <w:numPr>
          <w:ilvl w:val="0"/>
          <w:numId w:val="2"/>
        </w:numPr>
        <w:spacing w:after="40" w:before="40"/>
      </w:pPr>
      <w:r>
        <w:t xml:space="preserve">Publish a current inventory of PDF document types on the site, with per-type remediation status.</w:t>
      </w:r>
    </w:p>
    <w:p>
      <w:pPr>
        <w:pStyle w:val="ListParagraph"/>
        <w:numPr>
          <w:ilvl w:val="0"/>
          <w:numId w:val="2"/>
        </w:numPr>
        <w:spacing w:after="40" w:before="40"/>
      </w:pPr>
      <w:r>
        <w:t xml:space="preserve">Sample at least one PDF per major category (bill, fiscal note, journal, calendar, publication) through a PDF/UA checker and publish the results as part of the Digital Accessibility Progress Report.</w:t>
      </w:r>
    </w:p>
    <w:p>
      <w:pPr>
        <w:pStyle w:val="ListParagraph"/>
        <w:numPr>
          <w:ilvl w:val="0"/>
          <w:numId w:val="2"/>
        </w:numPr>
        <w:spacing w:after="40" w:before="40"/>
      </w:pPr>
      <w:r>
        <w:t xml:space="preserve">For high-traffic document types, provide an HTML alternative by default rather than on request.</w:t>
      </w:r>
    </w:p>
    <w:p>
      <w:pPr>
        <w:pStyle w:val="ListParagraph"/>
        <w:numPr>
          <w:ilvl w:val="0"/>
          <w:numId w:val="2"/>
        </w:numPr>
        <w:spacing w:after="40" w:before="40"/>
      </w:pPr>
      <w:r>
        <w:t xml:space="preserve">For archived documents, make the on-request remediation turnaround commitment explicit (e.g., "within 10 business days") in the Accessibility Statement.</w:t>
      </w:r>
    </w:p>
    <w:p>
      <w:pPr>
        <w:pStyle w:val="Heading1"/>
      </w:pPr>
      <w:r>
        <w:t xml:space="preserve">7. Compliance Context</w:t>
      </w:r>
    </w:p>
    <w:p>
      <w:pPr>
        <w:spacing w:after="80" w:before="80"/>
      </w:pPr>
      <w:r>
        <w:t xml:space="preserve">Colorado General Assembly web accessibility obligations arise from a converging set of federal and state requirements:</w:t>
      </w:r>
    </w:p>
    <w:p>
      <w:pPr>
        <w:pStyle w:val="Heading2"/>
      </w:pPr>
      <w:r>
        <w:t xml:space="preserve">7.1 Federal: ADA Title II (DOJ final rule, April 2024)</w:t>
      </w:r>
    </w:p>
    <w:p>
      <w:pPr>
        <w:spacing w:after="80" w:before="80"/>
      </w:pPr>
      <w:r>
        <w:t xml:space="preserve">The U.S. Department of Justice published a final rule under ADA Title II in April 2024 requiring web content and mobile applications of state and local governments to conform to WCAG 2.1 Level AA. Compliance deadlines are staggered by population served: April 24, 2026 for jurisdictions serving 50,000 or more people, and April 26, 2027 for smaller jurisdictions and special district governments. The Colorado General Assembly, as a state-level public entity, falls under the earlier deadline.</w:t>
      </w:r>
    </w:p>
    <w:p>
      <w:pPr>
        <w:pStyle w:val="Heading2"/>
      </w:pPr>
      <w:r>
        <w:t xml:space="preserve">7.2 Federal: Section 508 of the Rehabilitation Act</w:t>
      </w:r>
    </w:p>
    <w:p>
      <w:pPr>
        <w:spacing w:after="80" w:before="80"/>
      </w:pPr>
      <w:r>
        <w:t xml:space="preserve">Section 508 governs federal agencies and federally funded programs. While it does not directly bind state legislatures in the same way ADA Title II does, the Colorado General Assembly's Accessibility Statement explicitly cites Section 508 as one of its technical standards.</w:t>
      </w:r>
    </w:p>
    <w:p>
      <w:pPr>
        <w:pStyle w:val="Heading2"/>
      </w:pPr>
      <w:r>
        <w:t xml:space="preserve">7.3 State: 8 CCR 1501-11 Technology Accessibility Standards</w:t>
      </w:r>
    </w:p>
    <w:p>
      <w:pPr>
        <w:spacing w:after="80" w:before="80"/>
      </w:pPr>
      <w:r>
        <w:t xml:space="preserve">Colorado's state-level rule sets specific requirements for technology accessibility across state agencies. The regulation defines "active use" versus "archived" content and establishes remediation expectations. The Accessibility Statement on leg.colorado.gov references this rule as controlling.</w:t>
      </w:r>
    </w:p>
    <w:p>
      <w:pPr>
        <w:pStyle w:val="Heading2"/>
      </w:pPr>
      <w:r>
        <w:t xml:space="preserve">7.4 Document standard: PDF/UA-1 (ISO 14289-1:2014)</w:t>
      </w:r>
    </w:p>
    <w:p>
      <w:pPr>
        <w:spacing w:after="80" w:before="80"/>
      </w:pPr>
      <w:r>
        <w:t xml:space="preserve">PDF/UA-1 is the international standard for accessible PDF documents. The Accessibility Statement commits to remediating PDFs to meet this standard.</w:t>
      </w:r>
    </w:p>
    <w:p>
      <w:pPr>
        <w:pStyle w:val="Heading1"/>
      </w:pPr>
      <w:r>
        <w:t xml:space="preserve">8. Prioritized Recommendations</w:t>
      </w:r>
    </w:p>
    <w:p>
      <w:pPr>
        <w:spacing w:after="80" w:before="80"/>
      </w:pPr>
      <w:r>
        <w:t xml:space="preserve">The recommendations below are ordered by remediation priority. Priority reflects the intersection of user impact, likelihood of the issue actually existing, and compliance risk under the April 2026 ADA Title II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1600"/>
        <w:gridCol w:w="160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0" w:before="0"/>
            </w:pPr>
            <w:r>
              <w:rPr>
                <w:b/>
                <w:bCs/>
                <w:sz w:val="20"/>
                <w:szCs w:val="20"/>
              </w:rPr>
              <w:t xml:space="preserve">#</w:t>
            </w:r>
          </w:p>
        </w:tc>
        <w:tc>
          <w:tcPr>
            <w:tcW w:type="dxa" w:w="5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0" w:before="0"/>
            </w:pPr>
            <w:r>
              <w:rPr>
                <w:b/>
                <w:bCs/>
                <w:sz w:val="20"/>
                <w:szCs w:val="20"/>
              </w:rPr>
              <w:t xml:space="preserve">Recommendation</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0" w:before="0"/>
            </w:pPr>
            <w:r>
              <w:rPr>
                <w:b/>
                <w:bCs/>
                <w:sz w:val="20"/>
                <w:szCs w:val="20"/>
              </w:rPr>
              <w:t xml:space="preserve">WCAG</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0" w:before="0"/>
            </w:pPr>
            <w:r>
              <w:rPr>
                <w:b/>
                <w:bCs/>
                <w:sz w:val="20"/>
                <w:szCs w:val="20"/>
              </w:rPr>
              <w:t xml:space="preserve">Priority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1</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Run axe DevTools and Lighthouse against the five priority templates: homepage, Find My Legislator, Legislators, a bill detail page, and a legislator profile page. Log every finding with a target remediation date.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All</w:t>
            </w:r>
          </w:p>
        </w:tc>
        <w:tc>
          <w:tcPr>
            <w:tcW w:type="dxa" w:w="1600"/>
            <w:tcBorders>
              <w:top w:val="single" w:color="BFBFBF" w:sz="4"/>
              <w:left w:val="single" w:color="BFBFBF" w:sz="4"/>
              <w:bottom w:val="single" w:color="BFBFBF" w:sz="4"/>
              <w:right w:val="single" w:color="BFBFBF" w:sz="4"/>
            </w:tcBorders>
            <w:shd w:fill="FFD9D9" w:val="clear"/>
            <w:tcMar>
              <w:top w:type="dxa" w:w="100"/>
              <w:left w:type="dxa" w:w="140"/>
              <w:bottom w:type="dxa" w:w="100"/>
              <w:right w:type="dxa" w:w="140"/>
            </w:tcMar>
          </w:tcPr>
          <w:p>
            <w:pPr>
              <w:spacing w:after="0" w:before="0"/>
            </w:pPr>
            <w:r>
              <w:rPr>
                <w:b w:val="false"/>
                <w:bCs w:val="false"/>
                <w:sz w:val="20"/>
                <w:szCs w:val="20"/>
              </w:rPr>
              <w:t xml:space="preserve">Critical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2</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Verify the textual search path on Find My Legislator is fully keyboard- and screen-reader-accessible. If it is, document it as the accessible alternative to the map directly on the page.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1.1.1, 2.1.1, 4.1.2</w:t>
            </w:r>
          </w:p>
        </w:tc>
        <w:tc>
          <w:tcPr>
            <w:tcW w:type="dxa" w:w="1600"/>
            <w:tcBorders>
              <w:top w:val="single" w:color="BFBFBF" w:sz="4"/>
              <w:left w:val="single" w:color="BFBFBF" w:sz="4"/>
              <w:bottom w:val="single" w:color="BFBFBF" w:sz="4"/>
              <w:right w:val="single" w:color="BFBFBF" w:sz="4"/>
            </w:tcBorders>
            <w:shd w:fill="FFD9D9" w:val="clear"/>
            <w:tcMar>
              <w:top w:type="dxa" w:w="100"/>
              <w:left w:type="dxa" w:w="140"/>
              <w:bottom w:type="dxa" w:w="100"/>
              <w:right w:type="dxa" w:w="140"/>
            </w:tcMar>
          </w:tcPr>
          <w:p>
            <w:pPr>
              <w:spacing w:after="0" w:before="0"/>
            </w:pPr>
            <w:r>
              <w:rPr>
                <w:b w:val="false"/>
                <w:bCs w:val="false"/>
                <w:sz w:val="20"/>
                <w:szCs w:val="20"/>
              </w:rPr>
              <w:t xml:space="preserve">Critical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3</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Convert primary-navigation disclosure triggers from href="#" anchors to native button elements with aria-expanded and aria-controls. Apply the same fix to footer accordions and the mobile Menu/Search toggles.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2.1.1, 4.1.2</w:t>
            </w:r>
          </w:p>
        </w:tc>
        <w:tc>
          <w:tcPr>
            <w:tcW w:type="dxa" w:w="1600"/>
            <w:tcBorders>
              <w:top w:val="single" w:color="BFBFBF" w:sz="4"/>
              <w:left w:val="single" w:color="BFBFBF" w:sz="4"/>
              <w:bottom w:val="single" w:color="BFBFBF" w:sz="4"/>
              <w:right w:val="single" w:color="BFBFBF" w:sz="4"/>
            </w:tcBorders>
            <w:shd w:fill="FFD9D9" w:val="clear"/>
            <w:tcMar>
              <w:top w:type="dxa" w:w="100"/>
              <w:left w:type="dxa" w:w="140"/>
              <w:bottom w:type="dxa" w:w="100"/>
              <w:right w:type="dxa" w:w="140"/>
            </w:tcMar>
          </w:tcPr>
          <w:p>
            <w:pPr>
              <w:spacing w:after="0" w:before="0"/>
            </w:pPr>
            <w:r>
              <w:rPr>
                <w:b w:val="false"/>
                <w:bCs w:val="false"/>
                <w:sz w:val="20"/>
                <w:szCs w:val="20"/>
              </w:rPr>
              <w:t xml:space="preserve">Critical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4</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Perform keyboard-only walkthroughs of the five priority templates. Verify focus is always visible and always reaches every interactive element in a logical order.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2.1.1, 2.4.3, 2.4.7</w:t>
            </w:r>
          </w:p>
        </w:tc>
        <w:tc>
          <w:tcPr>
            <w:tcW w:type="dxa" w:w="1600"/>
            <w:tcBorders>
              <w:top w:val="single" w:color="BFBFBF" w:sz="4"/>
              <w:left w:val="single" w:color="BFBFBF" w:sz="4"/>
              <w:bottom w:val="single" w:color="BFBFBF" w:sz="4"/>
              <w:right w:val="single" w:color="BFBFBF" w:sz="4"/>
            </w:tcBorders>
            <w:shd w:fill="FFD9D9" w:val="clear"/>
            <w:tcMar>
              <w:top w:type="dxa" w:w="100"/>
              <w:left w:type="dxa" w:w="140"/>
              <w:bottom w:type="dxa" w:w="100"/>
              <w:right w:type="dxa" w:w="140"/>
            </w:tcMar>
          </w:tcPr>
          <w:p>
            <w:pPr>
              <w:spacing w:after="0" w:before="0"/>
            </w:pPr>
            <w:r>
              <w:rPr>
                <w:b w:val="false"/>
                <w:bCs w:val="false"/>
                <w:sz w:val="20"/>
                <w:szCs w:val="20"/>
              </w:rPr>
              <w:t xml:space="preserve">Critical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5</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Measure color contrast of body text, links on all background colors, focus indicators, and UI component outlines. Remediate any below WCAG AA thresholds.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1.4.3, 1.4.11</w:t>
            </w:r>
          </w:p>
        </w:tc>
        <w:tc>
          <w:tcPr>
            <w:tcW w:type="dxa" w:w="1600"/>
            <w:tcBorders>
              <w:top w:val="single" w:color="BFBFBF" w:sz="4"/>
              <w:left w:val="single" w:color="BFBFBF" w:sz="4"/>
              <w:bottom w:val="single" w:color="BFBFBF" w:sz="4"/>
              <w:right w:val="single" w:color="BFBFBF" w:sz="4"/>
            </w:tcBorders>
            <w:shd w:fill="FFE5B4" w:val="clear"/>
            <w:tcMar>
              <w:top w:type="dxa" w:w="100"/>
              <w:left w:type="dxa" w:w="140"/>
              <w:bottom w:type="dxa" w:w="100"/>
              <w:right w:type="dxa" w:w="140"/>
            </w:tcMar>
          </w:tcPr>
          <w:p>
            <w:pPr>
              <w:spacing w:after="0" w:before="0"/>
            </w:pPr>
            <w:r>
              <w:rPr>
                <w:b w:val="false"/>
                <w:bCs w:val="false"/>
                <w:sz w:val="20"/>
                <w:szCs w:val="20"/>
              </w:rPr>
              <w:t xml:space="preserve">Significant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6</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Screen-reader test the Legislators combobox search, the Find My Legislator address search, and the top-nav Search overlay with NVDA and VoiceOver.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4.1.2, 1.3.1</w:t>
            </w:r>
          </w:p>
        </w:tc>
        <w:tc>
          <w:tcPr>
            <w:tcW w:type="dxa" w:w="1600"/>
            <w:tcBorders>
              <w:top w:val="single" w:color="BFBFBF" w:sz="4"/>
              <w:left w:val="single" w:color="BFBFBF" w:sz="4"/>
              <w:bottom w:val="single" w:color="BFBFBF" w:sz="4"/>
              <w:right w:val="single" w:color="BFBFBF" w:sz="4"/>
            </w:tcBorders>
            <w:shd w:fill="FFE5B4" w:val="clear"/>
            <w:tcMar>
              <w:top w:type="dxa" w:w="100"/>
              <w:left w:type="dxa" w:w="140"/>
              <w:bottom w:type="dxa" w:w="100"/>
              <w:right w:type="dxa" w:w="140"/>
            </w:tcMar>
          </w:tcPr>
          <w:p>
            <w:pPr>
              <w:spacing w:after="0" w:before="0"/>
            </w:pPr>
            <w:r>
              <w:rPr>
                <w:b w:val="false"/>
                <w:bCs w:val="false"/>
                <w:sz w:val="20"/>
                <w:szCs w:val="20"/>
              </w:rPr>
              <w:t xml:space="preserve">Significant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7</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Sample PDF accessibility across the major document categories (bill, fiscal note, journal, calendar, publication). Publish per-category conformance rates.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PDF/UA-1</w:t>
            </w:r>
          </w:p>
        </w:tc>
        <w:tc>
          <w:tcPr>
            <w:tcW w:type="dxa" w:w="1600"/>
            <w:tcBorders>
              <w:top w:val="single" w:color="BFBFBF" w:sz="4"/>
              <w:left w:val="single" w:color="BFBFBF" w:sz="4"/>
              <w:bottom w:val="single" w:color="BFBFBF" w:sz="4"/>
              <w:right w:val="single" w:color="BFBFBF" w:sz="4"/>
            </w:tcBorders>
            <w:shd w:fill="FFE5B4" w:val="clear"/>
            <w:tcMar>
              <w:top w:type="dxa" w:w="100"/>
              <w:left w:type="dxa" w:w="140"/>
              <w:bottom w:type="dxa" w:w="100"/>
              <w:right w:type="dxa" w:w="140"/>
            </w:tcMar>
          </w:tcPr>
          <w:p>
            <w:pPr>
              <w:spacing w:after="0" w:before="0"/>
            </w:pPr>
            <w:r>
              <w:rPr>
                <w:b w:val="false"/>
                <w:bCs w:val="false"/>
                <w:sz w:val="20"/>
                <w:szCs w:val="20"/>
              </w:rPr>
              <w:t xml:space="preserve">Significant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8</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For high-traffic PDF document types (bill digest, status sheets, journals), provide an HTML-first alternative modeled on the existing accessible-docs.coleg.gov calendar pattern.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1.1.1</w:t>
            </w:r>
          </w:p>
        </w:tc>
        <w:tc>
          <w:tcPr>
            <w:tcW w:type="dxa" w:w="1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b w:val="false"/>
                <w:bCs w:val="false"/>
                <w:sz w:val="20"/>
                <w:szCs w:val="20"/>
              </w:rPr>
              <w:t xml:space="preserve">Advisory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9</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Replace the page-refresh filter pattern on the Legislators page with in-place filtering that updates a single aria-live region with the new result count.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3.2.2</w:t>
            </w:r>
          </w:p>
        </w:tc>
        <w:tc>
          <w:tcPr>
            <w:tcW w:type="dxa" w:w="1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b w:val="false"/>
                <w:bCs w:val="false"/>
                <w:sz w:val="20"/>
                <w:szCs w:val="20"/>
              </w:rPr>
              <w:t xml:space="preserve">Advisory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10</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Publish an explicit remediation-turnaround commitment in the Accessibility Statement for on-request document remediation and for fixes to barriers reported via accessibility@coleg.gov.</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b w:val="false"/>
                <w:bCs w:val="false"/>
                <w:sz w:val="20"/>
                <w:szCs w:val="20"/>
              </w:rPr>
              <w:t xml:space="preserve">Program</w:t>
            </w:r>
          </w:p>
        </w:tc>
        <w:tc>
          <w:tcPr>
            <w:tcW w:type="dxa" w:w="1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b w:val="false"/>
                <w:bCs w:val="false"/>
                <w:sz w:val="20"/>
                <w:szCs w:val="20"/>
              </w:rPr>
              <w:t xml:space="preserve">Advisory</w:t>
            </w:r>
          </w:p>
        </w:tc>
      </w:tr>
    </w:tbl>
    <w:p>
      <w:pPr>
        <w:pageBreakBefore/>
      </w:pPr>
      <w:r>
        <w:br/>
        <w:t xml:space="preserve"/>
      </w:r>
    </w:p>
    <w:p>
      <w:pPr>
        <w:pStyle w:val="Heading1"/>
      </w:pPr>
      <w:r>
        <w:t xml:space="preserve">9. Appendix — Good Practices Observed</w:t>
      </w:r>
    </w:p>
    <w:p>
      <w:pPr>
        <w:spacing w:after="80" w:before="80"/>
      </w:pPr>
      <w:r>
        <w:t xml:space="preserve">Several elements of the current site should be preserved and, where applicable, extended to other state government sites as models. These are called out explicitly to ensure that remediation work does not inadvertently remove things that are working.</w:t>
      </w:r>
    </w:p>
    <w:p>
      <w:pPr>
        <w:pStyle w:val="ListParagraph"/>
        <w:numPr>
          <w:ilvl w:val="0"/>
          <w:numId w:val="2"/>
        </w:numPr>
        <w:spacing w:after="40" w:before="40"/>
      </w:pPr>
      <w:r>
        <w:rPr>
          <w:b/>
          <w:bCs/>
        </w:rPr>
        <w:t xml:space="preserve">Published accessibility statement </w:t>
      </w:r>
      <w:r>
        <w:t xml:space="preserve">with a named ADA Coordinator, multiple contact channels, documented services offered (ASL, CART, tactile signing, Braille, T-Coil), and a grievance procedure.</w:t>
      </w:r>
    </w:p>
    <w:p>
      <w:pPr>
        <w:pStyle w:val="ListParagraph"/>
        <w:numPr>
          <w:ilvl w:val="0"/>
          <w:numId w:val="2"/>
        </w:numPr>
        <w:spacing w:after="40" w:before="40"/>
      </w:pPr>
      <w:r>
        <w:rPr>
          <w:b/>
          <w:bCs/>
        </w:rPr>
        <w:t xml:space="preserve">Digital Accessibility Progress Report </w:t>
      </w:r>
      <w:r>
        <w:t xml:space="preserve">published publicly (April 2025). The act of publishing an accountability document is itself a best practice.</w:t>
      </w:r>
    </w:p>
    <w:p>
      <w:pPr>
        <w:pStyle w:val="ListParagraph"/>
        <w:numPr>
          <w:ilvl w:val="0"/>
          <w:numId w:val="2"/>
        </w:numPr>
        <w:spacing w:after="40" w:before="40"/>
      </w:pPr>
      <w:r>
        <w:rPr>
          <w:b/>
          <w:bCs/>
        </w:rPr>
        <w:t xml:space="preserve">HTML alternatives to PDF calendars </w:t>
      </w:r>
      <w:r>
        <w:t xml:space="preserve">served from a dedicated accessible-docs subdomain.</w:t>
      </w:r>
    </w:p>
    <w:p>
      <w:pPr>
        <w:pStyle w:val="ListParagraph"/>
        <w:numPr>
          <w:ilvl w:val="0"/>
          <w:numId w:val="2"/>
        </w:numPr>
        <w:spacing w:after="40" w:before="40"/>
      </w:pPr>
      <w:r>
        <w:rPr>
          <w:b/>
          <w:bCs/>
        </w:rPr>
        <w:t xml:space="preserve">Third-party manual accessibility testing </w:t>
      </w:r>
      <w:r>
        <w:t xml:space="preserve">contracted, not just automated scanning.</w:t>
      </w:r>
    </w:p>
    <w:p>
      <w:pPr>
        <w:pStyle w:val="ListParagraph"/>
        <w:numPr>
          <w:ilvl w:val="0"/>
          <w:numId w:val="2"/>
        </w:numPr>
        <w:spacing w:after="40" w:before="40"/>
      </w:pPr>
      <w:r>
        <w:rPr>
          <w:b/>
          <w:bCs/>
        </w:rPr>
        <w:t xml:space="preserve">Procurement integration </w:t>
      </w:r>
      <w:r>
        <w:t xml:space="preserve">— requiring Voluntary Product Accessibility Templates (VPATs) and validating them.</w:t>
      </w:r>
    </w:p>
    <w:p>
      <w:pPr>
        <w:pStyle w:val="ListParagraph"/>
        <w:numPr>
          <w:ilvl w:val="0"/>
          <w:numId w:val="2"/>
        </w:numPr>
        <w:spacing w:after="40" w:before="40"/>
      </w:pPr>
      <w:r>
        <w:rPr>
          <w:b/>
          <w:bCs/>
        </w:rPr>
        <w:t xml:space="preserve">Staff training </w:t>
      </w:r>
      <w:r>
        <w:t xml:space="preserve">— required coursework, weekly meetings on accessibility topics, intranet resource hub.</w:t>
      </w:r>
    </w:p>
    <w:p>
      <w:pPr>
        <w:pStyle w:val="ListParagraph"/>
        <w:numPr>
          <w:ilvl w:val="0"/>
          <w:numId w:val="2"/>
        </w:numPr>
        <w:spacing w:after="40" w:before="40"/>
      </w:pPr>
      <w:r>
        <w:rPr>
          <w:b/>
          <w:bCs/>
        </w:rPr>
        <w:t xml:space="preserve">Language localization </w:t>
      </w:r>
      <w:r>
        <w:t xml:space="preserve">of the Blue Book (Libro azul).</w:t>
      </w:r>
    </w:p>
    <w:p>
      <w:pPr>
        <w:pStyle w:val="ListParagraph"/>
        <w:numPr>
          <w:ilvl w:val="0"/>
          <w:numId w:val="2"/>
        </w:numPr>
        <w:spacing w:after="40" w:before="40"/>
      </w:pPr>
      <w:r>
        <w:rPr>
          <w:b/>
          <w:bCs/>
        </w:rPr>
        <w:t xml:space="preserve">Skip link and Back-to-top link </w:t>
      </w:r>
      <w:r>
        <w:t xml:space="preserve">on every page reviewed.</w:t>
      </w:r>
    </w:p>
    <w:p>
      <w:pPr>
        <w:pStyle w:val="ListParagraph"/>
        <w:numPr>
          <w:ilvl w:val="0"/>
          <w:numId w:val="2"/>
        </w:numPr>
        <w:spacing w:after="40" w:before="40"/>
      </w:pPr>
      <w:r>
        <w:rPr>
          <w:b/>
          <w:bCs/>
        </w:rPr>
        <w:t xml:space="preserve">Meaningful link text </w:t>
      </w:r>
      <w:r>
        <w:t xml:space="preserve">throughout — no generic "click here" patterns observed.</w:t>
      </w:r>
    </w:p>
    <w:p>
      <w:pPr>
        <w:pStyle w:val="ListParagraph"/>
        <w:numPr>
          <w:ilvl w:val="0"/>
          <w:numId w:val="2"/>
        </w:numPr>
        <w:spacing w:after="40" w:before="40"/>
      </w:pPr>
      <w:r>
        <w:rPr>
          <w:b/>
          <w:bCs/>
        </w:rPr>
        <w:t xml:space="preserve">On-Input warning </w:t>
      </w:r>
      <w:r>
        <w:t xml:space="preserve">on the Legislators filter dropdowns — tells the user before their selection causes a page refresh.</w:t>
      </w:r>
    </w:p>
    <w:p>
      <w:pPr>
        <w:pStyle w:val="ListParagraph"/>
        <w:numPr>
          <w:ilvl w:val="0"/>
          <w:numId w:val="2"/>
        </w:numPr>
        <w:spacing w:after="40" w:before="40"/>
      </w:pPr>
      <w:r>
        <w:rPr>
          <w:b/>
          <w:bCs/>
        </w:rPr>
        <w:t xml:space="preserve">Textual alternatives to the interactive map </w:t>
      </w:r>
      <w:r>
        <w:t xml:space="preserve">on Find My Legislator — address, district, and name search paths are documented.</w:t>
      </w:r>
    </w:p>
    <w:p>
      <w:pPr>
        <w:spacing w:before="400"/>
      </w:pPr>
      <w:r>
        <w:br/>
        <w:br/>
        <w:t xml:space="preserve"/>
      </w:r>
    </w:p>
    <w:p>
      <w:pPr>
        <w:spacing w:after="80" w:before="80"/>
      </w:pPr>
      <w:r>
        <w:t xml:space="defaul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Technology Accessibility Audit — leg.colorado.gov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Accessibility Audit — leg.colorado.gov</dc:title>
  <dc:creator>Accessibility Review</dc:creator>
  <cp:lastModifiedBy>Un-named</cp:lastModifiedBy>
  <cp:revision>1</cp:revision>
  <dcterms:created xsi:type="dcterms:W3CDTF">2026-04-23T02:10:05.362Z</dcterms:created>
  <dcterms:modified xsi:type="dcterms:W3CDTF">2026-04-23T02:10:05.363Z</dcterms:modified>
</cp:coreProperties>
</file>

<file path=docProps/custom.xml><?xml version="1.0" encoding="utf-8"?>
<Properties xmlns="http://schemas.openxmlformats.org/officeDocument/2006/custom-properties" xmlns:vt="http://schemas.openxmlformats.org/officeDocument/2006/docPropsVTypes"/>
</file>